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pPr>
        <w:pStyle w:val="28"/>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bookmarkStart w:id="3" w:name="_Toc42034909"/>
      <w:bookmarkStart w:id="4" w:name="_Toc42211920"/>
      <w:r>
        <w:rPr>
          <w:lang w:val="en-US"/>
        </w:rPr>
        <w:t>Introduction</w:t>
      </w:r>
      <w:bookmarkEnd w:id="3"/>
      <w:bookmarkEnd w:id="4"/>
    </w:p>
    <w:p>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jc w:val="both"/>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7" w:name="_GoBack"/>
      <w:r>
        <w:rPr>
          <w:color w:val="FF0000"/>
          <w:lang w:val="en-US"/>
        </w:rPr>
        <w:t>FL3</w:t>
      </w:r>
      <w:bookmarkEnd w:id="7"/>
      <w:r>
        <w:rPr>
          <w:lang w:val="en-US"/>
        </w:rPr>
        <w:t>. The first FLS in this discussion can be found in [42].</w:t>
      </w:r>
    </w:p>
    <w:p>
      <w:pPr>
        <w:jc w:val="both"/>
      </w:pPr>
      <w:r>
        <w:t>Follow the naming convention in this example:</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9"/>
        <w:numPr>
          <w:ilvl w:val="0"/>
          <w:numId w:val="11"/>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RedCapBwFLS1-v003-CompanyB-CompanyC.docx</w:t>
      </w:r>
    </w:p>
    <w:p>
      <w:pPr>
        <w:jc w:val="both"/>
      </w:pPr>
      <w:r>
        <w:t xml:space="preserve">If needed, you may “lock” a spreadsheet file for 30 minutes by creating a </w:t>
      </w:r>
      <w:r>
        <w:rPr>
          <w:color w:val="FF0000"/>
        </w:rPr>
        <w:t>checkout</w:t>
      </w:r>
      <w:r>
        <w:t xml:space="preserve"> file, as in this example:</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bl>
    <w:p>
      <w:pPr>
        <w:jc w:val="both"/>
        <w:rPr>
          <w:lang w:val="en-US"/>
        </w:rPr>
      </w:pPr>
    </w:p>
    <w:p>
      <w:pPr>
        <w:pStyle w:val="2"/>
        <w:ind w:left="1134" w:hanging="1134"/>
        <w:rPr>
          <w:lang w:val="en-US"/>
        </w:rPr>
      </w:pPr>
      <w:r>
        <w:rPr>
          <w:lang w:val="en-US"/>
        </w:rPr>
        <w:t>Separate initial DL BWP</w:t>
      </w:r>
    </w:p>
    <w:p>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jc w:val="both"/>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jc w:val="both"/>
        <w:rPr>
          <w:lang w:val="en-US"/>
        </w:rPr>
      </w:pPr>
      <w:r>
        <w:rPr>
          <w:lang w:val="en-US"/>
        </w:rPr>
        <w:t>Some additional views are expressed as follows: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jc w:val="both"/>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ko-KR"/>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jc w:val="both"/>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jc w:val="both"/>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jc w:val="both"/>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Cs w:val="22"/>
                <w:lang w:val="en-US"/>
              </w:rPr>
              <w:t xml:space="preserve">For TDD, </w:t>
            </w:r>
            <w:r>
              <w:rPr>
                <w:b/>
                <w:bCs/>
                <w:color w:val="4472C4" w:themeColor="accent1"/>
                <w:szCs w:val="22"/>
                <w:lang w:val="en-US"/>
                <w14:textFill>
                  <w14:solidFill>
                    <w14:schemeClr w14:val="accent1"/>
                  </w14:solidFill>
                </w14:textFill>
              </w:rPr>
              <w:t>it is only applicable when</w:t>
            </w:r>
            <w:r>
              <w:rPr>
                <w:b/>
                <w:bCs/>
                <w:szCs w:val="22"/>
                <w:lang w:val="en-US"/>
              </w:rPr>
              <w:t xml:space="preserve"> the center frequencies of the MIB-configured CORESET#0 and the initial UL BWP are </w:t>
            </w:r>
            <w:r>
              <w:rPr>
                <w:b/>
                <w:bCs/>
                <w:strike/>
                <w:color w:val="FF0000"/>
                <w:szCs w:val="22"/>
                <w:lang w:val="en-US"/>
              </w:rPr>
              <w:t>not necessarily</w:t>
            </w:r>
            <w:r>
              <w:rPr>
                <w:b/>
                <w:bCs/>
                <w:color w:val="FF0000"/>
                <w:szCs w:val="22"/>
                <w:lang w:val="en-US"/>
              </w:rPr>
              <w:t xml:space="preserve"> </w:t>
            </w:r>
            <w:r>
              <w:rPr>
                <w:b/>
                <w:bCs/>
                <w:szCs w:val="22"/>
                <w:lang w:val="en-US"/>
              </w:rPr>
              <w:t>aligned</w:t>
            </w:r>
            <w:r>
              <w:rPr>
                <w:b/>
                <w:bCs/>
                <w:strike/>
                <w:color w:val="FF0000"/>
                <w:szCs w:val="22"/>
                <w:lang w:val="en-US"/>
              </w:rPr>
              <w:t>, but the total frequency span of MIB-configured CORESET#0 and the initial UL BWP does not exceed the RedCap UE maximum bandwidth</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Pr>
                <w:b/>
                <w:bCs/>
                <w:color w:val="FF0000"/>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jc w:val="both"/>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jc w:val="both"/>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6" cstate="print"/>
                          <a:srcRect/>
                          <a:stretch>
                            <a:fillRect/>
                          </a:stretch>
                        </pic:blipFill>
                        <pic:spPr>
                          <a:xfrm>
                            <a:off x="0" y="0"/>
                            <a:ext cx="1809748" cy="1602218"/>
                          </a:xfrm>
                          <a:prstGeom prst="rect">
                            <a:avLst/>
                          </a:prstGeom>
                          <a:noFill/>
                        </pic:spPr>
                      </pic:pic>
                    </a:graphicData>
                  </a:graphic>
                </wp:inline>
              </w:drawing>
            </w:r>
          </w:p>
          <w:p>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175"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Option 2a</w:t>
            </w:r>
          </w:p>
        </w:tc>
        <w:tc>
          <w:tcPr>
            <w:tcW w:w="1276"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val="en-US" w:eastAsia="zh-CN"/>
              </w:rPr>
              <w:t>Option 1c</w:t>
            </w:r>
          </w:p>
        </w:tc>
        <w:tc>
          <w:tcPr>
            <w:tcW w:w="5811" w:type="dxa"/>
            <w:vAlign w:val="top"/>
          </w:tcPr>
          <w:p>
            <w:pPr>
              <w:jc w:val="both"/>
              <w:rPr>
                <w:rFonts w:hint="eastAsia"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jc w:val="both"/>
              <w:rPr>
                <w:rFonts w:hint="eastAsia" w:eastAsia="宋体"/>
                <w:b/>
                <w:bCs/>
                <w:sz w:val="20"/>
                <w:szCs w:val="22"/>
                <w:lang w:val="en-US" w:eastAsia="zh-CN"/>
              </w:rPr>
            </w:pPr>
            <w:r>
              <w:rPr>
                <w:b/>
                <w:bCs/>
                <w:sz w:val="20"/>
                <w:szCs w:val="22"/>
                <w:lang w:val="en-US"/>
              </w:rPr>
              <w:t>Option 1: A separate initial DL BWP is always configured for RedCap if the initial DL BWP for non-RedCap UEs is wider than the maximum RedCap UE bandwidth</w:t>
            </w:r>
            <w:r>
              <w:rPr>
                <w:rFonts w:hint="eastAsia" w:eastAsia="宋体"/>
                <w:b/>
                <w:bCs/>
                <w:sz w:val="20"/>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 xml:space="preserve">For TDD, </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jc w:val="both"/>
              <w:rPr>
                <w:rFonts w:hint="default" w:eastAsiaTheme="minorEastAsia"/>
                <w:lang w:val="en-US" w:eastAsia="zh-CN"/>
              </w:rPr>
            </w:pPr>
            <w:r>
              <w:rPr>
                <w:rFonts w:hint="eastAsia"/>
                <w:b w:val="0"/>
                <w:bCs w:val="0"/>
                <w:sz w:val="20"/>
                <w:szCs w:val="22"/>
                <w:lang w:val="en-US" w:eastAsia="zh-CN"/>
              </w:rPr>
              <w:t>Based on above, option 2a  provides the configuration flexbility for separate initial DL BWP and save signalling overhead. Option 1c provides the flexible separate initial BWP position.</w:t>
            </w:r>
          </w:p>
          <w:p>
            <w:pPr>
              <w:jc w:val="both"/>
              <w:rPr>
                <w:rFonts w:hint="default" w:ascii="Times New Roman" w:hAnsi="Times New Roman" w:cs="Times New Roman" w:eastAsiaTheme="minorEastAsia"/>
                <w:lang w:val="en-US" w:eastAsia="zh-CN" w:bidi="ar-SA"/>
              </w:rPr>
            </w:pPr>
          </w:p>
        </w:tc>
      </w:tr>
    </w:tbl>
    <w:p>
      <w:pPr>
        <w:tabs>
          <w:tab w:val="left" w:pos="772"/>
        </w:tabs>
        <w:spacing w:after="100" w:afterAutospacing="1"/>
        <w:jc w:val="both"/>
        <w:rPr>
          <w:lang w:val="en-US"/>
        </w:rPr>
      </w:pPr>
    </w:p>
    <w:p>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jc w:val="both"/>
        <w:rPr>
          <w:rStyle w:val="173"/>
          <w:lang w:val="en-US"/>
        </w:rPr>
      </w:pPr>
    </w:p>
    <w:p>
      <w:pPr>
        <w:pStyle w:val="2"/>
        <w:ind w:left="1134" w:hanging="1134"/>
        <w:rPr>
          <w:lang w:val="en-US"/>
        </w:rPr>
      </w:pPr>
      <w:r>
        <w:rPr>
          <w:lang w:val="en-US"/>
        </w:rPr>
        <w:t>SSB for BWP#0 configuration option 1 in connected mode</w:t>
      </w:r>
    </w:p>
    <w:p>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jc w:val="both"/>
        <w:rPr>
          <w:bCs/>
          <w:lang w:val="en-US"/>
        </w:rPr>
      </w:pPr>
      <w:r>
        <w:rPr>
          <w:bCs/>
          <w:lang w:val="en-US"/>
        </w:rPr>
        <w:br w:type="textWrapping"/>
      </w: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ko-KR"/>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ko-KR"/>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2"/>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jc w:val="both"/>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jc w:val="both"/>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ko-KR"/>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 xml:space="preserve">Agree with QC and vivo for interpretation of the agreement. </w:t>
            </w:r>
          </w:p>
          <w:p>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22"/>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jc w:val="both"/>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jc w:val="both"/>
              <w:rPr>
                <w:rFonts w:eastAsiaTheme="minorEastAsia"/>
                <w:lang w:val="en-US" w:eastAsia="zh-CN"/>
              </w:rPr>
            </w:pP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jc w:val="both"/>
              <w:rPr>
                <w:rFonts w:eastAsiaTheme="minorEastAsia"/>
                <w:lang w:val="en-US" w:eastAsia="zh-CN"/>
              </w:rPr>
            </w:pPr>
          </w:p>
          <w:p>
            <w:pPr>
              <w:jc w:val="both"/>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jc w:val="both"/>
              <w:rPr>
                <w:rFonts w:eastAsiaTheme="minorEastAsia"/>
                <w:lang w:val="en-US" w:eastAsia="zh-CN"/>
              </w:rPr>
            </w:pPr>
            <w:r>
              <w:rPr>
                <w:rFonts w:hint="eastAsia" w:eastAsiaTheme="minorEastAsia"/>
                <w:lang w:val="en-US" w:eastAsia="zh-CN"/>
              </w:rPr>
              <w:t>We think the current spec is clear.</w:t>
            </w:r>
          </w:p>
          <w:p>
            <w:pPr>
              <w:jc w:val="both"/>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jc w:val="both"/>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jc w:val="both"/>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jc w:val="both"/>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jc w:val="both"/>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jc w:val="both"/>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both"/>
              <w:rPr>
                <w:rFonts w:hint="default" w:ascii="Times New Roman" w:hAnsi="Times New Roman" w:eastAsia="宋体" w:cs="Times New Roman"/>
                <w:bCs/>
                <w:lang w:val="en-US" w:eastAsia="zh-CN" w:bidi="ar-SA"/>
              </w:rPr>
            </w:pPr>
            <w:r>
              <w:rPr>
                <w:rFonts w:hint="eastAsia" w:eastAsia="宋体"/>
                <w:bCs/>
                <w:lang w:val="en-US" w:eastAsia="zh-CN"/>
              </w:rPr>
              <w:t xml:space="preserve">The spec is clear and works well. </w:t>
            </w:r>
          </w:p>
        </w:tc>
      </w:tr>
    </w:tbl>
    <w:p>
      <w:pPr>
        <w:tabs>
          <w:tab w:val="left" w:pos="772"/>
        </w:tabs>
        <w:spacing w:after="100" w:afterAutospacing="1"/>
        <w:jc w:val="both"/>
        <w:rPr>
          <w:rStyle w:val="176"/>
          <w:lang w:val="en-US"/>
        </w:rPr>
      </w:pPr>
    </w:p>
    <w:p>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22"/>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2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2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jc w:val="both"/>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jc w:val="both"/>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jc w:val="both"/>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jc w:val="both"/>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2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jc w:val="both"/>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2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jc w:val="both"/>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jc w:val="both"/>
              <w:rPr>
                <w:rStyle w:val="176"/>
                <w:rFonts w:cs="Times New Roman"/>
                <w:lang w:val="en-US"/>
              </w:rPr>
            </w:pPr>
          </w:p>
        </w:tc>
      </w:tr>
    </w:tbl>
    <w:p>
      <w:pPr>
        <w:tabs>
          <w:tab w:val="left" w:pos="772"/>
        </w:tabs>
        <w:spacing w:after="100" w:afterAutospacing="1"/>
        <w:jc w:val="both"/>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jc w:val="both"/>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jc w:val="both"/>
        <w:rPr>
          <w:lang w:val="en-US"/>
        </w:rPr>
      </w:pPr>
      <w:r>
        <w:rPr>
          <w:lang w:val="en-US"/>
        </w:rPr>
        <w:t>Some other presented views are summarized below:</w:t>
      </w:r>
    </w:p>
    <w:p>
      <w:pPr>
        <w:pStyle w:val="49"/>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jc w:val="both"/>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jc w:val="both"/>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2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r>
        <w:rPr>
          <w:rFonts w:eastAsia="Microsoft YaHei UI" w:asciiTheme="majorBidi" w:hAnsiTheme="majorBidi" w:cstheme="majorBidi"/>
          <w:b/>
          <w:bCs/>
          <w:lang w:val="en-US" w:eastAsia="zh-CN"/>
        </w:rPr>
        <w:br w:type="textWrapping"/>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jc w:val="both"/>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jc w:val="both"/>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center"/>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center"/>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center"/>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center"/>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cente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center"/>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both"/>
              <w:rPr>
                <w:rFonts w:hint="eastAsia" w:ascii="Times New Roman" w:hAnsi="Times New Roman" w:cs="Times New Roman" w:eastAsiaTheme="minorEastAsia"/>
                <w:lang w:val="en-US" w:eastAsia="zh-CN" w:bidi="ar-SA"/>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bl>
    <w:p>
      <w:pPr>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vAlign w:val="top"/>
          </w:tcPr>
          <w:p>
            <w:pPr>
              <w:jc w:val="both"/>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We are not sure whether all the NCD-SSB based operation is mandatory, e.g., serving cell measurement discussed in RAN2.</w:t>
            </w:r>
          </w:p>
        </w:tc>
      </w:tr>
    </w:tbl>
    <w:p>
      <w:pPr>
        <w:tabs>
          <w:tab w:val="left" w:pos="772"/>
        </w:tabs>
        <w:spacing w:after="100" w:afterAutospacing="1"/>
        <w:ind w:firstLine="284"/>
        <w:jc w:val="both"/>
        <w:rPr>
          <w:rStyle w:val="176"/>
          <w:lang w:val="en-US"/>
        </w:rPr>
      </w:pPr>
    </w:p>
    <w:p>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2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jc w:val="both"/>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jc w:val="both"/>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2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3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31"/>
              </w:numPr>
              <w:rPr>
                <w:rFonts w:eastAsia="等线"/>
                <w:lang w:val="en-US" w:eastAsia="zh-CN"/>
              </w:rPr>
            </w:pPr>
            <w:r>
              <w:rPr>
                <w:rFonts w:eastAsia="等线"/>
                <w:lang w:val="en-US" w:eastAsia="zh-CN"/>
              </w:rPr>
              <w:t>CSI-RS based RRM measurements, i.e FG 1-4 and 1-5, are not supported.</w:t>
            </w:r>
          </w:p>
          <w:p>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both"/>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772"/>
        </w:tabs>
        <w:spacing w:after="100" w:afterAutospacing="1"/>
        <w:jc w:val="both"/>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pPr>
        <w:pStyle w:val="49"/>
        <w:numPr>
          <w:ilvl w:val="0"/>
          <w:numId w:val="30"/>
        </w:numPr>
        <w:tabs>
          <w:tab w:val="left" w:pos="772"/>
        </w:tabs>
        <w:spacing w:after="100" w:afterAutospacing="1"/>
        <w:jc w:val="both"/>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30"/>
        </w:numPr>
        <w:tabs>
          <w:tab w:val="left" w:pos="772"/>
        </w:tabs>
        <w:spacing w:after="100" w:afterAutospacing="1"/>
        <w:jc w:val="both"/>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Yes</w:t>
            </w:r>
          </w:p>
        </w:tc>
        <w:tc>
          <w:tcPr>
            <w:tcW w:w="6780"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It seems the measurement gap would be overlapped with the switching gap for HD-FDD RedCap UE. More discussion is needed.</w:t>
            </w:r>
          </w:p>
        </w:tc>
      </w:tr>
    </w:tbl>
    <w:p>
      <w:pPr>
        <w:tabs>
          <w:tab w:val="left" w:pos="772"/>
        </w:tabs>
        <w:spacing w:after="100" w:afterAutospacing="1"/>
        <w:ind w:firstLine="400" w:firstLineChars="200"/>
        <w:jc w:val="both"/>
        <w:rPr>
          <w:lang w:val="en-US"/>
        </w:rPr>
      </w:pPr>
    </w:p>
    <w:p>
      <w:pPr>
        <w:tabs>
          <w:tab w:val="left" w:pos="772"/>
        </w:tabs>
        <w:spacing w:after="100" w:afterAutospacing="1"/>
        <w:jc w:val="both"/>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jc w:val="both"/>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561"/>
        <w:gridCol w:w="7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7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p>
        </w:tc>
        <w:tc>
          <w:tcPr>
            <w:tcW w:w="7701"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561" w:type="dxa"/>
          </w:tcPr>
          <w:p>
            <w:pPr>
              <w:tabs>
                <w:tab w:val="left" w:pos="551"/>
              </w:tabs>
              <w:rPr>
                <w:rFonts w:eastAsiaTheme="minorEastAsia"/>
                <w:lang w:val="en-US" w:eastAsia="zh-CN"/>
              </w:rPr>
            </w:pPr>
            <w:r>
              <w:rPr>
                <w:rFonts w:hint="eastAsia"/>
                <w:lang w:val="en-US" w:eastAsia="ko-KR"/>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561" w:type="dxa"/>
          </w:tcPr>
          <w:p>
            <w:pPr>
              <w:tabs>
                <w:tab w:val="left" w:pos="551"/>
              </w:tabs>
              <w:rPr>
                <w:lang w:val="en-US" w:eastAsia="ko-KR"/>
              </w:rPr>
            </w:pPr>
            <w:r>
              <w:rPr>
                <w:rFonts w:hint="eastAsia" w:eastAsiaTheme="minorEastAsia"/>
                <w:lang w:val="en-US" w:eastAsia="zh-CN"/>
              </w:rPr>
              <w:t>N</w:t>
            </w:r>
          </w:p>
        </w:tc>
        <w:tc>
          <w:tcPr>
            <w:tcW w:w="77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eastAsiaTheme="minorEastAsia"/>
                <w:lang w:val="en-US" w:eastAsia="zh-CN"/>
              </w:rPr>
              <w:t>No</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3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34"/>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34"/>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561" w:type="dxa"/>
          </w:tcPr>
          <w:p>
            <w:pPr>
              <w:tabs>
                <w:tab w:val="left" w:pos="551"/>
              </w:tabs>
              <w:rPr>
                <w:lang w:val="en-US" w:eastAsia="ko-KR"/>
              </w:rPr>
            </w:pPr>
            <w:r>
              <w:rPr>
                <w:lang w:val="en-US" w:eastAsia="ko-KR"/>
              </w:rPr>
              <w:t>Y</w:t>
            </w:r>
          </w:p>
        </w:tc>
        <w:tc>
          <w:tcPr>
            <w:tcW w:w="7701"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561" w:type="dxa"/>
          </w:tcPr>
          <w:p>
            <w:pPr>
              <w:tabs>
                <w:tab w:val="left" w:pos="551"/>
              </w:tabs>
              <w:rPr>
                <w:rFonts w:eastAsiaTheme="minorEastAsia"/>
                <w:lang w:val="en-US" w:eastAsia="zh-CN"/>
              </w:rPr>
            </w:pPr>
            <w:r>
              <w:rPr>
                <w:rFonts w:hint="eastAsia" w:eastAsia="PMingLiU"/>
                <w:lang w:val="en-US" w:eastAsia="zh-TW"/>
              </w:rPr>
              <w:t>Y</w:t>
            </w:r>
          </w:p>
        </w:tc>
        <w:tc>
          <w:tcPr>
            <w:tcW w:w="7701"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701"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N</w:t>
            </w:r>
          </w:p>
        </w:tc>
        <w:tc>
          <w:tcPr>
            <w:tcW w:w="77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701"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701"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561" w:type="dxa"/>
          </w:tcPr>
          <w:p>
            <w:pPr>
              <w:tabs>
                <w:tab w:val="left" w:pos="551"/>
              </w:tabs>
              <w:rPr>
                <w:rFonts w:eastAsia="Yu Mincho"/>
                <w:lang w:val="en-US" w:eastAsia="ja-JP"/>
              </w:rPr>
            </w:pPr>
            <w:r>
              <w:rPr>
                <w:rFonts w:hint="eastAsia" w:eastAsiaTheme="minorEastAsia"/>
                <w:lang w:val="en-US" w:eastAsia="zh-CN"/>
              </w:rPr>
              <w:t>N</w:t>
            </w:r>
          </w:p>
        </w:tc>
        <w:tc>
          <w:tcPr>
            <w:tcW w:w="7701"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561" w:type="dxa"/>
          </w:tcPr>
          <w:p>
            <w:pPr>
              <w:tabs>
                <w:tab w:val="left" w:pos="551"/>
              </w:tabs>
              <w:rPr>
                <w:rFonts w:eastAsiaTheme="minorEastAsia"/>
                <w:lang w:val="en-US" w:eastAsia="zh-CN"/>
              </w:rPr>
            </w:pPr>
          </w:p>
        </w:tc>
        <w:tc>
          <w:tcPr>
            <w:tcW w:w="7701"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7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561" w:type="dxa"/>
          </w:tcPr>
          <w:p>
            <w:pPr>
              <w:tabs>
                <w:tab w:val="left" w:pos="551"/>
              </w:tabs>
              <w:rPr>
                <w:rFonts w:eastAsiaTheme="minorEastAsia"/>
                <w:lang w:val="en-US" w:eastAsia="zh-CN"/>
              </w:rPr>
            </w:pPr>
            <w:r>
              <w:rPr>
                <w:rFonts w:hint="eastAsia" w:eastAsia="Malgun Gothic"/>
                <w:lang w:val="en-US" w:eastAsia="ko-KR"/>
              </w:rPr>
              <w:t>N</w:t>
            </w:r>
          </w:p>
        </w:tc>
        <w:tc>
          <w:tcPr>
            <w:tcW w:w="7701"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561" w:type="dxa"/>
          </w:tcPr>
          <w:p>
            <w:pPr>
              <w:tabs>
                <w:tab w:val="left" w:pos="551"/>
              </w:tabs>
              <w:rPr>
                <w:rFonts w:eastAsia="Malgun Gothic"/>
                <w:lang w:val="en-US" w:eastAsia="ko-KR"/>
              </w:rPr>
            </w:pPr>
            <w:r>
              <w:rPr>
                <w:rFonts w:eastAsiaTheme="minorEastAsia"/>
                <w:lang w:val="en-US" w:eastAsia="zh-CN"/>
              </w:rPr>
              <w:t>N</w:t>
            </w:r>
          </w:p>
        </w:tc>
        <w:tc>
          <w:tcPr>
            <w:tcW w:w="7701"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561" w:type="dxa"/>
            <w:vAlign w:val="top"/>
          </w:tcPr>
          <w:p>
            <w:pPr>
              <w:tabs>
                <w:tab w:val="left" w:pos="551"/>
              </w:tabs>
              <w:rPr>
                <w:rFonts w:hint="eastAsia" w:ascii="Times New Roman" w:hAnsi="Times New Roman" w:cs="Times New Roman" w:eastAsiaTheme="minorEastAsia"/>
                <w:lang w:val="en-US" w:eastAsia="zh-CN" w:bidi="ar-SA"/>
              </w:rPr>
            </w:pPr>
          </w:p>
        </w:tc>
        <w:tc>
          <w:tcPr>
            <w:tcW w:w="7701"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We share similar view with Huawei. When/how to receive SSB for measurment during RACH procedure would have impacts on the timeline related issue. </w:t>
            </w:r>
          </w:p>
        </w:tc>
      </w:tr>
    </w:tbl>
    <w:p>
      <w:pPr>
        <w:tabs>
          <w:tab w:val="left" w:pos="628"/>
        </w:tabs>
        <w:spacing w:after="100" w:afterAutospacing="1"/>
        <w:jc w:val="both"/>
        <w:rPr>
          <w:rStyle w:val="176"/>
          <w:lang w:val="en-US"/>
        </w:rPr>
      </w:pPr>
      <w:r>
        <w:rPr>
          <w:rStyle w:val="176"/>
          <w:lang w:val="en-US"/>
        </w:rPr>
        <w:tab/>
      </w: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pPr>
              <w:pStyle w:val="49"/>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jc w:val="both"/>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jc w:val="both"/>
        <w:rPr>
          <w:lang w:val="en-US"/>
        </w:rPr>
      </w:pPr>
      <w:r>
        <w:rPr>
          <w:lang w:val="en-US"/>
        </w:rPr>
        <w:t>Based on the above views, the following proposal can be considered:</w:t>
      </w:r>
    </w:p>
    <w:p>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jc w:val="both"/>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jc w:val="both"/>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jc w:val="both"/>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jc w:val="both"/>
        <w:rPr>
          <w:rStyle w:val="173"/>
          <w:lang w:val="en-US"/>
        </w:rPr>
      </w:pPr>
    </w:p>
    <w:p>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55"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5"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ko-KR"/>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8155"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8155"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8155"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8155"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8155"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jc w:val="both"/>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jc w:val="both"/>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8155"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5"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3"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3"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More discussion</w:t>
            </w:r>
          </w:p>
        </w:tc>
        <w:tc>
          <w:tcPr>
            <w:tcW w:w="6783"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3" w:type="dxa"/>
          </w:tcPr>
          <w:p>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3"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3"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3"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vAlign w:val="top"/>
          </w:tcPr>
          <w:p>
            <w:pPr>
              <w:rPr>
                <w:rFonts w:hint="eastAsia"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pPr>
              <w:rPr>
                <w:rFonts w:hint="eastAsia"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hint="default" w:ascii="Times New Roman" w:hAnsi="Times New Roman" w:cs="Times New Roman" w:eastAsiaTheme="minorEastAsia"/>
                <w:lang w:val="en-US" w:eastAsia="zh-CN" w:bidi="ar-SA"/>
              </w:rPr>
            </w:pPr>
            <w:r>
              <w:rPr>
                <w:rFonts w:hint="eastAsia" w:eastAsiaTheme="minorEastAsia"/>
                <w:lang w:val="en-US" w:eastAsia="zh-CN"/>
              </w:rPr>
              <w:t>How to interpret the PRB offset for non-FH PUCCH resource is up to RAN2 decision. Nevertheless, we can accept FL proposal with option2 for more progress.</w:t>
            </w:r>
          </w:p>
        </w:tc>
      </w:tr>
    </w:tbl>
    <w:p>
      <w:pPr>
        <w:tabs>
          <w:tab w:val="left" w:pos="1410"/>
        </w:tabs>
        <w:spacing w:after="100" w:afterAutospacing="1"/>
        <w:jc w:val="both"/>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1410"/>
        </w:tabs>
        <w:spacing w:after="100" w:afterAutospacing="1"/>
        <w:jc w:val="both"/>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jc w:val="both"/>
        <w:rPr>
          <w:b/>
          <w:bCs/>
          <w:u w:val="single"/>
          <w:lang w:val="en-US"/>
        </w:rPr>
      </w:pPr>
      <w:r>
        <w:rPr>
          <w:b/>
          <w:bCs/>
          <w:u w:val="single"/>
          <w:lang w:val="en-US"/>
        </w:rPr>
        <w:t>UL/DL center frequency in TDD:</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jc w:val="both"/>
        <w:rPr>
          <w:b/>
          <w:bCs/>
          <w:u w:val="single"/>
          <w:lang w:val="en-US"/>
        </w:rPr>
      </w:pPr>
      <w:r>
        <w:rPr>
          <w:b/>
          <w:bCs/>
          <w:u w:val="single"/>
          <w:lang w:val="en-US"/>
        </w:rPr>
        <w:t>Multiplexing of FH and non-FH PUCCH: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jc w:val="both"/>
        <w:rPr>
          <w:b/>
          <w:bCs/>
          <w:u w:val="single"/>
          <w:lang w:val="en-US"/>
        </w:rPr>
      </w:pPr>
      <w:r>
        <w:rPr>
          <w:b/>
          <w:bCs/>
          <w:u w:val="single"/>
          <w:lang w:val="en-US"/>
        </w:rPr>
        <w:t>RACH occasions: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jc w:val="both"/>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39"/>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39"/>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40"/>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42"/>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bl>
    <w:p>
      <w:pPr>
        <w:rPr>
          <w:lang w:val="en-US"/>
        </w:rPr>
      </w:pPr>
    </w:p>
    <w:sectPr>
      <w:footerReference r:id="rId3" w:type="default"/>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anchor>
          </w:drawing>
        </mc:Choice>
        <mc:Fallback>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D0h4tgAAAALAQAADwAAAAAAAAABACAAAAAiAAAAZHJzL2Rvd25y&#10;ZXYueG1sUEsBAhQAFAAAAAgAh07iQEd5xshwAgAAvAQAAA4AAAAAAAAAAQAgAAAAJwEAAGRycy9l&#10;Mm9Eb2MueG1sUEsFBgAAAAAGAAYAWQEAAAkGAAAAAA==&#10;">
              <v:fill on="f" focussize="0,0"/>
              <v:stroke on="f"/>
              <v:imagedata o:title=""/>
              <o:lock v:ext="edit" aspectratio="f"/>
              <v:textbox inset="20pt,0mm,0.00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9">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1">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2">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21E7"/>
    <w:rsid w:val="004030B8"/>
    <w:rsid w:val="00403B63"/>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54258"/>
    <w:rsid w:val="00761E92"/>
    <w:rsid w:val="00763D69"/>
    <w:rsid w:val="00765425"/>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E53BA"/>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jc w:val="both"/>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2889BA8B-97BB-4B73-865C-90DD9940FFF5}">
  <ds:schemaRefs/>
</ds:datastoreItem>
</file>

<file path=customXml/itemProps5.xml><?xml version="1.0" encoding="utf-8"?>
<ds:datastoreItem xmlns:ds="http://schemas.openxmlformats.org/officeDocument/2006/customXml" ds:itemID="{21627FBF-3C63-42DA-8AAC-C11758AB052D}">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57</Pages>
  <Words>22695</Words>
  <Characters>129363</Characters>
  <Lines>1078</Lines>
  <Paragraphs>303</Paragraphs>
  <TotalTime>2</TotalTime>
  <ScaleCrop>false</ScaleCrop>
  <LinksUpToDate>false</LinksUpToDate>
  <CharactersWithSpaces>151755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2022-02-23T15:38:00Z</dcterms:created>
  <dc:creator>Johan Bergman</dc:creator>
  <cp:lastModifiedBy>ZTE-Youjun</cp:lastModifiedBy>
  <dcterms:modified xsi:type="dcterms:W3CDTF">2022-02-23T16:02:34Z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