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8012" w14:textId="20C31688" w:rsidR="005F176E" w:rsidRDefault="002F43E7" w:rsidP="0075724C">
      <w:pPr>
        <w:pStyle w:val="CRCoverPage"/>
        <w:tabs>
          <w:tab w:val="right" w:pos="9639"/>
        </w:tabs>
        <w:spacing w:after="0"/>
        <w:rPr>
          <w:b/>
          <w:i/>
          <w:noProof/>
          <w:sz w:val="28"/>
        </w:rPr>
      </w:pPr>
      <w:r w:rsidRPr="002F43E7">
        <w:rPr>
          <w:b/>
          <w:noProof/>
          <w:sz w:val="24"/>
        </w:rPr>
        <w:t>3GPP TSG RAN WG1 Meeting #</w:t>
      </w:r>
      <w:r>
        <w:rPr>
          <w:b/>
          <w:noProof/>
          <w:sz w:val="24"/>
        </w:rPr>
        <w:t xml:space="preserve">108-e </w:t>
      </w:r>
      <w:r w:rsidR="005F176E">
        <w:rPr>
          <w:b/>
          <w:i/>
          <w:noProof/>
          <w:sz w:val="28"/>
        </w:rPr>
        <w:tab/>
      </w:r>
      <w:r w:rsidR="00E23599" w:rsidRPr="00E23599">
        <w:rPr>
          <w:b/>
          <w:noProof/>
          <w:sz w:val="24"/>
        </w:rPr>
        <w:t>R1-220</w:t>
      </w:r>
      <w:r w:rsidR="00251B65">
        <w:rPr>
          <w:b/>
          <w:noProof/>
          <w:sz w:val="24"/>
        </w:rPr>
        <w:t>2917</w:t>
      </w:r>
    </w:p>
    <w:p w14:paraId="3ABF2135" w14:textId="2B626127" w:rsidR="005F176E" w:rsidRDefault="002F43E7" w:rsidP="005F176E">
      <w:pPr>
        <w:pStyle w:val="CRCoverPage"/>
        <w:tabs>
          <w:tab w:val="right" w:pos="9639"/>
        </w:tabs>
        <w:spacing w:after="0"/>
        <w:rPr>
          <w:b/>
          <w:noProof/>
          <w:sz w:val="24"/>
        </w:rPr>
      </w:pPr>
      <w:r w:rsidRPr="002F43E7">
        <w:rPr>
          <w:b/>
          <w:noProof/>
          <w:sz w:val="24"/>
        </w:rPr>
        <w:t>e-Meeting, February 21th  – March 3rd,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0E0791E1" w:rsidR="00577549" w:rsidRDefault="00577549" w:rsidP="00362FF8">
            <w:pPr>
              <w:pStyle w:val="CRCoverPage"/>
              <w:spacing w:after="0"/>
              <w:jc w:val="right"/>
              <w:rPr>
                <w:i/>
                <w:noProof/>
              </w:rPr>
            </w:pPr>
            <w:r>
              <w:rPr>
                <w:i/>
                <w:noProof/>
                <w:sz w:val="14"/>
              </w:rPr>
              <w:t>CR-Form-v12.</w:t>
            </w:r>
            <w:r w:rsidR="00362FF8">
              <w:rPr>
                <w:i/>
                <w:noProof/>
                <w:sz w:val="14"/>
              </w:rPr>
              <w:t>1</w:t>
            </w:r>
          </w:p>
        </w:tc>
      </w:tr>
      <w:tr w:rsidR="00577549" w14:paraId="575772EA" w14:textId="77777777" w:rsidTr="001602BD">
        <w:tc>
          <w:tcPr>
            <w:tcW w:w="9641" w:type="dxa"/>
            <w:gridSpan w:val="9"/>
            <w:tcBorders>
              <w:left w:val="single" w:sz="4" w:space="0" w:color="auto"/>
              <w:right w:val="single" w:sz="4" w:space="0" w:color="auto"/>
            </w:tcBorders>
          </w:tcPr>
          <w:p w14:paraId="5FC30303" w14:textId="6E080FDC" w:rsidR="00577549" w:rsidRDefault="003179E0" w:rsidP="001602BD">
            <w:pPr>
              <w:pStyle w:val="CRCoverPage"/>
              <w:spacing w:after="0"/>
              <w:jc w:val="center"/>
              <w:rPr>
                <w:noProof/>
              </w:rPr>
            </w:pPr>
            <w:r w:rsidRPr="003179E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5C77C7DD" w:rsidR="00577549" w:rsidRPr="00410371" w:rsidRDefault="00577549" w:rsidP="002F43E7">
            <w:pPr>
              <w:pStyle w:val="CRCoverPage"/>
              <w:spacing w:after="0"/>
              <w:jc w:val="center"/>
              <w:rPr>
                <w:b/>
                <w:noProof/>
                <w:sz w:val="28"/>
              </w:rPr>
            </w:pPr>
            <w:r w:rsidRPr="00800E42">
              <w:rPr>
                <w:b/>
                <w:noProof/>
                <w:sz w:val="28"/>
              </w:rPr>
              <w:t>3</w:t>
            </w:r>
            <w:r w:rsidR="00427E78">
              <w:rPr>
                <w:b/>
                <w:noProof/>
                <w:sz w:val="28"/>
              </w:rPr>
              <w:t>6</w:t>
            </w:r>
            <w:r w:rsidRPr="00800E42">
              <w:rPr>
                <w:b/>
                <w:noProof/>
                <w:sz w:val="28"/>
              </w:rPr>
              <w:t>.</w:t>
            </w:r>
            <w:r w:rsidR="002F43E7">
              <w:rPr>
                <w:b/>
                <w:noProof/>
                <w:sz w:val="28"/>
              </w:rPr>
              <w:t>300</w:t>
            </w:r>
          </w:p>
        </w:tc>
        <w:tc>
          <w:tcPr>
            <w:tcW w:w="709" w:type="dxa"/>
          </w:tcPr>
          <w:p w14:paraId="504E85A1" w14:textId="000616AF"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31D0846F" w:rsidR="00577549" w:rsidRPr="00410371" w:rsidRDefault="00722699" w:rsidP="00BF6097">
            <w:pPr>
              <w:pStyle w:val="CRCoverPage"/>
              <w:spacing w:after="0"/>
              <w:jc w:val="center"/>
              <w:rPr>
                <w:noProof/>
              </w:rPr>
            </w:pPr>
            <w:r>
              <w:rPr>
                <w:b/>
                <w:noProof/>
                <w:sz w:val="28"/>
              </w:rPr>
              <w:t>xxx</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5B7A39AD" w:rsidR="00577549" w:rsidRPr="00410371" w:rsidRDefault="00722699" w:rsidP="001602BD">
            <w:pPr>
              <w:pStyle w:val="CRCoverPage"/>
              <w:spacing w:after="0"/>
              <w:jc w:val="center"/>
              <w:rPr>
                <w:b/>
                <w:noProof/>
              </w:rPr>
            </w:pPr>
            <w:r>
              <w:rPr>
                <w:b/>
                <w:noProof/>
                <w:sz w:val="28"/>
              </w:rPr>
              <w:t>x</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0731DAFC" w:rsidR="00577549" w:rsidRPr="00410371" w:rsidRDefault="00F87A4E" w:rsidP="001602BD">
            <w:pPr>
              <w:pStyle w:val="CRCoverPage"/>
              <w:spacing w:after="0"/>
              <w:jc w:val="center"/>
              <w:rPr>
                <w:noProof/>
                <w:sz w:val="28"/>
              </w:rPr>
            </w:pPr>
            <w:r w:rsidRPr="00F87A4E">
              <w:rPr>
                <w:b/>
                <w:noProof/>
                <w:sz w:val="28"/>
              </w:rPr>
              <w:t>16.</w:t>
            </w:r>
            <w:r w:rsidR="00846BC6">
              <w:rPr>
                <w:b/>
                <w:noProof/>
                <w:sz w:val="28"/>
              </w:rPr>
              <w:t>7</w:t>
            </w:r>
            <w:r w:rsidRPr="00F87A4E">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60C8A1B5" w:rsidR="00577549" w:rsidRDefault="002F43E7" w:rsidP="002F43E7">
            <w:pPr>
              <w:pStyle w:val="CRCoverPage"/>
              <w:spacing w:after="0"/>
              <w:ind w:left="100"/>
              <w:rPr>
                <w:noProof/>
              </w:rPr>
            </w:pPr>
            <w:r w:rsidRPr="002F43E7">
              <w:t xml:space="preserve">RAN1 </w:t>
            </w:r>
            <w:r w:rsidR="00427E78">
              <w:t>IoT</w:t>
            </w:r>
            <w:r>
              <w:t xml:space="preserve"> NTN </w:t>
            </w:r>
            <w:r w:rsidRPr="002F43E7">
              <w:t>additions for TS 3</w:t>
            </w:r>
            <w:r w:rsidR="00427E78">
              <w:t>6</w:t>
            </w:r>
            <w:r w:rsidRPr="002F43E7">
              <w:t>.300</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73805FF" w:rsidR="00577549" w:rsidRDefault="005910F9" w:rsidP="00F87A4E">
            <w:pPr>
              <w:pStyle w:val="CRCoverPage"/>
              <w:spacing w:after="0"/>
              <w:ind w:left="100"/>
              <w:rPr>
                <w:noProof/>
              </w:rPr>
            </w:pPr>
            <w:r>
              <w:t>MediaTek</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5A2D001D" w:rsidR="00577549" w:rsidRDefault="00846BC6" w:rsidP="001602BD">
            <w:pPr>
              <w:pStyle w:val="CRCoverPage"/>
              <w:spacing w:after="0"/>
              <w:ind w:left="100"/>
              <w:rPr>
                <w:noProof/>
              </w:rPr>
            </w:pPr>
            <w:r w:rsidRPr="00846BC6">
              <w:t xml:space="preserve">LTE_NBIOT_eMTC_NTN  </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3D2A6DDB" w:rsidR="00577549" w:rsidRDefault="00F87A4E" w:rsidP="001602BD">
            <w:pPr>
              <w:pStyle w:val="CRCoverPage"/>
              <w:spacing w:after="0"/>
              <w:ind w:left="100"/>
              <w:rPr>
                <w:noProof/>
              </w:rPr>
            </w:pPr>
            <w:r>
              <w:t>2022-02-28</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Default="00AD5EB4" w:rsidP="001602BD">
            <w:pPr>
              <w:pStyle w:val="CRCoverPage"/>
              <w:spacing w:after="0"/>
              <w:ind w:left="100" w:right="-609"/>
              <w:rPr>
                <w:b/>
                <w:noProof/>
              </w:rPr>
            </w:pPr>
            <w: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3AFDEAC1" w:rsidR="00B75CCD" w:rsidRDefault="003179E0" w:rsidP="00F467B4">
            <w:pPr>
              <w:pStyle w:val="CRCoverPage"/>
              <w:spacing w:after="0"/>
              <w:rPr>
                <w:noProof/>
              </w:rPr>
            </w:pPr>
            <w:r>
              <w:t xml:space="preserve">Introduction of </w:t>
            </w:r>
            <w:r w:rsidR="00ED659E">
              <w:t xml:space="preserve">IoT </w:t>
            </w:r>
            <w:r>
              <w:t>NTN support</w:t>
            </w:r>
            <w:r w:rsidR="00ED659E">
              <w:t xml:space="preserve"> for NB-IoT and eMTC</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7C5CEC" w14:textId="266DF772" w:rsidR="00B75CCD" w:rsidRDefault="00F87A4E" w:rsidP="00F87A4E">
            <w:pPr>
              <w:pStyle w:val="CRCoverPage"/>
              <w:spacing w:after="0"/>
            </w:pPr>
            <w:r w:rsidRPr="00F87A4E">
              <w:t>RAN1 additions to TS 3</w:t>
            </w:r>
            <w:r w:rsidR="00846BC6">
              <w:t>6</w:t>
            </w:r>
            <w:r w:rsidRPr="00F87A4E">
              <w:t>.300</w:t>
            </w:r>
            <w:r>
              <w:t xml:space="preserve"> for </w:t>
            </w:r>
            <w:r w:rsidR="00ED659E">
              <w:t>IoT</w:t>
            </w:r>
            <w:r>
              <w:t xml:space="preserve"> NTN support:</w:t>
            </w:r>
          </w:p>
          <w:p w14:paraId="0742CF8B" w14:textId="77777777" w:rsidR="00F87A4E" w:rsidRDefault="00F87A4E" w:rsidP="00F87A4E">
            <w:pPr>
              <w:pStyle w:val="CRCoverPage"/>
              <w:numPr>
                <w:ilvl w:val="0"/>
                <w:numId w:val="38"/>
              </w:numPr>
              <w:spacing w:after="0"/>
              <w:rPr>
                <w:noProof/>
              </w:rPr>
            </w:pPr>
            <w:r w:rsidRPr="00F87A4E">
              <w:rPr>
                <w:noProof/>
              </w:rPr>
              <w:t>Impact on timing aspects</w:t>
            </w:r>
          </w:p>
          <w:p w14:paraId="4EC4F726" w14:textId="77777777" w:rsidR="00F87A4E" w:rsidRDefault="00F87A4E" w:rsidP="00F87A4E">
            <w:pPr>
              <w:pStyle w:val="ListParagraph"/>
              <w:numPr>
                <w:ilvl w:val="0"/>
                <w:numId w:val="38"/>
              </w:numPr>
              <w:ind w:leftChars="0"/>
              <w:rPr>
                <w:rFonts w:ascii="Arial" w:hAnsi="Arial"/>
                <w:noProof/>
                <w:sz w:val="20"/>
                <w:szCs w:val="20"/>
                <w:lang w:val="en-GB"/>
              </w:rPr>
            </w:pPr>
            <w:r w:rsidRPr="00F87A4E">
              <w:rPr>
                <w:rFonts w:ascii="Arial" w:hAnsi="Arial"/>
                <w:noProof/>
                <w:sz w:val="20"/>
                <w:szCs w:val="20"/>
                <w:lang w:val="en-GB"/>
              </w:rPr>
              <w:t>A description of the UE autonomous TA pre-compensation and frequency pre-compensation</w:t>
            </w:r>
          </w:p>
          <w:p w14:paraId="549CE13F" w14:textId="577C4056" w:rsidR="00846BC6" w:rsidRPr="00F87A4E" w:rsidRDefault="00846BC6" w:rsidP="00F87A4E">
            <w:pPr>
              <w:pStyle w:val="ListParagraph"/>
              <w:numPr>
                <w:ilvl w:val="0"/>
                <w:numId w:val="38"/>
              </w:numPr>
              <w:ind w:leftChars="0"/>
              <w:rPr>
                <w:rFonts w:ascii="Arial" w:hAnsi="Arial"/>
                <w:noProof/>
                <w:sz w:val="20"/>
                <w:szCs w:val="20"/>
                <w:lang w:val="en-GB"/>
              </w:rPr>
            </w:pPr>
            <w:r>
              <w:rPr>
                <w:rFonts w:ascii="Arial" w:hAnsi="Arial"/>
                <w:noProof/>
                <w:sz w:val="20"/>
                <w:szCs w:val="20"/>
                <w:lang w:val="en-GB"/>
              </w:rPr>
              <w:t>A description of UL segmented transmission</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112EBD7A" w:rsidR="00B75CCD" w:rsidRDefault="00F87A4E" w:rsidP="00F87A4E">
            <w:pPr>
              <w:pStyle w:val="CRCoverPage"/>
              <w:spacing w:after="0"/>
              <w:rPr>
                <w:noProof/>
              </w:rPr>
            </w:pPr>
            <w:r>
              <w:t>E</w:t>
            </w:r>
            <w:r w:rsidRPr="00F87A4E">
              <w:t xml:space="preserve">nhancements on UL time and frequency synchronization for </w:t>
            </w:r>
            <w:r w:rsidR="00846BC6">
              <w:t>IoT</w:t>
            </w:r>
            <w:r w:rsidRPr="00F87A4E">
              <w:t xml:space="preserve"> NTN</w:t>
            </w:r>
            <w:r w:rsidR="00846BC6">
              <w:t xml:space="preserve">, IoT </w:t>
            </w:r>
            <w:r w:rsidRPr="00F87A4E">
              <w:t>NTN timing relationships</w:t>
            </w:r>
            <w:r w:rsidR="00846BC6">
              <w:t xml:space="preserve">, and UL segmented transmission </w:t>
            </w:r>
            <w:r>
              <w:t xml:space="preserve"> are</w:t>
            </w:r>
            <w:r w:rsidRPr="00F87A4E">
              <w:t xml:space="preserve"> not clarified in stage-2</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0CE2500C" w:rsidR="00577549" w:rsidRDefault="00D259CF" w:rsidP="00D259CF">
            <w:pPr>
              <w:pStyle w:val="CRCoverPage"/>
              <w:spacing w:after="0"/>
              <w:ind w:left="100"/>
              <w:rPr>
                <w:noProof/>
              </w:rPr>
            </w:pPr>
            <w:r w:rsidRPr="00D259CF">
              <w:rPr>
                <w:noProof/>
              </w:rPr>
              <w:t>16.x.2 User Plane aspects</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398FE3BF"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6020E91B" w:rsidR="00577549" w:rsidRDefault="00D259CF"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5BA3EBE0" w:rsidR="00577549" w:rsidRDefault="00D259CF" w:rsidP="001602BD">
            <w:pPr>
              <w:pStyle w:val="CRCoverPage"/>
              <w:spacing w:after="0"/>
              <w:ind w:left="99"/>
              <w:rPr>
                <w:noProof/>
              </w:rPr>
            </w:pPr>
            <w:r>
              <w:t>TS/TR ... CR</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0F2D7263" w14:textId="77777777" w:rsidR="008F4AB0" w:rsidRDefault="008F4AB0" w:rsidP="00AD5EB4">
      <w:pPr>
        <w:pStyle w:val="Heading3"/>
      </w:pPr>
      <w:bookmarkStart w:id="2" w:name="_Toc19796379"/>
      <w:bookmarkStart w:id="3" w:name="_Toc26459605"/>
      <w:bookmarkStart w:id="4" w:name="_Toc29230249"/>
      <w:bookmarkStart w:id="5" w:name="_Toc36026508"/>
      <w:bookmarkStart w:id="6" w:name="_Toc45107347"/>
      <w:bookmarkStart w:id="7" w:name="_Toc51774016"/>
      <w:bookmarkStart w:id="8" w:name="_Toc74660356"/>
    </w:p>
    <w:p w14:paraId="0FE58C62" w14:textId="77777777" w:rsidR="008F4AB0" w:rsidRDefault="008F4AB0">
      <w:pPr>
        <w:spacing w:after="160" w:line="259" w:lineRule="auto"/>
        <w:rPr>
          <w:rFonts w:ascii="Arial" w:hAnsi="Arial"/>
          <w:sz w:val="28"/>
        </w:rPr>
      </w:pPr>
      <w:r>
        <w:br w:type="page"/>
      </w:r>
    </w:p>
    <w:bookmarkEnd w:id="2"/>
    <w:bookmarkEnd w:id="3"/>
    <w:bookmarkEnd w:id="4"/>
    <w:bookmarkEnd w:id="5"/>
    <w:bookmarkEnd w:id="6"/>
    <w:bookmarkEnd w:id="7"/>
    <w:bookmarkEnd w:id="8"/>
    <w:p w14:paraId="387631D0" w14:textId="77777777" w:rsidR="00EA04C7" w:rsidRDefault="00EA04C7" w:rsidP="00EA04C7">
      <w:pPr>
        <w:keepNext/>
        <w:keepLines/>
        <w:spacing w:before="180"/>
        <w:ind w:left="1134" w:hanging="1134"/>
        <w:jc w:val="center"/>
        <w:outlineLvl w:val="1"/>
        <w:rPr>
          <w:color w:val="FF0000"/>
          <w:sz w:val="24"/>
          <w:lang w:eastAsia="zh-CN"/>
        </w:rPr>
      </w:pPr>
      <w:r>
        <w:rPr>
          <w:color w:val="FF0000"/>
          <w:sz w:val="24"/>
          <w:lang w:eastAsia="zh-CN"/>
        </w:rPr>
        <w:lastRenderedPageBreak/>
        <w:t>*** Unchanged text is omitted ***</w:t>
      </w:r>
    </w:p>
    <w:p w14:paraId="2961CE6F" w14:textId="77777777" w:rsidR="00EA04C7" w:rsidRDefault="00EA04C7" w:rsidP="00EA04C7">
      <w:pPr>
        <w:jc w:val="center"/>
      </w:pPr>
      <w:r>
        <w:rPr>
          <w:highlight w:val="yellow"/>
        </w:rPr>
        <w:t>---------------------- TEXT PROPOSAL BEGIN ----------------------</w:t>
      </w:r>
    </w:p>
    <w:p w14:paraId="283931F2" w14:textId="77777777" w:rsidR="00EA04C7" w:rsidRDefault="00EA04C7" w:rsidP="00EA04C7"/>
    <w:p w14:paraId="353DDE8A" w14:textId="77777777" w:rsidR="00EA04C7" w:rsidRDefault="00EA04C7" w:rsidP="00EA04C7">
      <w:pPr>
        <w:pStyle w:val="Heading3"/>
        <w:ind w:left="720" w:hanging="720"/>
      </w:pPr>
      <w:r>
        <w:rPr>
          <w:rFonts w:hint="eastAsia"/>
        </w:rPr>
        <w:t>1</w:t>
      </w:r>
      <w:r>
        <w:t>6</w:t>
      </w:r>
      <w:r>
        <w:rPr>
          <w:rFonts w:hint="eastAsia"/>
        </w:rPr>
        <w:t>.</w:t>
      </w:r>
      <w:r>
        <w:t>x.2</w:t>
      </w:r>
      <w:r>
        <w:rPr>
          <w:rFonts w:hint="eastAsia"/>
        </w:rPr>
        <w:t xml:space="preserve"> User Plane aspects</w:t>
      </w:r>
    </w:p>
    <w:p w14:paraId="218F34DE" w14:textId="77777777" w:rsidR="00EA04C7" w:rsidRDefault="00EA04C7" w:rsidP="00EA04C7">
      <w:pPr>
        <w:pStyle w:val="ListParagraph"/>
        <w:numPr>
          <w:ilvl w:val="0"/>
          <w:numId w:val="39"/>
        </w:numPr>
        <w:ind w:leftChars="0"/>
        <w:jc w:val="both"/>
        <w:rPr>
          <w:b/>
        </w:rPr>
      </w:pPr>
      <w:r>
        <w:rPr>
          <w:b/>
        </w:rPr>
        <w:t>Impact on timing aspects:</w:t>
      </w:r>
    </w:p>
    <w:p w14:paraId="0DEBEF3C" w14:textId="77777777" w:rsidR="00EA04C7" w:rsidRDefault="00EA04C7" w:rsidP="00EA04C7"/>
    <w:p w14:paraId="2F458852" w14:textId="77777777" w:rsidR="00EA04C7" w:rsidRDefault="00EA04C7" w:rsidP="00EA04C7">
      <w:r w:rsidRPr="00C03DC3">
        <w:t xml:space="preserve">To accommodate the long propagation delays, several </w:t>
      </w:r>
      <w:r>
        <w:t>IoT</w:t>
      </w:r>
      <w:r w:rsidRPr="00C03DC3">
        <w:t xml:space="preserve"> timings involving DL-UL timing interaction are enhanced by the support of two scheduling offsets:</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03DC3">
        <w:t xml:space="preserve"> and</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t xml:space="preserve"> </w:t>
      </w:r>
      <w:r w:rsidRPr="00C03DC3">
        <w:t>as illustrated in Figure below:</w:t>
      </w:r>
    </w:p>
    <w:p w14:paraId="198B7C1F" w14:textId="77777777" w:rsidR="00EA04C7" w:rsidRPr="00C03DC3" w:rsidRDefault="00ED659E" w:rsidP="00EA04C7">
      <w:pPr>
        <w:numPr>
          <w:ilvl w:val="0"/>
          <w:numId w:val="41"/>
        </w:numPr>
        <w:spacing w:after="0"/>
        <w:jc w:val="both"/>
      </w:pP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00EA04C7" w:rsidRPr="00C03DC3">
        <w:t xml:space="preserve"> is the RTT between the UE and the uplink time synchronization reference point (RP). It corresponds to the sum of the service link RTT and the common TA if indicated.</w:t>
      </w:r>
    </w:p>
    <w:p w14:paraId="17256BEF" w14:textId="77777777" w:rsidR="00EA04C7" w:rsidRPr="00C03DC3" w:rsidRDefault="00ED659E" w:rsidP="00EA04C7">
      <w:pPr>
        <w:numPr>
          <w:ilvl w:val="0"/>
          <w:numId w:val="41"/>
        </w:numPr>
        <w:spacing w:after="0"/>
        <w:jc w:val="both"/>
      </w:pP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00EA04C7" w:rsidRPr="00C03DC3">
        <w:t xml:space="preserve"> is the RTT between the RP and the </w:t>
      </w:r>
      <w:r w:rsidR="00EA04C7">
        <w:t>eNB</w:t>
      </w:r>
      <w:r w:rsidR="00EA04C7" w:rsidRPr="00C03DC3">
        <w:t>.</w:t>
      </w:r>
    </w:p>
    <w:p w14:paraId="11AA6BEB" w14:textId="77777777" w:rsidR="00EA04C7" w:rsidRPr="00C03DC3" w:rsidRDefault="00EA04C7" w:rsidP="00EA04C7">
      <w:r w:rsidRPr="00C03DC3">
        <w:t>DL and UL are frame aligned at the uplink time synchronization reference point with an offset given by</w:t>
      </w:r>
      <w:r w:rsidRPr="00C03DC3">
        <w:rPr>
          <w:rFonts w:hint="eastAsia"/>
        </w:rPr>
        <w:t xml:space="preserve">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p>
    <w:p w14:paraId="51FAE3C5" w14:textId="77777777" w:rsidR="00EA04C7" w:rsidRDefault="00EA04C7" w:rsidP="00EA04C7">
      <w:pPr>
        <w:jc w:val="center"/>
      </w:pPr>
      <w:r>
        <w:object w:dxaOrig="7404" w:dyaOrig="5820" w14:anchorId="2A7E9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222.75pt" o:ole="">
            <v:imagedata r:id="rId9" o:title=""/>
          </v:shape>
          <o:OLEObject Type="Embed" ProgID="Visio.Drawing.15" ShapeID="_x0000_i1025" DrawAspect="Content" ObjectID="_1708103594" r:id="rId10"/>
        </w:object>
      </w:r>
    </w:p>
    <w:p w14:paraId="2100EEC2" w14:textId="77777777" w:rsidR="00EA04C7" w:rsidRDefault="00EA04C7" w:rsidP="00EA04C7">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Timing relationship </w:t>
      </w:r>
      <w:r w:rsidRPr="00DF236E">
        <w:rPr>
          <w:rFonts w:hint="eastAsia"/>
        </w:rPr>
        <w:t>pa</w:t>
      </w:r>
      <w:r>
        <w:t>rameters</w:t>
      </w:r>
    </w:p>
    <w:p w14:paraId="3BD45B6C" w14:textId="77777777" w:rsidR="00EA04C7" w:rsidRPr="00A944E6" w:rsidRDefault="00EA04C7" w:rsidP="00EA04C7">
      <w:pPr>
        <w:spacing w:after="0"/>
        <w:rPr>
          <w:rFonts w:cs="Helv"/>
        </w:rPr>
      </w:pPr>
      <w:r w:rsidRPr="00362FF8">
        <w:rPr>
          <w:rFonts w:cs="Helv"/>
        </w:rPr>
        <w:t xml:space="preserve">The timing relationships that need to be modified for </w:t>
      </w:r>
      <w:r>
        <w:rPr>
          <w:rFonts w:cs="Helv"/>
        </w:rPr>
        <w:t>NB-IoT</w:t>
      </w:r>
      <w:r w:rsidRPr="00362FF8">
        <w:rPr>
          <w:rFonts w:cs="Helv"/>
        </w:rPr>
        <w:t xml:space="preserve">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362FF8">
        <w:rPr>
          <w:rFonts w:cs="Helv"/>
        </w:rPr>
        <w:t xml:space="preserve">are summarized as follows: </w:t>
      </w:r>
    </w:p>
    <w:p w14:paraId="5CC41AFF" w14:textId="77777777" w:rsidR="00EA04C7" w:rsidRPr="008168DC" w:rsidRDefault="00EA04C7" w:rsidP="00EA04C7">
      <w:pPr>
        <w:pStyle w:val="ListParagraph"/>
        <w:numPr>
          <w:ilvl w:val="0"/>
          <w:numId w:val="40"/>
        </w:numPr>
        <w:autoSpaceDE w:val="0"/>
        <w:autoSpaceDN w:val="0"/>
        <w:adjustRightInd w:val="0"/>
        <w:spacing w:line="276" w:lineRule="auto"/>
        <w:ind w:leftChars="0"/>
        <w:contextualSpacing/>
        <w:jc w:val="both"/>
        <w:rPr>
          <w:rFonts w:ascii="Times New Roman" w:hAnsi="Times New Roman"/>
          <w:sz w:val="20"/>
          <w:szCs w:val="20"/>
          <w:lang w:val="en-GB"/>
        </w:rPr>
      </w:pPr>
      <w:r w:rsidRPr="008168DC">
        <w:rPr>
          <w:rFonts w:ascii="Times New Roman" w:hAnsi="Times New Roman"/>
          <w:sz w:val="20"/>
          <w:szCs w:val="20"/>
          <w:lang w:val="en-GB"/>
        </w:rPr>
        <w:t>The transmission timing of NPDCCH scheduled NPUSCH format 1.</w:t>
      </w:r>
    </w:p>
    <w:p w14:paraId="6A4C7D87" w14:textId="77777777" w:rsidR="00EA04C7" w:rsidRPr="008168DC" w:rsidRDefault="00EA04C7" w:rsidP="00EA04C7">
      <w:pPr>
        <w:pStyle w:val="ListParagraph"/>
        <w:numPr>
          <w:ilvl w:val="0"/>
          <w:numId w:val="40"/>
        </w:numPr>
        <w:autoSpaceDE w:val="0"/>
        <w:autoSpaceDN w:val="0"/>
        <w:adjustRightInd w:val="0"/>
        <w:spacing w:line="276" w:lineRule="auto"/>
        <w:ind w:leftChars="0"/>
        <w:contextualSpacing/>
        <w:jc w:val="both"/>
        <w:rPr>
          <w:rFonts w:ascii="Times New Roman" w:hAnsi="Times New Roman"/>
          <w:sz w:val="20"/>
          <w:szCs w:val="20"/>
          <w:lang w:val="en-GB"/>
        </w:rPr>
      </w:pPr>
      <w:r w:rsidRPr="008168DC">
        <w:rPr>
          <w:rFonts w:ascii="Times New Roman" w:hAnsi="Times New Roman"/>
          <w:sz w:val="20"/>
          <w:szCs w:val="20"/>
          <w:lang w:val="en-GB"/>
        </w:rPr>
        <w:t xml:space="preserve">The transmission timing of random access response (RAR) grant scheduled NPUSCH format 1. </w:t>
      </w:r>
    </w:p>
    <w:p w14:paraId="13789C88" w14:textId="77777777" w:rsidR="00EA04C7" w:rsidRPr="008168DC" w:rsidRDefault="00EA04C7" w:rsidP="00EA04C7">
      <w:pPr>
        <w:pStyle w:val="ListParagraph"/>
        <w:numPr>
          <w:ilvl w:val="0"/>
          <w:numId w:val="40"/>
        </w:numPr>
        <w:autoSpaceDE w:val="0"/>
        <w:autoSpaceDN w:val="0"/>
        <w:adjustRightInd w:val="0"/>
        <w:spacing w:line="276" w:lineRule="auto"/>
        <w:ind w:leftChars="0"/>
        <w:contextualSpacing/>
        <w:jc w:val="both"/>
        <w:rPr>
          <w:rFonts w:ascii="Times New Roman" w:hAnsi="Times New Roman"/>
          <w:sz w:val="20"/>
          <w:szCs w:val="20"/>
          <w:lang w:val="en-GB"/>
        </w:rPr>
      </w:pPr>
      <w:r w:rsidRPr="008168DC">
        <w:rPr>
          <w:rFonts w:ascii="Times New Roman" w:hAnsi="Times New Roman"/>
          <w:sz w:val="20"/>
          <w:szCs w:val="20"/>
          <w:lang w:val="en-GB"/>
        </w:rPr>
        <w:t xml:space="preserve">The transmission timing of HARQ-ACK on </w:t>
      </w:r>
      <w:r w:rsidRPr="008168DC">
        <w:rPr>
          <w:rFonts w:ascii="Times New Roman" w:hAnsi="Times New Roman"/>
          <w:sz w:val="20"/>
          <w:szCs w:val="20"/>
        </w:rPr>
        <w:t>NPUSCH format 2.</w:t>
      </w:r>
    </w:p>
    <w:p w14:paraId="1519C3E2"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The transmission timing of NPDCCH ordered NB-IoT physical random access channel (NPRACH).</w:t>
      </w:r>
    </w:p>
    <w:p w14:paraId="187C6A9A"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The timing of the adjustment of uplink transmission timing upon reception of a corresponding timing advance command.</w:t>
      </w:r>
    </w:p>
    <w:p w14:paraId="781263F1" w14:textId="77777777" w:rsidR="00EA04C7" w:rsidRPr="008168DC" w:rsidRDefault="00EA04C7" w:rsidP="00EA04C7">
      <w:pPr>
        <w:spacing w:after="0"/>
        <w:rPr>
          <w:rFonts w:cs="Helv"/>
        </w:rPr>
      </w:pPr>
      <w:r w:rsidRPr="00362FF8">
        <w:rPr>
          <w:rFonts w:cs="Helv"/>
        </w:rPr>
        <w:t xml:space="preserve">The timing relationships that need to be modified for </w:t>
      </w:r>
      <w:r>
        <w:rPr>
          <w:rFonts w:cs="Helv"/>
        </w:rPr>
        <w:t>eMTC</w:t>
      </w:r>
      <w:r w:rsidRPr="00362FF8">
        <w:rPr>
          <w:rFonts w:cs="Helv"/>
        </w:rPr>
        <w:t xml:space="preserve">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362FF8">
        <w:rPr>
          <w:rFonts w:cs="Helv"/>
        </w:rPr>
        <w:t xml:space="preserve">are summarized as follows: </w:t>
      </w:r>
      <w:r w:rsidRPr="008168DC">
        <w:rPr>
          <w:sz w:val="15"/>
          <w:szCs w:val="15"/>
          <w:lang w:val="en-US"/>
        </w:rPr>
        <w:t xml:space="preserve"> </w:t>
      </w:r>
    </w:p>
    <w:p w14:paraId="7491181F"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 xml:space="preserve">The transmission timing of </w:t>
      </w:r>
      <w:r>
        <w:rPr>
          <w:rFonts w:ascii="Times New Roman" w:hAnsi="Times New Roman"/>
          <w:sz w:val="20"/>
          <w:szCs w:val="20"/>
        </w:rPr>
        <w:t>M</w:t>
      </w:r>
      <w:r w:rsidRPr="008168DC">
        <w:rPr>
          <w:rFonts w:ascii="Times New Roman" w:hAnsi="Times New Roman"/>
          <w:sz w:val="20"/>
          <w:szCs w:val="20"/>
        </w:rPr>
        <w:t>PDCCH scheduled PUSCH.</w:t>
      </w:r>
    </w:p>
    <w:p w14:paraId="7D575BF6" w14:textId="77777777" w:rsidR="00EA04C7" w:rsidRPr="008168DC"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8168DC">
        <w:rPr>
          <w:rFonts w:ascii="Times New Roman" w:hAnsi="Times New Roman"/>
          <w:sz w:val="20"/>
          <w:szCs w:val="20"/>
        </w:rPr>
        <w:t xml:space="preserve">The transmission timing of random access response (RAR) grant scheduled PUSCH. </w:t>
      </w:r>
    </w:p>
    <w:p w14:paraId="1B6FF291" w14:textId="77777777" w:rsidR="00EA04C7" w:rsidRDefault="00EA04C7" w:rsidP="00EA04C7">
      <w:pPr>
        <w:pStyle w:val="ListParagraph"/>
        <w:numPr>
          <w:ilvl w:val="0"/>
          <w:numId w:val="40"/>
        </w:numPr>
        <w:ind w:leftChars="0"/>
        <w:rPr>
          <w:lang w:eastAsia="x-none"/>
        </w:rPr>
      </w:pPr>
      <w:r w:rsidRPr="0015347E">
        <w:rPr>
          <w:rFonts w:ascii="Times New Roman" w:hAnsi="Times New Roman"/>
          <w:sz w:val="20"/>
          <w:szCs w:val="20"/>
        </w:rPr>
        <w:t>The timing of the first PUSCH transmission opportunity in UL SPS</w:t>
      </w:r>
      <w:r>
        <w:rPr>
          <w:lang w:eastAsia="x-none"/>
        </w:rPr>
        <w:t>.</w:t>
      </w:r>
    </w:p>
    <w:p w14:paraId="30B96471" w14:textId="77777777" w:rsidR="00EA04C7" w:rsidRPr="0015347E" w:rsidRDefault="00EA04C7" w:rsidP="00EA04C7">
      <w:pPr>
        <w:pStyle w:val="ListParagraph"/>
        <w:numPr>
          <w:ilvl w:val="0"/>
          <w:numId w:val="40"/>
        </w:numPr>
        <w:ind w:leftChars="0"/>
        <w:rPr>
          <w:lang w:eastAsia="x-none"/>
        </w:rPr>
      </w:pPr>
      <w:r w:rsidRPr="0015347E">
        <w:rPr>
          <w:rFonts w:ascii="Times New Roman" w:hAnsi="Times New Roman"/>
          <w:sz w:val="20"/>
          <w:szCs w:val="20"/>
        </w:rPr>
        <w:t>The transmission timing of HARQ-ACK on physical uplink control channel (PUCCH).</w:t>
      </w:r>
    </w:p>
    <w:p w14:paraId="534F0CA1" w14:textId="77777777" w:rsidR="00EA04C7" w:rsidRPr="003C3452" w:rsidRDefault="00EA04C7" w:rsidP="00EA04C7">
      <w:pPr>
        <w:pStyle w:val="ListParagraph"/>
        <w:numPr>
          <w:ilvl w:val="0"/>
          <w:numId w:val="40"/>
        </w:numPr>
        <w:ind w:leftChars="0"/>
        <w:rPr>
          <w:rFonts w:ascii="Times New Roman" w:hAnsi="Times New Roman"/>
          <w:sz w:val="20"/>
          <w:szCs w:val="20"/>
        </w:rPr>
      </w:pPr>
      <w:r w:rsidRPr="003C3452">
        <w:rPr>
          <w:rFonts w:ascii="Times New Roman" w:hAnsi="Times New Roman"/>
          <w:sz w:val="20"/>
          <w:szCs w:val="20"/>
        </w:rPr>
        <w:t xml:space="preserve">The transmission timing of </w:t>
      </w:r>
      <w:r>
        <w:rPr>
          <w:rFonts w:ascii="Times New Roman" w:hAnsi="Times New Roman"/>
          <w:sz w:val="20"/>
          <w:szCs w:val="20"/>
        </w:rPr>
        <w:t>M</w:t>
      </w:r>
      <w:r w:rsidRPr="003C3452">
        <w:rPr>
          <w:rFonts w:ascii="Times New Roman" w:hAnsi="Times New Roman"/>
          <w:sz w:val="20"/>
          <w:szCs w:val="20"/>
        </w:rPr>
        <w:t>PDCCH ordered physical random access channel (PRACH).</w:t>
      </w:r>
    </w:p>
    <w:p w14:paraId="1AA46491" w14:textId="77777777" w:rsidR="00EA04C7" w:rsidRPr="0015347E"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lastRenderedPageBreak/>
        <w:t>The timing of the adjustment of uplink transmission timing upon reception of a corresponding timing advance command.</w:t>
      </w:r>
    </w:p>
    <w:p w14:paraId="2FB2CD9E" w14:textId="77777777" w:rsidR="00EA04C7" w:rsidRPr="0015347E"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t>The transmission timing of aperiodic sounding reference signal (SRS).</w:t>
      </w:r>
    </w:p>
    <w:p w14:paraId="7986F00D" w14:textId="77777777" w:rsidR="00EA04C7"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t xml:space="preserve">The CSI reference resource timing. </w:t>
      </w:r>
    </w:p>
    <w:p w14:paraId="48B411C4" w14:textId="77777777" w:rsidR="00EA04C7" w:rsidRPr="003C3452" w:rsidRDefault="00EA04C7" w:rsidP="00EA04C7">
      <w:pPr>
        <w:pStyle w:val="ListParagraph"/>
        <w:numPr>
          <w:ilvl w:val="0"/>
          <w:numId w:val="40"/>
        </w:numPr>
        <w:spacing w:after="200" w:line="276" w:lineRule="auto"/>
        <w:ind w:leftChars="0"/>
        <w:contextualSpacing/>
        <w:jc w:val="both"/>
        <w:rPr>
          <w:rFonts w:ascii="Times New Roman" w:hAnsi="Times New Roman"/>
          <w:sz w:val="20"/>
          <w:szCs w:val="20"/>
        </w:rPr>
      </w:pPr>
      <w:r w:rsidRPr="0015347E">
        <w:rPr>
          <w:rFonts w:ascii="Times New Roman" w:hAnsi="Times New Roman"/>
          <w:sz w:val="20"/>
          <w:szCs w:val="20"/>
        </w:rPr>
        <w:t>The transmission timing of</w:t>
      </w:r>
      <w:r>
        <w:rPr>
          <w:rFonts w:ascii="Times New Roman" w:hAnsi="Times New Roman"/>
          <w:sz w:val="20"/>
          <w:szCs w:val="20"/>
        </w:rPr>
        <w:t xml:space="preserve"> </w:t>
      </w:r>
      <w:r w:rsidRPr="003C3452">
        <w:rPr>
          <w:rFonts w:ascii="Times New Roman" w:hAnsi="Times New Roman"/>
          <w:sz w:val="20"/>
          <w:szCs w:val="20"/>
        </w:rPr>
        <w:t>a preamble retransmission</w:t>
      </w:r>
      <w:r>
        <w:rPr>
          <w:rFonts w:ascii="Times New Roman" w:hAnsi="Times New Roman"/>
          <w:sz w:val="20"/>
          <w:szCs w:val="20"/>
        </w:rPr>
        <w:t>.</w:t>
      </w:r>
    </w:p>
    <w:p w14:paraId="3F1A6D89" w14:textId="77777777" w:rsidR="00EA04C7" w:rsidRPr="00D83F49" w:rsidRDefault="00EA04C7" w:rsidP="00EA04C7">
      <w:pPr>
        <w:spacing w:after="200" w:line="276" w:lineRule="auto"/>
        <w:contextualSpacing/>
      </w:pPr>
      <w:r w:rsidRPr="00362FF8">
        <w:t xml:space="preserve">For initial access, the information of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362FF8">
        <w:t xml:space="preserve"> is carried in system information. Update of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362FF8">
        <w:t xml:space="preserve"> after initial access is supported. The UE-specific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362FF8">
        <w:t xml:space="preserve"> can be provided and updated by the network with MAC CE</w:t>
      </w:r>
      <w:r>
        <w:rPr>
          <w:color w:val="000000"/>
        </w:rPr>
        <w:t>.</w:t>
      </w:r>
    </w:p>
    <w:p w14:paraId="73E8F8BC" w14:textId="77777777" w:rsidR="00EA04C7" w:rsidRPr="00362FF8" w:rsidRDefault="00EA04C7" w:rsidP="00EA04C7"/>
    <w:p w14:paraId="4B9B2794" w14:textId="77777777" w:rsidR="00EA04C7" w:rsidRPr="00362FF8" w:rsidRDefault="00ED659E" w:rsidP="00EA04C7">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EA04C7" w:rsidRPr="00362FF8">
        <w:t xml:space="preserve"> is a scheduling offset supported in NTN for MAC CE timing relationships enhancement. It is provided by the network if downlink and uplink frame timing are not aligned at </w:t>
      </w:r>
      <w:r w:rsidR="00EA04C7">
        <w:t>eNB</w:t>
      </w:r>
      <w:r w:rsidR="00EA04C7" w:rsidRPr="00362FF8">
        <w:t xml:space="preserve">. And it is needed for UE action and assumption on downlink configuration indicated by a MAC-CE command in </w:t>
      </w:r>
      <w:r w:rsidR="00EA04C7">
        <w:t>(N)</w:t>
      </w:r>
      <w:r w:rsidR="00EA04C7" w:rsidRPr="00362FF8">
        <w:t xml:space="preserve">PDSCH. The </w: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EA04C7" w:rsidRPr="00362FF8">
        <w:t xml:space="preserve"> is also used in the </w:t>
      </w:r>
      <w:r w:rsidR="00EA04C7">
        <w:rPr>
          <w:lang w:eastAsia="x-none"/>
        </w:rPr>
        <w:t>pre-configured uplink resources</w:t>
      </w:r>
      <w:r w:rsidR="00EA04C7" w:rsidRPr="00362FF8">
        <w:t xml:space="preserve">, </w:t>
      </w:r>
      <w:r w:rsidR="00EA04C7">
        <w:rPr>
          <w:lang w:eastAsia="x-none"/>
        </w:rPr>
        <w:t xml:space="preserve">if the UE has initiated an (N)PUSCH transmission using pre-configured uplink resources ending in subframe n, the UE shall start or restart to monitor the N/MPDCCH from DL subframe </w:t>
      </w:r>
      <m:oMath>
        <m:r>
          <w:rPr>
            <w:rFonts w:ascii="Cambria Math" w:hAnsi="Cambria Math" w:cs="Helv"/>
          </w:rPr>
          <m:t>n+4+</m:t>
        </m:r>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EA04C7" w:rsidRPr="00362FF8">
        <w:t>.</w:t>
      </w:r>
    </w:p>
    <w:p w14:paraId="1A4A262B" w14:textId="77777777" w:rsidR="00EA04C7" w:rsidRPr="00362FF8" w:rsidRDefault="00EA04C7" w:rsidP="00EA04C7"/>
    <w:p w14:paraId="29A70B73" w14:textId="77777777" w:rsidR="00EA04C7" w:rsidRPr="00362FF8" w:rsidRDefault="00EA04C7" w:rsidP="00EA04C7">
      <w:pPr>
        <w:pStyle w:val="ListParagraph"/>
        <w:numPr>
          <w:ilvl w:val="0"/>
          <w:numId w:val="39"/>
        </w:numPr>
        <w:ind w:leftChars="0"/>
        <w:jc w:val="both"/>
        <w:rPr>
          <w:rFonts w:eastAsia="SimSun"/>
          <w:b/>
        </w:rPr>
      </w:pPr>
      <w:r w:rsidRPr="00362FF8">
        <w:rPr>
          <w:b/>
        </w:rPr>
        <w:t>Timing pre-compensation at the UE:</w:t>
      </w:r>
    </w:p>
    <w:p w14:paraId="086F0DBA" w14:textId="77777777" w:rsidR="00EA04C7" w:rsidRDefault="00EA04C7" w:rsidP="00EA04C7">
      <w:pPr>
        <w:spacing w:after="0"/>
      </w:pPr>
    </w:p>
    <w:p w14:paraId="276E4EF8" w14:textId="77777777" w:rsidR="00EA04C7" w:rsidRPr="00362FF8" w:rsidRDefault="00EA04C7" w:rsidP="00EA04C7">
      <w:pPr>
        <w:spacing w:after="0"/>
        <w:rPr>
          <w:rFonts w:cs="Helv"/>
        </w:rPr>
      </w:pPr>
      <w:r w:rsidRPr="00362FF8">
        <w:t>To accommodate the long propagation delays</w:t>
      </w:r>
      <w:r w:rsidRPr="00362FF8">
        <w:rPr>
          <w:rFonts w:cs="Helv"/>
        </w:rPr>
        <w:t xml:space="preserve"> experienced in </w:t>
      </w:r>
      <w:r>
        <w:rPr>
          <w:rFonts w:cs="Helv"/>
        </w:rPr>
        <w:t xml:space="preserve">IoT </w:t>
      </w:r>
      <w:r w:rsidRPr="00362FF8">
        <w:rPr>
          <w:rFonts w:cs="Helv"/>
        </w:rPr>
        <w:t xml:space="preserve">NTN on both service link and feeder link, the UE should be able to perform time </w:t>
      </w:r>
      <w:r w:rsidRPr="00362FF8">
        <w:rPr>
          <w:rFonts w:cs="Helv"/>
          <w:lang w:eastAsia="zh-CN"/>
        </w:rPr>
        <w:t>pre-</w:t>
      </w:r>
      <w:r w:rsidRPr="00362FF8">
        <w:rPr>
          <w:rFonts w:cs="Helv"/>
        </w:rPr>
        <w:t xml:space="preserve">compensation for all its uplink transmissions; including </w:t>
      </w:r>
      <w:r>
        <w:rPr>
          <w:rFonts w:cs="Helv"/>
        </w:rPr>
        <w:t>(N)</w:t>
      </w:r>
      <w:r w:rsidRPr="00362FF8">
        <w:rPr>
          <w:rFonts w:cs="Helv"/>
        </w:rPr>
        <w:t>PRACH preamble transmissions and uplink transmissions during the RRC_CONNECTED</w:t>
      </w:r>
      <w:r w:rsidRPr="00362FF8">
        <w:rPr>
          <w:rFonts w:cs="Helv"/>
          <w:strike/>
        </w:rPr>
        <w:t xml:space="preserve"> </w:t>
      </w:r>
      <w:r w:rsidRPr="00362FF8">
        <w:rPr>
          <w:rFonts w:cs="Helv"/>
        </w:rPr>
        <w:t xml:space="preserve">state. To do such pre-compensation, the UE is assisted by its GNSS and by the network which periodically broadcasts assistance information including serving satellite ephemeris </w:t>
      </w:r>
      <w:r w:rsidRPr="00362FF8">
        <w:rPr>
          <w:rFonts w:cs="Helv"/>
          <w:lang w:eastAsia="zh-CN"/>
        </w:rPr>
        <w:t xml:space="preserve">as well as </w:t>
      </w:r>
      <w:r w:rsidRPr="00362FF8">
        <w:rPr>
          <w:rFonts w:cs="Helv"/>
        </w:rPr>
        <w:t>higher layer Common-TA-related parameters</w:t>
      </w:r>
      <w:r w:rsidRPr="00362FF8">
        <w:rPr>
          <w:rFonts w:cs="Helv"/>
          <w:lang w:eastAsia="zh-CN"/>
        </w:rPr>
        <w:t xml:space="preserve">, where the latter may be </w:t>
      </w:r>
      <w:r w:rsidRPr="00362FF8">
        <w:rPr>
          <w:rFonts w:cs="Helv"/>
        </w:rPr>
        <w:t xml:space="preserve">used to calculate the common RTD e.g. delay on the feeder link. </w:t>
      </w:r>
    </w:p>
    <w:p w14:paraId="4DD854FD" w14:textId="77777777" w:rsidR="00EA04C7" w:rsidRPr="00362FF8" w:rsidRDefault="00EA04C7" w:rsidP="00EA04C7">
      <w:pPr>
        <w:spacing w:after="0"/>
        <w:rPr>
          <w:rFonts w:cs="Helv"/>
        </w:rPr>
      </w:pPr>
    </w:p>
    <w:p w14:paraId="7F414007" w14:textId="77777777" w:rsidR="00EA04C7" w:rsidRDefault="00EA04C7" w:rsidP="00EA04C7">
      <w:pPr>
        <w:spacing w:after="0"/>
        <w:rPr>
          <w:rFonts w:cs="Helv"/>
        </w:rPr>
      </w:pPr>
      <w:r w:rsidRPr="00362FF8">
        <w:rPr>
          <w:rFonts w:cs="Helv"/>
        </w:rPr>
        <w:t xml:space="preserve">Release-17 specified the following formula for TA calculation that shall be applied by NTN UEs for </w:t>
      </w:r>
      <w:r>
        <w:rPr>
          <w:rFonts w:cs="Helv"/>
        </w:rPr>
        <w:t>(N)</w:t>
      </w:r>
      <w:r w:rsidRPr="00362FF8">
        <w:rPr>
          <w:rFonts w:cs="Helv"/>
        </w:rPr>
        <w:t xml:space="preserve">PRACH preamble transmission and in RRC_CONNECTED state: </w:t>
      </w:r>
    </w:p>
    <w:p w14:paraId="05424FBF" w14:textId="77777777" w:rsidR="00EA04C7" w:rsidRDefault="00EA04C7" w:rsidP="00EA04C7">
      <w:pPr>
        <w:spacing w:after="0"/>
        <w:rPr>
          <w:rFonts w:cs="Helv"/>
        </w:rPr>
      </w:pPr>
    </w:p>
    <w:p w14:paraId="5BFA07F6" w14:textId="77777777" w:rsidR="00EA04C7" w:rsidRPr="004B37FD" w:rsidRDefault="00ED659E" w:rsidP="00EA04C7">
      <w:pPr>
        <w:spacing w:after="0"/>
        <w:rPr>
          <w:rFonts w:cs="Helv"/>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s</m:t>
              </m:r>
            </m:sub>
          </m:sSub>
        </m:oMath>
      </m:oMathPara>
    </w:p>
    <w:p w14:paraId="22103D57" w14:textId="77777777" w:rsidR="00EA04C7" w:rsidRPr="00362FF8" w:rsidRDefault="00EA04C7" w:rsidP="00EA04C7">
      <w:pPr>
        <w:rPr>
          <w:rFonts w:cs="Helv"/>
        </w:rPr>
      </w:pPr>
      <w:r w:rsidRPr="00362FF8">
        <w:rPr>
          <w:rFonts w:cs="Helv"/>
        </w:rPr>
        <w:t xml:space="preserve">Where: </w:t>
      </w:r>
    </w:p>
    <w:p w14:paraId="640DE554" w14:textId="77777777" w:rsidR="00EA04C7" w:rsidRPr="00D83F49" w:rsidRDefault="00EA04C7" w:rsidP="00EA04C7">
      <w:pPr>
        <w:pStyle w:val="B1"/>
        <w:jc w:val="both"/>
        <w:rPr>
          <w:rFonts w:eastAsiaTheme="minorHAnsi"/>
        </w:rPr>
      </w:pPr>
      <w:r w:rsidRPr="00362FF8">
        <w:rPr>
          <w:rFonts w:eastAsiaTheme="minorHAnsi"/>
          <w:sz w:val="22"/>
          <w:szCs w:val="22"/>
        </w:rPr>
        <w:t xml:space="preserve">- </w: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m:t>
            </m:r>
          </m:sub>
        </m:sSub>
      </m:oMath>
      <w:r w:rsidRPr="00D83F49">
        <w:rPr>
          <w:rFonts w:eastAsiaTheme="minorHAnsi"/>
        </w:rPr>
        <w:t xml:space="preserve"> and </w: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TA,offset</m:t>
            </m:r>
          </m:sub>
        </m:sSub>
      </m:oMath>
      <w:r w:rsidRPr="00D83F49">
        <w:rPr>
          <w:rFonts w:eastAsiaTheme="minorHAnsi"/>
        </w:rPr>
        <w:t xml:space="preserve"> were already specified in [TS 36.213] [TS 36.211] as part of the existing TA Control;</w:t>
      </w:r>
    </w:p>
    <w:p w14:paraId="0423C699" w14:textId="77777777" w:rsidR="00EA04C7" w:rsidRPr="00D83F49" w:rsidRDefault="00EA04C7" w:rsidP="00EA04C7">
      <w:pPr>
        <w:pStyle w:val="B1"/>
        <w:jc w:val="both"/>
        <w:rPr>
          <w:rFonts w:eastAsiaTheme="minorHAnsi"/>
        </w:rPr>
      </w:pPr>
      <w:r w:rsidRPr="00D83F49">
        <w:rPr>
          <w:rFonts w:eastAsiaTheme="minorHAnsi"/>
        </w:rPr>
        <w:t xml:space="preserve">- </w: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oMath>
      <w:r w:rsidRPr="00D83F49">
        <w:rPr>
          <w:rFonts w:eastAsiaTheme="minorHAnsi"/>
        </w:rPr>
        <w:t xml:space="preserve"> is network-controlled common TA, and may include any timing offset considered necessary by the network (e.g. feeder link delay). It is derived from the higher-layer parameters </w:t>
      </w:r>
      <w:r w:rsidRPr="00D83F49">
        <w:rPr>
          <w:rFonts w:eastAsiaTheme="minorHAnsi"/>
          <w:i/>
        </w:rPr>
        <w:t>TACommon</w:t>
      </w:r>
      <w:r w:rsidRPr="00D83F49">
        <w:rPr>
          <w:rFonts w:eastAsiaTheme="minorHAnsi"/>
        </w:rPr>
        <w:t xml:space="preserve">, </w:t>
      </w:r>
      <w:r w:rsidRPr="00D83F49">
        <w:rPr>
          <w:rFonts w:eastAsiaTheme="minorHAnsi"/>
          <w:i/>
        </w:rPr>
        <w:t>TACommonDrift</w:t>
      </w:r>
      <w:r w:rsidRPr="00D83F49">
        <w:rPr>
          <w:rFonts w:eastAsiaTheme="minorHAnsi"/>
        </w:rPr>
        <w:t xml:space="preserve">, and </w:t>
      </w:r>
      <w:r w:rsidRPr="00D83F49">
        <w:rPr>
          <w:rFonts w:eastAsiaTheme="minorHAnsi"/>
          <w:i/>
        </w:rPr>
        <w:t>TACommonDriftVariation</w:t>
      </w:r>
      <w:r w:rsidRPr="00D83F49">
        <w:rPr>
          <w:rFonts w:eastAsiaTheme="minorHAnsi"/>
        </w:rPr>
        <w:t xml:space="preserve"> if configured, otherwise </w: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r>
          <m:rPr>
            <m:sty m:val="p"/>
          </m:rPr>
          <w:rPr>
            <w:rFonts w:ascii="Cambria Math" w:eastAsiaTheme="minorHAnsi" w:hAnsi="Cambria Math"/>
          </w:rPr>
          <m:t>=0</m:t>
        </m:r>
      </m:oMath>
      <w:r w:rsidRPr="00D83F49">
        <w:rPr>
          <w:rFonts w:eastAsiaTheme="minorHAnsi"/>
        </w:rPr>
        <w:t>;</w:t>
      </w:r>
    </w:p>
    <w:p w14:paraId="6B869174" w14:textId="77777777" w:rsidR="00EA04C7" w:rsidRPr="00D83F49" w:rsidRDefault="00EA04C7" w:rsidP="00EA04C7">
      <w:pPr>
        <w:pStyle w:val="B1"/>
        <w:jc w:val="both"/>
        <w:rPr>
          <w:rFonts w:eastAsiaTheme="minorHAnsi"/>
        </w:rPr>
      </w:pPr>
      <w:r w:rsidRPr="00D83F49">
        <w:rPr>
          <w:rFonts w:eastAsiaTheme="minorHAnsi"/>
        </w:rPr>
        <w:t>-</w:t>
      </w:r>
      <w:r w:rsidRPr="00D83F49">
        <w:rPr>
          <w:rFonts w:eastAsiaTheme="minorHAnsi"/>
        </w:rPr>
        <w:tab/>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oMath>
      <w:r w:rsidRPr="00D83F49">
        <w:rPr>
          <w:rFonts w:eastAsiaTheme="minorHAnsi"/>
        </w:rPr>
        <w:t xml:space="preserve"> is UE self-estimated TA to pre-compensate for the service link delay. It is computed by the UE based on satellite-ephemeris-related higher-layers parameters if configured, otherwise </w: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r>
          <m:rPr>
            <m:sty m:val="p"/>
          </m:rPr>
          <w:rPr>
            <w:rFonts w:ascii="Cambria Math" w:eastAsiaTheme="minorHAnsi" w:hAnsi="Cambria Math"/>
          </w:rPr>
          <m:t>=0</m:t>
        </m:r>
      </m:oMath>
      <w:r w:rsidRPr="00D83F49">
        <w:rPr>
          <w:rFonts w:eastAsiaTheme="minorHAnsi"/>
        </w:rPr>
        <w:t>;</w:t>
      </w:r>
    </w:p>
    <w:p w14:paraId="2486FFFC" w14:textId="77777777" w:rsidR="00EA04C7" w:rsidRPr="00D83F49" w:rsidRDefault="00EA04C7" w:rsidP="00EA04C7">
      <w:pPr>
        <w:pStyle w:val="B1"/>
        <w:jc w:val="both"/>
        <w:rPr>
          <w:rFonts w:eastAsiaTheme="minorEastAsia"/>
        </w:rPr>
      </w:pPr>
      <w:r w:rsidRPr="00D83F49">
        <w:rPr>
          <w:rFonts w:eastAsiaTheme="minorHAnsi"/>
        </w:rPr>
        <w:t xml:space="preserv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s</m:t>
            </m:r>
          </m:sub>
        </m:sSub>
      </m:oMath>
      <w:r w:rsidRPr="00D83F49">
        <w:rPr>
          <w:rFonts w:eastAsiaTheme="minorEastAsia"/>
        </w:rPr>
        <w:t xml:space="preserve"> is the eMTC / NB-IoT basic time unit [TS 36.211].</w:t>
      </w:r>
    </w:p>
    <w:p w14:paraId="6A172F4D" w14:textId="77777777" w:rsidR="00EA04C7" w:rsidRPr="00362FF8" w:rsidRDefault="00EA04C7" w:rsidP="00EA04C7">
      <w:pPr>
        <w:pStyle w:val="Caption"/>
        <w:jc w:val="center"/>
      </w:pPr>
      <w:r w:rsidRPr="00362FF8">
        <w:t xml:space="preserve">Figure </w:t>
      </w:r>
      <w:r w:rsidRPr="00362FF8">
        <w:fldChar w:fldCharType="begin"/>
      </w:r>
      <w:r w:rsidRPr="00362FF8">
        <w:instrText xml:space="preserve"> SEQ Figure \* ARABIC </w:instrText>
      </w:r>
      <w:r w:rsidRPr="00362FF8">
        <w:fldChar w:fldCharType="separate"/>
      </w:r>
      <w:r w:rsidRPr="00362FF8">
        <w:t>3</w:t>
      </w:r>
      <w:r w:rsidRPr="00362FF8">
        <w:fldChar w:fldCharType="end"/>
      </w:r>
      <w:r w:rsidRPr="00362FF8">
        <w:t xml:space="preserve"> Uplink/Downlink Radio Frame Timing at the UE</w:t>
      </w:r>
      <w:r>
        <w:t xml:space="preserve"> [TS 36.211 Section 8.1]</w:t>
      </w:r>
    </w:p>
    <w:p w14:paraId="167E8520" w14:textId="77777777" w:rsidR="00EA04C7" w:rsidRDefault="00EA04C7" w:rsidP="00EA04C7">
      <w:pPr>
        <w:ind w:left="1304" w:firstLine="1304"/>
        <w:rPr>
          <w:sz w:val="16"/>
          <w:szCs w:val="16"/>
        </w:rPr>
      </w:pPr>
      <w:r>
        <w:rPr>
          <w:sz w:val="16"/>
          <w:szCs w:val="16"/>
        </w:rPr>
        <w:object w:dxaOrig="4050" w:dyaOrig="1250" w14:anchorId="54C8DA94">
          <v:shape id="_x0000_i1026" type="#_x0000_t75" style="width:202.5pt;height:62.25pt" o:ole="">
            <v:imagedata r:id="rId11" o:title=""/>
          </v:shape>
          <o:OLEObject Type="Embed" ProgID="Visio.Drawing.11" ShapeID="_x0000_i1026" DrawAspect="Content" ObjectID="_1708103595" r:id="rId12"/>
        </w:object>
      </w:r>
    </w:p>
    <w:p w14:paraId="0EC5E289" w14:textId="77777777" w:rsidR="00EA04C7" w:rsidRDefault="00EA04C7" w:rsidP="00EA04C7">
      <w:pPr>
        <w:ind w:left="1304" w:firstLine="1304"/>
        <w:rPr>
          <w:sz w:val="16"/>
          <w:szCs w:val="16"/>
        </w:rPr>
      </w:pPr>
    </w:p>
    <w:p w14:paraId="5890674D" w14:textId="77777777" w:rsidR="00EA04C7" w:rsidRDefault="00EA04C7" w:rsidP="00EA04C7">
      <w:pPr>
        <w:ind w:left="1304" w:firstLine="1304"/>
        <w:rPr>
          <w:sz w:val="16"/>
          <w:szCs w:val="16"/>
        </w:rPr>
      </w:pPr>
    </w:p>
    <w:p w14:paraId="36D7E464" w14:textId="77777777" w:rsidR="00EA04C7" w:rsidRPr="00362FF8" w:rsidRDefault="00EA04C7" w:rsidP="00EA04C7">
      <w:pPr>
        <w:ind w:left="1304" w:firstLine="1304"/>
      </w:pPr>
    </w:p>
    <w:p w14:paraId="1361ADFE" w14:textId="77777777" w:rsidR="00EA04C7" w:rsidRPr="00362FF8" w:rsidRDefault="00EA04C7" w:rsidP="00EA04C7">
      <w:pPr>
        <w:pStyle w:val="ListParagraph"/>
        <w:numPr>
          <w:ilvl w:val="0"/>
          <w:numId w:val="39"/>
        </w:numPr>
        <w:ind w:leftChars="0"/>
        <w:jc w:val="both"/>
        <w:rPr>
          <w:b/>
        </w:rPr>
      </w:pPr>
      <w:r w:rsidRPr="00362FF8">
        <w:rPr>
          <w:b/>
        </w:rPr>
        <w:t>Frequency pre-compensation at the UE:</w:t>
      </w:r>
    </w:p>
    <w:p w14:paraId="255C9EB3" w14:textId="77777777" w:rsidR="00EA04C7" w:rsidRPr="00362FF8" w:rsidRDefault="00EA04C7" w:rsidP="00EA04C7"/>
    <w:p w14:paraId="6D41000F" w14:textId="77777777" w:rsidR="00EA04C7" w:rsidRPr="00362FF8" w:rsidRDefault="00EA04C7" w:rsidP="00EA04C7">
      <w:pPr>
        <w:spacing w:after="0"/>
        <w:rPr>
          <w:rFonts w:cs="Helv"/>
        </w:rPr>
      </w:pPr>
      <w:r w:rsidRPr="00362FF8">
        <w:rPr>
          <w:rFonts w:cs="Helv"/>
        </w:rPr>
        <w:t xml:space="preserve">The UE shall be capable of using its acquired GNSS position and satellite ephemeris information (when provided by the network) to calculate frequency pre-compensation to counter shift the </w:t>
      </w:r>
      <w:r w:rsidRPr="00362FF8">
        <w:rPr>
          <w:rFonts w:cs="Helv"/>
          <w:lang w:eastAsia="zh-CN"/>
        </w:rPr>
        <w:t xml:space="preserve">instantaneous </w:t>
      </w:r>
      <w:r w:rsidRPr="00362FF8">
        <w:rPr>
          <w:rFonts w:cs="Helv"/>
        </w:rPr>
        <w:t>Doppler shift experienced on the service link.</w:t>
      </w:r>
    </w:p>
    <w:p w14:paraId="71AC20C7" w14:textId="77777777" w:rsidR="00EA04C7" w:rsidRPr="00362FF8" w:rsidRDefault="00EA04C7" w:rsidP="00EA04C7">
      <w:pPr>
        <w:spacing w:after="0"/>
        <w:rPr>
          <w:rFonts w:cs="Helv"/>
        </w:rPr>
      </w:pPr>
    </w:p>
    <w:p w14:paraId="737270B2" w14:textId="77777777" w:rsidR="00EA04C7" w:rsidRDefault="00EA04C7" w:rsidP="00EA04C7">
      <w:pPr>
        <w:spacing w:after="0"/>
        <w:rPr>
          <w:rFonts w:cs="Helv"/>
        </w:rPr>
      </w:pPr>
      <w:r w:rsidRPr="00362FF8">
        <w:rPr>
          <w:rFonts w:cs="Helv"/>
        </w:rPr>
        <w:t xml:space="preserve">While the pre-compensation of the </w:t>
      </w:r>
      <w:r w:rsidRPr="00362FF8">
        <w:rPr>
          <w:rFonts w:cs="Helv"/>
          <w:lang w:eastAsia="zh-CN"/>
        </w:rPr>
        <w:t xml:space="preserve">instantaneous </w:t>
      </w:r>
      <w:r w:rsidRPr="00362FF8">
        <w:rPr>
          <w:rFonts w:cs="Helv"/>
        </w:rPr>
        <w:t xml:space="preserve">Doppler shift experienced on the service link is to be performed by the UE, the management of Doppler shift experienced over the feeder link as well as any transponder frequency error whether it is introduced in Downlink or Uplink is left to the network implementation without any specification impacts in Release 17. </w:t>
      </w:r>
    </w:p>
    <w:p w14:paraId="085A46FE" w14:textId="77777777" w:rsidR="00EA04C7" w:rsidRDefault="00EA04C7" w:rsidP="00EA04C7">
      <w:pPr>
        <w:spacing w:after="0"/>
        <w:rPr>
          <w:rFonts w:cs="Helv"/>
        </w:rPr>
      </w:pPr>
    </w:p>
    <w:p w14:paraId="0A622829" w14:textId="77777777" w:rsidR="00EA04C7" w:rsidRPr="00AC18D9" w:rsidRDefault="00EA04C7" w:rsidP="00EA04C7">
      <w:pPr>
        <w:pStyle w:val="ListParagraph"/>
        <w:numPr>
          <w:ilvl w:val="0"/>
          <w:numId w:val="39"/>
        </w:numPr>
        <w:ind w:leftChars="0"/>
        <w:jc w:val="both"/>
        <w:rPr>
          <w:b/>
        </w:rPr>
      </w:pPr>
      <w:r w:rsidRPr="00AC18D9">
        <w:rPr>
          <w:b/>
        </w:rPr>
        <w:t>UL segmented transmission</w:t>
      </w:r>
    </w:p>
    <w:p w14:paraId="72AB74F9" w14:textId="77777777" w:rsidR="00EA04C7" w:rsidRPr="00362FF8" w:rsidRDefault="00EA04C7" w:rsidP="00EA04C7">
      <w:pPr>
        <w:spacing w:after="0"/>
        <w:rPr>
          <w:rFonts w:cs="Helv"/>
        </w:rPr>
      </w:pPr>
      <w:r>
        <w:rPr>
          <w:rFonts w:cs="Helv"/>
        </w:rPr>
        <w:t xml:space="preserve">UL segmented transmission is supported for UL transmission with repetitions.  The UE shall apply </w:t>
      </w:r>
      <w:r w:rsidRPr="00D83F49">
        <w:rPr>
          <w:rFonts w:cs="Helv"/>
        </w:rPr>
        <w:t xml:space="preserve">UE pre-compensation per segment of </w:t>
      </w:r>
      <w:r>
        <w:rPr>
          <w:rFonts w:cs="Helv"/>
        </w:rPr>
        <w:t xml:space="preserve">UL transmission of PUSCH/PUCCH/PRACH for eMTC and NPUSCH/NPRACH for NB-IoT </w:t>
      </w:r>
      <w:r w:rsidRPr="00D83F49">
        <w:rPr>
          <w:rFonts w:cs="Helv"/>
        </w:rPr>
        <w:t>from one segment to the next segm</w:t>
      </w:r>
      <w:r>
        <w:rPr>
          <w:rFonts w:cs="Helv"/>
        </w:rPr>
        <w:t>ent. The c</w:t>
      </w:r>
      <w:r w:rsidRPr="00D83F49">
        <w:rPr>
          <w:rFonts w:cs="Helv"/>
        </w:rPr>
        <w:t>onfiguration of UL transmission segment is indicated on SIB for initial access</w:t>
      </w:r>
      <w:r>
        <w:rPr>
          <w:rFonts w:cs="Helv"/>
        </w:rPr>
        <w:t xml:space="preserve"> and can be re-configured by RRC signalling.</w:t>
      </w:r>
    </w:p>
    <w:p w14:paraId="36B36A9F" w14:textId="77777777" w:rsidR="00EA04C7" w:rsidRPr="00362FF8" w:rsidRDefault="00EA04C7" w:rsidP="00EA04C7">
      <w:pPr>
        <w:spacing w:after="0"/>
        <w:rPr>
          <w:rFonts w:cs="Helv"/>
        </w:rPr>
      </w:pPr>
    </w:p>
    <w:p w14:paraId="1C0E1A79" w14:textId="77777777" w:rsidR="00EA04C7" w:rsidRDefault="00EA04C7" w:rsidP="00EA04C7"/>
    <w:p w14:paraId="641A5D16" w14:textId="77777777" w:rsidR="00EA04C7" w:rsidRDefault="00EA04C7" w:rsidP="00EA04C7">
      <w:pPr>
        <w:jc w:val="center"/>
      </w:pPr>
      <w:r>
        <w:rPr>
          <w:highlight w:val="yellow"/>
        </w:rPr>
        <w:t>---------- TEXT PROPOSAL END ---------</w:t>
      </w:r>
    </w:p>
    <w:p w14:paraId="35C0C19D" w14:textId="6537D8A1" w:rsidR="005717FD" w:rsidRPr="002F5D79" w:rsidRDefault="005717FD" w:rsidP="00EA04C7">
      <w:pPr>
        <w:keepNext/>
        <w:keepLines/>
        <w:spacing w:before="180"/>
        <w:ind w:left="1134" w:hanging="1134"/>
        <w:jc w:val="center"/>
        <w:outlineLvl w:val="1"/>
        <w:rPr>
          <w:rFonts w:ascii="Arial" w:hAnsi="Arial" w:cs="Arial"/>
        </w:rPr>
      </w:pPr>
    </w:p>
    <w:sectPr w:rsidR="005717FD" w:rsidRPr="002F5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B03E3C"/>
    <w:multiLevelType w:val="hybridMultilevel"/>
    <w:tmpl w:val="2F5E9A1A"/>
    <w:lvl w:ilvl="0" w:tplc="0F6621F6">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3"/>
  </w:num>
  <w:num w:numId="4">
    <w:abstractNumId w:val="34"/>
  </w:num>
  <w:num w:numId="5">
    <w:abstractNumId w:val="9"/>
  </w:num>
  <w:num w:numId="6">
    <w:abstractNumId w:val="28"/>
  </w:num>
  <w:num w:numId="7">
    <w:abstractNumId w:val="0"/>
  </w:num>
  <w:num w:numId="8">
    <w:abstractNumId w:val="23"/>
  </w:num>
  <w:num w:numId="9">
    <w:abstractNumId w:val="25"/>
  </w:num>
  <w:num w:numId="10">
    <w:abstractNumId w:val="26"/>
  </w:num>
  <w:num w:numId="11">
    <w:abstractNumId w:val="36"/>
  </w:num>
  <w:num w:numId="12">
    <w:abstractNumId w:val="11"/>
  </w:num>
  <w:num w:numId="13">
    <w:abstractNumId w:val="18"/>
  </w:num>
  <w:num w:numId="14">
    <w:abstractNumId w:val="13"/>
  </w:num>
  <w:num w:numId="15">
    <w:abstractNumId w:val="20"/>
  </w:num>
  <w:num w:numId="16">
    <w:abstractNumId w:val="38"/>
  </w:num>
  <w:num w:numId="17">
    <w:abstractNumId w:val="22"/>
  </w:num>
  <w:num w:numId="18">
    <w:abstractNumId w:val="19"/>
  </w:num>
  <w:num w:numId="19">
    <w:abstractNumId w:val="35"/>
  </w:num>
  <w:num w:numId="20">
    <w:abstractNumId w:val="15"/>
  </w:num>
  <w:num w:numId="21">
    <w:abstractNumId w:val="12"/>
  </w:num>
  <w:num w:numId="22">
    <w:abstractNumId w:val="8"/>
  </w:num>
  <w:num w:numId="23">
    <w:abstractNumId w:val="2"/>
  </w:num>
  <w:num w:numId="24">
    <w:abstractNumId w:val="24"/>
  </w:num>
  <w:num w:numId="25">
    <w:abstractNumId w:val="37"/>
  </w:num>
  <w:num w:numId="26">
    <w:abstractNumId w:val="32"/>
  </w:num>
  <w:num w:numId="27">
    <w:abstractNumId w:val="5"/>
  </w:num>
  <w:num w:numId="28">
    <w:abstractNumId w:val="39"/>
  </w:num>
  <w:num w:numId="29">
    <w:abstractNumId w:val="10"/>
  </w:num>
  <w:num w:numId="30">
    <w:abstractNumId w:val="33"/>
  </w:num>
  <w:num w:numId="31">
    <w:abstractNumId w:val="7"/>
  </w:num>
  <w:num w:numId="32">
    <w:abstractNumId w:val="29"/>
  </w:num>
  <w:num w:numId="33">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4"/>
  </w:num>
  <w:num w:numId="37">
    <w:abstractNumId w:val="14"/>
  </w:num>
  <w:num w:numId="38">
    <w:abstractNumId w:val="17"/>
  </w:num>
  <w:num w:numId="39">
    <w:abstractNumId w:val="6"/>
  </w:num>
  <w:num w:numId="40">
    <w:abstractNumId w:val="3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49"/>
    <w:rsid w:val="0000529B"/>
    <w:rsid w:val="00013D6A"/>
    <w:rsid w:val="000168AA"/>
    <w:rsid w:val="00024EED"/>
    <w:rsid w:val="00081A09"/>
    <w:rsid w:val="00101BD2"/>
    <w:rsid w:val="001602BD"/>
    <w:rsid w:val="00177BF3"/>
    <w:rsid w:val="001C0B8D"/>
    <w:rsid w:val="001E30EA"/>
    <w:rsid w:val="00247645"/>
    <w:rsid w:val="00251B65"/>
    <w:rsid w:val="0027588A"/>
    <w:rsid w:val="002B5215"/>
    <w:rsid w:val="002F43E7"/>
    <w:rsid w:val="002F5D79"/>
    <w:rsid w:val="003179E0"/>
    <w:rsid w:val="00362FF8"/>
    <w:rsid w:val="003A2F87"/>
    <w:rsid w:val="003E0A4A"/>
    <w:rsid w:val="003F1FF5"/>
    <w:rsid w:val="00421BAA"/>
    <w:rsid w:val="00427E78"/>
    <w:rsid w:val="004832B2"/>
    <w:rsid w:val="004B37FD"/>
    <w:rsid w:val="004F48ED"/>
    <w:rsid w:val="005118BB"/>
    <w:rsid w:val="00556B22"/>
    <w:rsid w:val="00557090"/>
    <w:rsid w:val="005717FD"/>
    <w:rsid w:val="00577549"/>
    <w:rsid w:val="005910F9"/>
    <w:rsid w:val="005A3FE2"/>
    <w:rsid w:val="005F176E"/>
    <w:rsid w:val="006A54BC"/>
    <w:rsid w:val="006E0EB6"/>
    <w:rsid w:val="00722699"/>
    <w:rsid w:val="00777AFE"/>
    <w:rsid w:val="007F7F63"/>
    <w:rsid w:val="00813089"/>
    <w:rsid w:val="0083092D"/>
    <w:rsid w:val="00846BC6"/>
    <w:rsid w:val="008C79EB"/>
    <w:rsid w:val="008F4AB0"/>
    <w:rsid w:val="00957481"/>
    <w:rsid w:val="00980CD8"/>
    <w:rsid w:val="00987B10"/>
    <w:rsid w:val="009C7CC2"/>
    <w:rsid w:val="009E1539"/>
    <w:rsid w:val="00A01908"/>
    <w:rsid w:val="00A32310"/>
    <w:rsid w:val="00A8173A"/>
    <w:rsid w:val="00AD5EB4"/>
    <w:rsid w:val="00AF1937"/>
    <w:rsid w:val="00B0765B"/>
    <w:rsid w:val="00B2282C"/>
    <w:rsid w:val="00B55622"/>
    <w:rsid w:val="00B75CCD"/>
    <w:rsid w:val="00BC3FC7"/>
    <w:rsid w:val="00BF5BC9"/>
    <w:rsid w:val="00BF5F62"/>
    <w:rsid w:val="00BF6097"/>
    <w:rsid w:val="00C40810"/>
    <w:rsid w:val="00C56C4A"/>
    <w:rsid w:val="00C86741"/>
    <w:rsid w:val="00CF464E"/>
    <w:rsid w:val="00D259CF"/>
    <w:rsid w:val="00D66D5E"/>
    <w:rsid w:val="00E23599"/>
    <w:rsid w:val="00E3654F"/>
    <w:rsid w:val="00E46D4C"/>
    <w:rsid w:val="00EA04C7"/>
    <w:rsid w:val="00EA6A81"/>
    <w:rsid w:val="00ED659E"/>
    <w:rsid w:val="00F048B9"/>
    <w:rsid w:val="00F467B4"/>
    <w:rsid w:val="00F562AB"/>
    <w:rsid w:val="00F61B69"/>
    <w:rsid w:val="00F627CA"/>
    <w:rsid w:val="00F67598"/>
    <w:rsid w:val="00F83393"/>
    <w:rsid w:val="00F87A4E"/>
    <w:rsid w:val="00FA7A6E"/>
    <w:rsid w:val="00FD78F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qForma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7834">
      <w:bodyDiv w:val="1"/>
      <w:marLeft w:val="0"/>
      <w:marRight w:val="0"/>
      <w:marTop w:val="0"/>
      <w:marBottom w:val="0"/>
      <w:divBdr>
        <w:top w:val="none" w:sz="0" w:space="0" w:color="auto"/>
        <w:left w:val="none" w:sz="0" w:space="0" w:color="auto"/>
        <w:bottom w:val="none" w:sz="0" w:space="0" w:color="auto"/>
        <w:right w:val="none" w:sz="0" w:space="0" w:color="auto"/>
      </w:divBdr>
    </w:div>
    <w:div w:id="397896340">
      <w:bodyDiv w:val="1"/>
      <w:marLeft w:val="0"/>
      <w:marRight w:val="0"/>
      <w:marTop w:val="0"/>
      <w:marBottom w:val="0"/>
      <w:divBdr>
        <w:top w:val="none" w:sz="0" w:space="0" w:color="auto"/>
        <w:left w:val="none" w:sz="0" w:space="0" w:color="auto"/>
        <w:bottom w:val="none" w:sz="0" w:space="0" w:color="auto"/>
        <w:right w:val="none" w:sz="0" w:space="0" w:color="auto"/>
      </w:divBdr>
    </w:div>
    <w:div w:id="14865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oleObject" Target="embeddings/Microsoft_Visio_2003-2010_Drawing.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4625-5934-48B2-B0EA-E9D0930D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1146</Words>
  <Characters>6537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Gilles Charbit</cp:lastModifiedBy>
  <cp:revision>32</cp:revision>
  <dcterms:created xsi:type="dcterms:W3CDTF">2022-02-27T18:31:00Z</dcterms:created>
  <dcterms:modified xsi:type="dcterms:W3CDTF">2022-03-06T20:27:00Z</dcterms:modified>
</cp:coreProperties>
</file>