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 xml:space="preserve">e-Meeting, February </w:t>
      </w:r>
      <w:proofErr w:type="gramStart"/>
      <w:r>
        <w:rPr>
          <w:rFonts w:ascii="Arial" w:eastAsia="MS Mincho" w:hAnsi="Arial" w:cs="Arial"/>
          <w:b/>
          <w:bCs/>
          <w:lang w:eastAsia="ja-JP"/>
        </w:rPr>
        <w:t>21</w:t>
      </w:r>
      <w:r>
        <w:rPr>
          <w:rFonts w:ascii="Arial" w:eastAsia="MS Mincho" w:hAnsi="Arial" w:cs="Arial"/>
          <w:b/>
          <w:bCs/>
          <w:vertAlign w:val="superscript"/>
          <w:lang w:eastAsia="ja-JP"/>
        </w:rPr>
        <w:t>th</w:t>
      </w:r>
      <w:proofErr w:type="gramEnd"/>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 xml:space="preserve">not initiated by a PDCCH order that triggers a contention-free </w:t>
            </w:r>
            <w:proofErr w:type="gramStart"/>
            <w:r w:rsidRPr="0055744B">
              <w:rPr>
                <w:sz w:val="18"/>
                <w:szCs w:val="18"/>
              </w:rPr>
              <w:t>random access</w:t>
            </w:r>
            <w:proofErr w:type="gramEnd"/>
            <w:r w:rsidRPr="0055744B">
              <w:rPr>
                <w:sz w:val="18"/>
                <w:szCs w:val="18"/>
              </w:rPr>
              <w:t xml:space="preserve"> procedure</w:t>
            </w:r>
            <w:r w:rsidR="0049368D">
              <w:rPr>
                <w:sz w:val="18"/>
                <w:szCs w:val="18"/>
              </w:rPr>
              <w:t xml:space="preserve"> [if no MAC-CE </w:t>
            </w:r>
            <w:r w:rsidR="0049368D">
              <w:rPr>
                <w:rFonts w:eastAsia="SimSun"/>
                <w:bCs/>
                <w:sz w:val="18"/>
                <w:lang w:eastAsia="zh-CN"/>
              </w:rPr>
              <w:t>or DCI indicating a TCI state after the RA procedure.]</w:t>
            </w:r>
          </w:p>
          <w:p w14:paraId="291DD35C" w14:textId="77777777" w:rsidR="004578F3" w:rsidRDefault="004578F3">
            <w:pPr>
              <w:snapToGrid w:val="0"/>
              <w:jc w:val="both"/>
              <w:rPr>
                <w:rFonts w:eastAsia="Batang"/>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 xml:space="preserve">Antenna </w:t>
            </w:r>
            <w:proofErr w:type="gramStart"/>
            <w:r w:rsidRPr="0048482F">
              <w:t>ports</w:t>
            </w:r>
            <w:proofErr w:type="gramEnd"/>
            <w:r w:rsidRPr="0048482F">
              <w:t xml:space="preserve">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af2"/>
              <w:numPr>
                <w:ilvl w:val="0"/>
                <w:numId w:val="33"/>
              </w:numPr>
              <w:rPr>
                <w:rFonts w:eastAsia="Times New Roman" w:cs="Batang"/>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新細明體"/>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新細明體" w:eastAsia="新細明體" w:hAnsi="新細明體"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新細明體"/>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Batang"/>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w:t>
            </w:r>
            <w:proofErr w:type="gramStart"/>
            <w:r>
              <w:rPr>
                <w:b/>
                <w:sz w:val="18"/>
                <w:szCs w:val="18"/>
                <w:lang w:val="en-GB"/>
              </w:rPr>
              <w:t>support:</w:t>
            </w:r>
            <w:proofErr w:type="gramEnd"/>
            <w:r>
              <w:rPr>
                <w:b/>
                <w:sz w:val="18"/>
                <w:szCs w:val="18"/>
                <w:lang w:val="en-GB"/>
              </w:rPr>
              <w:t xml:space="preserve">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3"/>
            </w:pPr>
            <w:r w:rsidRPr="0048482F">
              <w:t>5.1.5</w:t>
            </w:r>
            <w:r w:rsidRPr="0048482F">
              <w:tab/>
              <w:t xml:space="preserve">Antenna </w:t>
            </w:r>
            <w:proofErr w:type="gramStart"/>
            <w:r w:rsidRPr="0048482F">
              <w:t>ports</w:t>
            </w:r>
            <w:proofErr w:type="gramEnd"/>
            <w:r w:rsidRPr="0048482F">
              <w:t xml:space="preserve">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proofErr w:type="spellStart"/>
            <w:r w:rsidRPr="00112630">
              <w:rPr>
                <w:i/>
                <w:color w:val="FF0000"/>
                <w:sz w:val="18"/>
                <w:szCs w:val="18"/>
                <w:u w:val="single"/>
              </w:rPr>
              <w:t>CrossCarrierSchedulingConfig</w:t>
            </w:r>
            <w:proofErr w:type="spellEnd"/>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proofErr w:type="spellStart"/>
            <w:r w:rsidRPr="00112630">
              <w:rPr>
                <w:i/>
                <w:color w:val="FF0000"/>
                <w:sz w:val="18"/>
                <w:szCs w:val="18"/>
                <w:u w:val="single"/>
              </w:rPr>
              <w:t>CrossCarrierSchedulingConfig</w:t>
            </w:r>
            <w:proofErr w:type="spellEnd"/>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w:t>
            </w:r>
            <w:proofErr w:type="spellStart"/>
            <w:r w:rsidR="0096664C">
              <w:rPr>
                <w:sz w:val="18"/>
                <w:szCs w:val="18"/>
                <w:lang w:eastAsia="zh-CN"/>
              </w:rPr>
              <w:t>MotM</w:t>
            </w:r>
            <w:proofErr w:type="spellEnd"/>
            <w:r w:rsidR="00A92231">
              <w:rPr>
                <w:sz w:val="18"/>
                <w:szCs w:val="18"/>
                <w:lang w:eastAsia="zh-CN"/>
              </w:rPr>
              <w:t>, Apple (for DCI with data)</w:t>
            </w:r>
          </w:p>
          <w:p w14:paraId="352E2AF0" w14:textId="696E74B2"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 xml:space="preserve">Unclear, need TP to </w:t>
            </w:r>
            <w:proofErr w:type="gramStart"/>
            <w:r w:rsidRPr="0055744B">
              <w:rPr>
                <w:rFonts w:eastAsia="Times New Roman"/>
                <w:b/>
                <w:bCs/>
                <w:sz w:val="18"/>
                <w:szCs w:val="18"/>
              </w:rPr>
              <w:t>discuss</w:t>
            </w:r>
            <w:r>
              <w:rPr>
                <w:rFonts w:eastAsia="Times New Roman"/>
                <w:bCs/>
                <w:sz w:val="18"/>
                <w:szCs w:val="18"/>
              </w:rPr>
              <w:t>:</w:t>
            </w:r>
            <w:proofErr w:type="gramEnd"/>
            <w:r>
              <w:rPr>
                <w:rFonts w:eastAsia="Times New Roman"/>
                <w:bCs/>
                <w:sz w:val="18"/>
                <w:szCs w:val="18"/>
              </w:rPr>
              <w:t xml:space="preserve">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w:t>
            </w:r>
            <w:proofErr w:type="gramStart"/>
            <w:r>
              <w:rPr>
                <w:sz w:val="18"/>
                <w:szCs w:val="18"/>
              </w:rPr>
              <w:t xml:space="preserve">MTK </w:t>
            </w:r>
            <w:r w:rsidR="009F5EE6">
              <w:rPr>
                <w:sz w:val="18"/>
                <w:szCs w:val="18"/>
              </w:rPr>
              <w:t>,</w:t>
            </w:r>
            <w:proofErr w:type="gramEnd"/>
            <w:r w:rsidR="009F5EE6">
              <w:rPr>
                <w:sz w:val="18"/>
                <w:szCs w:val="18"/>
              </w:rPr>
              <w:t xml:space="preserve"> CATT, Nokia/NSB</w:t>
            </w:r>
            <w:r w:rsidR="0037132C">
              <w:rPr>
                <w:sz w:val="18"/>
                <w:szCs w:val="18"/>
              </w:rPr>
              <w:t>, Lenovo/</w:t>
            </w:r>
            <w:proofErr w:type="spellStart"/>
            <w:r w:rsidR="0037132C">
              <w:rPr>
                <w:sz w:val="18"/>
                <w:szCs w:val="18"/>
              </w:rPr>
              <w:t>MotM</w:t>
            </w:r>
            <w:proofErr w:type="spellEnd"/>
            <w:r w:rsidR="0037132C">
              <w:rPr>
                <w:sz w:val="18"/>
                <w:szCs w:val="18"/>
              </w:rPr>
              <w:t xml:space="preserve">,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 xml:space="preserve">CORESET should be </w:t>
            </w:r>
            <w:proofErr w:type="spellStart"/>
            <w:r w:rsidRPr="00AA0408">
              <w:rPr>
                <w:rFonts w:eastAsia="SimSun"/>
                <w:bCs/>
                <w:sz w:val="18"/>
                <w:highlight w:val="green"/>
                <w:lang w:eastAsia="zh-CN"/>
              </w:rPr>
              <w:t>QCLed</w:t>
            </w:r>
            <w:proofErr w:type="spellEnd"/>
            <w:r w:rsidRPr="00AA0408">
              <w:rPr>
                <w:rFonts w:eastAsia="SimSun"/>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w:t>
            </w:r>
            <w:proofErr w:type="spellStart"/>
            <w:r w:rsidR="00247414">
              <w:rPr>
                <w:sz w:val="18"/>
                <w:szCs w:val="18"/>
              </w:rPr>
              <w:t>MotM</w:t>
            </w:r>
            <w:proofErr w:type="spellEnd"/>
            <w:r w:rsidR="000E3267">
              <w:rPr>
                <w:sz w:val="18"/>
                <w:szCs w:val="18"/>
              </w:rPr>
              <w:t>, MTK</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lastRenderedPageBreak/>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af2"/>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af2"/>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af2"/>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m:t>
                        </m:r>
                        <w:proofErr w:type="gramStart"/>
                        <m:r>
                          <m:rPr>
                            <m:nor/>
                          </m:rPr>
                          <w:rPr>
                            <w:rFonts w:ascii="Cambria Math"/>
                            <w:iCs/>
                            <w:sz w:val="18"/>
                            <w:szCs w:val="18"/>
                            <w:highlight w:val="cyan"/>
                          </w:rPr>
                          <m:t>NOMINAL,PUSCH</m:t>
                        </m:r>
                        <w:proofErr w:type="gramEnd"/>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proofErr w:type="gramStart"/>
            <w:r w:rsidR="00606735">
              <w:rPr>
                <w:rFonts w:eastAsiaTheme="minorEastAsia"/>
                <w:lang w:val="en-US" w:eastAsia="zh-CN"/>
              </w:rPr>
              <w:t>So</w:t>
            </w:r>
            <w:proofErr w:type="gramEnd"/>
            <w:r w:rsidR="00606735">
              <w:rPr>
                <w:rFonts w:eastAsiaTheme="minorEastAsia"/>
                <w:lang w:val="en-US" w:eastAsia="zh-CN"/>
              </w:rPr>
              <w:t xml:space="preserve">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Malgun Gothic" w:hAnsi="Arial" w:cs="Arial"/>
                <w:bCs/>
                <w:color w:val="FF0000"/>
                <w:sz w:val="18"/>
                <w:szCs w:val="18"/>
                <w:lang w:val="en-US" w:eastAsia="ko-KR"/>
              </w:rPr>
            </w:pPr>
            <w:r w:rsidRPr="00B27540">
              <w:rPr>
                <w:rFonts w:ascii="Arial" w:eastAsia="Malgun Gothic" w:hAnsi="Arial" w:cs="Arial"/>
                <w:bCs/>
                <w:color w:val="FF0000"/>
                <w:sz w:val="18"/>
                <w:szCs w:val="18"/>
                <w:lang w:val="en-US" w:eastAsia="ko-KR"/>
              </w:rPr>
              <w:t xml:space="preserve">Support of indication/configuration of R17 TCI states for </w:t>
            </w:r>
            <w:r w:rsidRPr="00862C70">
              <w:rPr>
                <w:rFonts w:ascii="Arial" w:eastAsia="Malgun Gothic" w:hAnsi="Arial" w:cs="Arial"/>
                <w:bCs/>
                <w:color w:val="FF0000"/>
                <w:sz w:val="18"/>
                <w:szCs w:val="18"/>
                <w:lang w:val="en-US" w:eastAsia="ko-KR"/>
              </w:rPr>
              <w:t xml:space="preserve">CORESET 0 and </w:t>
            </w:r>
            <w:r w:rsidR="00B27540">
              <w:rPr>
                <w:rFonts w:ascii="Arial" w:eastAsia="Malgun Gothic" w:hAnsi="Arial" w:cs="Arial"/>
                <w:bCs/>
                <w:color w:val="FF0000"/>
                <w:sz w:val="18"/>
                <w:szCs w:val="18"/>
                <w:lang w:val="en-US" w:eastAsia="ko-KR"/>
              </w:rPr>
              <w:t xml:space="preserve">the respective </w:t>
            </w:r>
            <w:r w:rsidRPr="00862C70">
              <w:rPr>
                <w:rFonts w:ascii="Arial" w:eastAsia="Malgun Gothic" w:hAnsi="Arial" w:cs="Arial"/>
                <w:bCs/>
                <w:color w:val="FF0000"/>
                <w:sz w:val="18"/>
                <w:szCs w:val="18"/>
                <w:lang w:val="en-US" w:eastAsia="ko-KR"/>
              </w:rPr>
              <w:t>PDSCH</w:t>
            </w:r>
            <w:r w:rsidR="00B27540" w:rsidRPr="00B27540">
              <w:rPr>
                <w:rFonts w:ascii="Arial" w:eastAsia="Malgun Gothic" w:hAnsi="Arial" w:cs="Arial"/>
                <w:bCs/>
                <w:color w:val="FF0000"/>
                <w:sz w:val="18"/>
                <w:szCs w:val="18"/>
                <w:lang w:val="en-US" w:eastAsia="ko-KR"/>
              </w:rPr>
              <w:t xml:space="preserve"> </w:t>
            </w:r>
            <w:r w:rsidR="00B27540">
              <w:rPr>
                <w:rFonts w:ascii="Arial" w:eastAsia="Malgun Gothic" w:hAnsi="Arial" w:cs="Arial"/>
                <w:bCs/>
                <w:color w:val="FF0000"/>
                <w:sz w:val="18"/>
                <w:szCs w:val="18"/>
                <w:lang w:val="en-US" w:eastAsia="ko-KR"/>
              </w:rPr>
              <w:t xml:space="preserve">reception </w:t>
            </w:r>
            <w:r w:rsidR="00B27540" w:rsidRPr="00B27540">
              <w:rPr>
                <w:rFonts w:ascii="Arial" w:eastAsia="Malgun Gothic"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Malgun Gothic"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Malgun Gothic"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Malgun Gothic" w:hAnsi="Arial" w:cs="Arial"/>
                <w:bCs/>
                <w:color w:val="000000"/>
                <w:sz w:val="18"/>
                <w:szCs w:val="18"/>
                <w:lang w:val="en-US" w:eastAsia="ko-KR"/>
              </w:rPr>
              <w:t>PDCCH, PDSCH, and SRS reusing the Rel-15/16 signaling/configuration design(s)</w:t>
            </w:r>
            <w:r w:rsidR="00B27540" w:rsidRPr="00B27540">
              <w:rPr>
                <w:rFonts w:ascii="Arial" w:eastAsia="Malgun Gothic"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166F86" w:rsidRPr="00494792" w14:paraId="7B0F9B40" w14:textId="77777777" w:rsidTr="00EC4F9B">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w:t>
                  </w:r>
                  <w:proofErr w:type="spellStart"/>
                  <w:r w:rsidRPr="00494792">
                    <w:rPr>
                      <w:sz w:val="18"/>
                      <w:szCs w:val="18"/>
                    </w:rPr>
                    <w:t>dB.</w:t>
                  </w:r>
                  <w:proofErr w:type="spellEnd"/>
                  <w:r w:rsidRPr="00494792">
                    <w:rPr>
                      <w:sz w:val="18"/>
                      <w:szCs w:val="18"/>
                    </w:rPr>
                    <w:t xml:space="preserve">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m:t>
                        </m:r>
                        <w:proofErr w:type="gramStart"/>
                        <m:r>
                          <m:rPr>
                            <m:nor/>
                          </m:rPr>
                          <w:rPr>
                            <w:rFonts w:ascii="Cambria Math"/>
                            <w:iCs/>
                            <w:sz w:val="18"/>
                            <w:szCs w:val="18"/>
                            <w:highlight w:val="cyan"/>
                          </w:rPr>
                          <m:t>NOMINAL,PUSCH</m:t>
                        </m:r>
                        <w:proofErr w:type="gramEnd"/>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proofErr w:type="spellStart"/>
                  <w:r w:rsidRPr="00793E40">
                    <w:rPr>
                      <w:i/>
                      <w:sz w:val="18"/>
                      <w:szCs w:val="18"/>
                      <w:highlight w:val="cyan"/>
                    </w:rPr>
                    <w:t>pusch</w:t>
                  </w:r>
                  <w:proofErr w:type="spellEnd"/>
                  <w:r w:rsidRPr="00793E40">
                    <w:rPr>
                      <w:i/>
                      <w:sz w:val="18"/>
                      <w:szCs w:val="18"/>
                      <w:highlight w:val="cyan"/>
                    </w:rPr>
                    <w:t>-</w:t>
                  </w:r>
                  <w:proofErr w:type="spellStart"/>
                  <w:r w:rsidRPr="00793E40">
                    <w:rPr>
                      <w:i/>
                      <w:sz w:val="18"/>
                      <w:szCs w:val="18"/>
                      <w:highlight w:val="cyan"/>
                    </w:rPr>
                    <w:t>PathlossReferenceRS</w:t>
                  </w:r>
                  <w:proofErr w:type="spellEnd"/>
                  <w:r w:rsidRPr="00793E40">
                    <w:rPr>
                      <w:i/>
                      <w:sz w:val="18"/>
                      <w:szCs w:val="18"/>
                      <w:highlight w:val="cyan"/>
                    </w:rPr>
                    <w:t xml:space="preserve">-Id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 xml:space="preserve">1.13: It may not be needed. The above TP is </w:t>
            </w:r>
            <w:proofErr w:type="gramStart"/>
            <w:r>
              <w:rPr>
                <w:rFonts w:eastAsiaTheme="minorEastAsia"/>
                <w:lang w:val="en-US" w:eastAsia="zh-CN"/>
              </w:rPr>
              <w:t>common-understanding</w:t>
            </w:r>
            <w:proofErr w:type="gramEnd"/>
            <w:r>
              <w:rPr>
                <w:rFonts w:eastAsiaTheme="minorEastAsia"/>
                <w:lang w:val="en-US" w:eastAsia="zh-CN"/>
              </w:rPr>
              <w:t xml:space="preserve">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 xml:space="preserve">The legacy parameter may not be configured in unified TCI framework, considering that the </w:t>
            </w:r>
            <w:proofErr w:type="gramStart"/>
            <w:r w:rsidR="0034528B">
              <w:rPr>
                <w:rFonts w:eastAsiaTheme="minorEastAsia"/>
                <w:lang w:val="en-US" w:eastAsia="zh-CN"/>
              </w:rPr>
              <w:t>all</w:t>
            </w:r>
            <w:proofErr w:type="gramEnd"/>
            <w:r w:rsidR="0034528B">
              <w:rPr>
                <w:rFonts w:eastAsiaTheme="minorEastAsia"/>
                <w:lang w:val="en-US" w:eastAsia="zh-CN"/>
              </w:rPr>
              <w:t xml:space="preserve"> parameter(s) for power control will be handled by new Rel-17 RRC parameters. So, </w:t>
            </w:r>
            <w:proofErr w:type="spellStart"/>
            <w:r w:rsidR="0034528B">
              <w:rPr>
                <w:rFonts w:eastAsiaTheme="minorEastAsia"/>
                <w:lang w:val="en-US" w:eastAsia="zh-CN"/>
              </w:rPr>
              <w:t>eitherway</w:t>
            </w:r>
            <w:proofErr w:type="spellEnd"/>
            <w:r w:rsidR="0034528B">
              <w:rPr>
                <w:rFonts w:eastAsiaTheme="minorEastAsia"/>
                <w:lang w:val="en-US" w:eastAsia="zh-CN"/>
              </w:rPr>
              <w:t>,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1.13: We support Proposal 1.I. Although the behaviour is </w:t>
            </w:r>
            <w:proofErr w:type="gramStart"/>
            <w:r>
              <w:rPr>
                <w:rStyle w:val="00TextChar"/>
                <w:rFonts w:eastAsia="MS Mincho"/>
                <w:bCs/>
                <w:sz w:val="18"/>
                <w:szCs w:val="18"/>
                <w:lang w:eastAsia="ja-JP"/>
              </w:rPr>
              <w:t>similar to</w:t>
            </w:r>
            <w:proofErr w:type="gramEnd"/>
            <w:r>
              <w:rPr>
                <w:rStyle w:val="00TextChar"/>
                <w:rFonts w:eastAsia="MS Mincho"/>
                <w:bCs/>
                <w:sz w:val="18"/>
                <w:szCs w:val="18"/>
                <w:lang w:eastAsia="ja-JP"/>
              </w:rPr>
              <w:t xml:space="preserve">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新細明體" w:hint="eastAsia"/>
                <w:sz w:val="18"/>
                <w:szCs w:val="18"/>
                <w:lang w:eastAsia="zh-TW"/>
              </w:rPr>
              <w:t>M</w:t>
            </w:r>
            <w:r>
              <w:rPr>
                <w:rFonts w:eastAsia="新細明體"/>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新細明體"/>
                <w:lang w:val="en-US" w:eastAsia="zh-TW"/>
              </w:rPr>
            </w:pPr>
            <w:r>
              <w:rPr>
                <w:rFonts w:eastAsia="新細明體" w:hint="eastAsia"/>
                <w:lang w:val="en-US" w:eastAsia="zh-TW"/>
              </w:rPr>
              <w:t>P</w:t>
            </w:r>
            <w:r>
              <w:rPr>
                <w:rFonts w:eastAsia="新細明體"/>
                <w:lang w:val="en-US" w:eastAsia="zh-TW"/>
              </w:rPr>
              <w:t>1.G: We prefer to have the agreement</w:t>
            </w:r>
            <w:r>
              <w:rPr>
                <w:rFonts w:eastAsia="新細明體"/>
                <w:lang w:val="en-US" w:eastAsia="zh-TW"/>
              </w:rPr>
              <w:t xml:space="preserve"> </w:t>
            </w:r>
            <w:r>
              <w:rPr>
                <w:rFonts w:eastAsia="新細明體"/>
                <w:lang w:val="en-US" w:eastAsia="zh-TW"/>
              </w:rPr>
              <w:t>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新細明體"/>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lastRenderedPageBreak/>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 xml:space="preserve">A UE does not expect to detect, in a same PDCCH monitoring occasion, a DCI format with CRC scrambled by a SI-RNTI, RA-RNTI, </w:t>
                  </w:r>
                  <w:proofErr w:type="spellStart"/>
                  <w:r>
                    <w:rPr>
                      <w:sz w:val="18"/>
                      <w:szCs w:val="18"/>
                      <w:lang w:eastAsia="zh-CN"/>
                    </w:rPr>
                    <w:t>MsgB</w:t>
                  </w:r>
                  <w:proofErr w:type="spellEnd"/>
                  <w:r>
                    <w:rPr>
                      <w:sz w:val="18"/>
                      <w:szCs w:val="18"/>
                      <w:lang w:eastAsia="zh-CN"/>
                    </w:rPr>
                    <w:t>-RNTI,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w:t>
            </w:r>
            <w:proofErr w:type="gramStart"/>
            <w:r w:rsidRPr="008F277C">
              <w:rPr>
                <w:b/>
                <w:sz w:val="18"/>
                <w:szCs w:val="18"/>
              </w:rPr>
              <w:t>support:</w:t>
            </w:r>
            <w:proofErr w:type="gramEnd"/>
            <w:r w:rsidRPr="008F277C">
              <w:rPr>
                <w:b/>
                <w:sz w:val="18"/>
                <w:szCs w:val="18"/>
              </w:rPr>
              <w:t xml:space="preserve"> </w:t>
            </w:r>
            <w:r w:rsidR="00AD4B59">
              <w:rPr>
                <w:sz w:val="18"/>
                <w:szCs w:val="18"/>
              </w:rPr>
              <w:t>vivo</w:t>
            </w:r>
            <w:r w:rsidR="008773D4">
              <w:rPr>
                <w:sz w:val="18"/>
                <w:szCs w:val="18"/>
              </w:rPr>
              <w:t>, MTK</w:t>
            </w:r>
            <w:r w:rsidR="00E22CD0">
              <w:rPr>
                <w:sz w:val="18"/>
                <w:szCs w:val="18"/>
              </w:rPr>
              <w:t>, Apple</w:t>
            </w:r>
            <w:r w:rsidR="007373B9">
              <w:rPr>
                <w:sz w:val="18"/>
                <w:szCs w:val="18"/>
              </w:rPr>
              <w:t xml:space="preserve">, </w:t>
            </w:r>
            <w:proofErr w:type="spellStart"/>
            <w:r w:rsidR="007373B9">
              <w:rPr>
                <w:sz w:val="18"/>
                <w:szCs w:val="18"/>
              </w:rPr>
              <w:t>Lenovo.MotM</w:t>
            </w:r>
            <w:proofErr w:type="spellEnd"/>
            <w:r w:rsidR="007373B9">
              <w:rPr>
                <w:sz w:val="18"/>
                <w:szCs w:val="18"/>
              </w:rPr>
              <w:t xml:space="preserve"> (clarification on UE cap)</w:t>
            </w:r>
            <w:r w:rsidR="00AA389C">
              <w:rPr>
                <w:sz w:val="18"/>
                <w:szCs w:val="18"/>
              </w:rPr>
              <w:t>, QC</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3117C726" w:rsidR="004578F3" w:rsidRPr="008F277C" w:rsidRDefault="00BF06B4">
            <w:pPr>
              <w:snapToGrid w:val="0"/>
              <w:rPr>
                <w:b/>
                <w:sz w:val="18"/>
                <w:szCs w:val="18"/>
              </w:rPr>
            </w:pPr>
            <w:r w:rsidRPr="008F277C">
              <w:rPr>
                <w:b/>
                <w:sz w:val="18"/>
                <w:szCs w:val="18"/>
              </w:rPr>
              <w:t xml:space="preserve">Not </w:t>
            </w:r>
            <w:proofErr w:type="gramStart"/>
            <w:r w:rsidRPr="008F277C">
              <w:rPr>
                <w:b/>
                <w:sz w:val="18"/>
                <w:szCs w:val="18"/>
              </w:rPr>
              <w:t>support:</w:t>
            </w:r>
            <w:proofErr w:type="gramEnd"/>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w:t>
            </w:r>
            <w:proofErr w:type="spellStart"/>
            <w:r w:rsidR="007373B9">
              <w:rPr>
                <w:sz w:val="18"/>
                <w:szCs w:val="18"/>
              </w:rPr>
              <w:t>MotM</w:t>
            </w:r>
            <w:proofErr w:type="spellEnd"/>
            <w:r w:rsidR="000664D6">
              <w:rPr>
                <w:sz w:val="18"/>
                <w:szCs w:val="18"/>
              </w:rPr>
              <w:t xml:space="preserve"> (</w:t>
            </w:r>
            <w:r w:rsidR="007373B9">
              <w:rPr>
                <w:sz w:val="18"/>
                <w:szCs w:val="18"/>
              </w:rPr>
              <w:t>clarification on UE cap)</w:t>
            </w:r>
            <w:r w:rsidR="00AA389C">
              <w:rPr>
                <w:sz w:val="18"/>
                <w:szCs w:val="18"/>
              </w:rPr>
              <w:t>, QC</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af2"/>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af2"/>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w:t>
            </w:r>
            <w:proofErr w:type="gramStart"/>
            <w:r w:rsidRPr="004B0B24">
              <w:rPr>
                <w:sz w:val="18"/>
                <w:szCs w:val="18"/>
                <w:lang w:val="en-GB" w:eastAsia="zh-CN"/>
              </w:rPr>
              <w:t>i.e.</w:t>
            </w:r>
            <w:proofErr w:type="gramEnd"/>
            <w:r w:rsidRPr="004B0B24">
              <w:rPr>
                <w:sz w:val="18"/>
                <w:szCs w:val="18"/>
                <w:lang w:val="en-GB" w:eastAsia="zh-CN"/>
              </w:rPr>
              <w:t xml:space="preserve"> </w:t>
            </w:r>
            <w:proofErr w:type="spellStart"/>
            <w:r w:rsidRPr="004B0B24">
              <w:rPr>
                <w:sz w:val="18"/>
                <w:szCs w:val="18"/>
                <w:lang w:val="en-GB" w:eastAsia="zh-CN"/>
              </w:rPr>
              <w:t>TDMed</w:t>
            </w:r>
            <w:proofErr w:type="spellEnd"/>
            <w:r w:rsidRPr="004B0B24">
              <w:rPr>
                <w:sz w:val="18"/>
                <w:szCs w:val="18"/>
                <w:lang w:val="en-GB" w:eastAsia="zh-CN"/>
              </w:rPr>
              <w:t xml:space="preserve"> receptions with different TCIs are supported even in R15. </w:t>
            </w:r>
            <w:proofErr w:type="gramStart"/>
            <w:r w:rsidRPr="004B0B24">
              <w:rPr>
                <w:sz w:val="18"/>
                <w:szCs w:val="18"/>
                <w:lang w:val="en-GB" w:eastAsia="zh-CN"/>
              </w:rPr>
              <w:t>So</w:t>
            </w:r>
            <w:proofErr w:type="gramEnd"/>
            <w:r w:rsidRPr="004B0B24">
              <w:rPr>
                <w:sz w:val="18"/>
                <w:szCs w:val="18"/>
                <w:lang w:val="en-GB" w:eastAsia="zh-CN"/>
              </w:rPr>
              <w:t xml:space="preserve"> no need to mention just for R17 unified TCI</w:t>
            </w:r>
          </w:p>
          <w:p w14:paraId="7CF6384D" w14:textId="23E60A69"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af2"/>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af2"/>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102DE6E7" w14:textId="77777777" w:rsidR="000565EF" w:rsidRPr="00602412" w:rsidRDefault="000565EF" w:rsidP="000565EF">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5E0350">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w:t>
                  </w:r>
                  <w:proofErr w:type="gramStart"/>
                  <w:r w:rsidRPr="00602412">
                    <w:rPr>
                      <w:rFonts w:ascii="Times" w:eastAsia="Batang" w:hAnsi="Times" w:cs="Times"/>
                      <w:sz w:val="20"/>
                      <w:szCs w:val="20"/>
                      <w:lang w:val="en-GB" w:eastAsia="en-US"/>
                    </w:rPr>
                    <w:t>e.g.</w:t>
                  </w:r>
                  <w:proofErr w:type="gramEnd"/>
                  <w:r w:rsidRPr="00602412">
                    <w:rPr>
                      <w:rFonts w:ascii="Times" w:eastAsia="Batang" w:hAnsi="Times" w:cs="Times"/>
                      <w:sz w:val="20"/>
                      <w:szCs w:val="20"/>
                      <w:lang w:val="en-GB" w:eastAsia="en-US"/>
                    </w:rPr>
                    <w:t xml:space="preserve">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新細明體"/>
                <w:sz w:val="18"/>
                <w:szCs w:val="18"/>
                <w:lang w:eastAsia="zh-TW"/>
              </w:rPr>
            </w:pPr>
            <w:r>
              <w:rPr>
                <w:rFonts w:eastAsia="新細明體"/>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新細明體"/>
                <w:iCs/>
                <w:sz w:val="18"/>
                <w:szCs w:val="18"/>
                <w:lang w:eastAsia="zh-TW"/>
              </w:rPr>
            </w:pPr>
            <w:r>
              <w:rPr>
                <w:rFonts w:eastAsia="新細明體"/>
                <w:iCs/>
                <w:sz w:val="18"/>
                <w:szCs w:val="18"/>
                <w:lang w:eastAsia="zh-TW"/>
              </w:rPr>
              <w:t xml:space="preserve">2.8: </w:t>
            </w:r>
            <w:r w:rsidR="006F245D">
              <w:rPr>
                <w:rFonts w:eastAsia="新細明體"/>
                <w:iCs/>
                <w:sz w:val="18"/>
                <w:szCs w:val="18"/>
                <w:lang w:eastAsia="zh-TW"/>
              </w:rPr>
              <w:t xml:space="preserve">It may be relevant to </w:t>
            </w:r>
            <w:r>
              <w:rPr>
                <w:rFonts w:eastAsia="新細明體"/>
                <w:iCs/>
                <w:sz w:val="18"/>
                <w:szCs w:val="18"/>
                <w:lang w:eastAsia="zh-TW"/>
              </w:rPr>
              <w:t xml:space="preserve">Issue </w:t>
            </w:r>
            <w:r w:rsidR="006F245D">
              <w:rPr>
                <w:rFonts w:eastAsia="新細明體"/>
                <w:iCs/>
                <w:sz w:val="18"/>
                <w:szCs w:val="18"/>
                <w:lang w:eastAsia="zh-TW"/>
              </w:rPr>
              <w:t xml:space="preserve">2.5. The main issue is how the UE realizes the corresponding transmission for paging/SIB when the scheduling offset is less than a threshold. If this issue </w:t>
            </w:r>
            <w:proofErr w:type="spellStart"/>
            <w:r w:rsidR="006F245D">
              <w:rPr>
                <w:rFonts w:eastAsia="新細明體"/>
                <w:iCs/>
                <w:sz w:val="18"/>
                <w:szCs w:val="18"/>
                <w:lang w:eastAsia="zh-TW"/>
              </w:rPr>
              <w:t>can not</w:t>
            </w:r>
            <w:proofErr w:type="spellEnd"/>
            <w:r w:rsidR="006F245D">
              <w:rPr>
                <w:rFonts w:eastAsia="新細明體"/>
                <w:iCs/>
                <w:sz w:val="18"/>
                <w:szCs w:val="18"/>
                <w:lang w:eastAsia="zh-TW"/>
              </w:rPr>
              <w:t xml:space="preserve"> be solved, the above rule </w:t>
            </w:r>
            <w:proofErr w:type="spellStart"/>
            <w:r w:rsidR="006F245D">
              <w:rPr>
                <w:rFonts w:eastAsia="新細明體"/>
                <w:iCs/>
                <w:sz w:val="18"/>
                <w:szCs w:val="18"/>
                <w:lang w:eastAsia="zh-TW"/>
              </w:rPr>
              <w:t>can not</w:t>
            </w:r>
            <w:proofErr w:type="spellEnd"/>
            <w:r w:rsidR="006F245D">
              <w:rPr>
                <w:rFonts w:eastAsia="新細明體"/>
                <w:iCs/>
                <w:sz w:val="18"/>
                <w:szCs w:val="18"/>
                <w:lang w:eastAsia="zh-TW"/>
              </w:rPr>
              <w:t xml:space="preserve"> be achieved. </w:t>
            </w:r>
          </w:p>
          <w:p w14:paraId="60417077" w14:textId="77777777" w:rsidR="006F245D" w:rsidRDefault="006F245D" w:rsidP="006F245D">
            <w:pPr>
              <w:widowControl w:val="0"/>
              <w:jc w:val="both"/>
              <w:rPr>
                <w:rFonts w:eastAsia="新細明體"/>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新細明體"/>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新細明體"/>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新細明體"/>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新細明體"/>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新細明體"/>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新細明體"/>
                <w:sz w:val="18"/>
                <w:szCs w:val="18"/>
                <w:lang w:eastAsia="zh-TW"/>
              </w:rPr>
            </w:pPr>
            <w:r>
              <w:rPr>
                <w:rFonts w:eastAsia="新細明體"/>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新細明體"/>
                <w:b/>
                <w:iCs/>
                <w:sz w:val="18"/>
                <w:szCs w:val="18"/>
                <w:lang w:eastAsia="zh-TW"/>
              </w:rPr>
            </w:pPr>
            <w:r w:rsidRPr="00527C9F">
              <w:rPr>
                <w:rFonts w:eastAsia="新細明體"/>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新細明體"/>
                <w:sz w:val="18"/>
                <w:szCs w:val="18"/>
                <w:lang w:eastAsia="zh-TW"/>
              </w:rPr>
            </w:pPr>
            <w:r>
              <w:rPr>
                <w:rFonts w:eastAsia="新細明體" w:hint="eastAsia"/>
                <w:sz w:val="18"/>
                <w:szCs w:val="18"/>
                <w:lang w:eastAsia="zh-TW"/>
              </w:rPr>
              <w:t>M</w:t>
            </w:r>
            <w:r>
              <w:rPr>
                <w:rFonts w:eastAsia="新細明體"/>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新細明體"/>
                <w:b/>
                <w:iCs/>
                <w:color w:val="3333FF"/>
                <w:sz w:val="18"/>
                <w:szCs w:val="18"/>
                <w:lang w:eastAsia="zh-TW"/>
              </w:rPr>
            </w:pPr>
            <w:r>
              <w:rPr>
                <w:rFonts w:eastAsia="新細明體" w:hint="eastAsia"/>
                <w:iCs/>
                <w:sz w:val="18"/>
                <w:szCs w:val="18"/>
                <w:lang w:eastAsia="zh-TW"/>
              </w:rPr>
              <w:t>W</w:t>
            </w:r>
            <w:r>
              <w:rPr>
                <w:rFonts w:eastAsia="新細明體"/>
                <w:iCs/>
                <w:sz w:val="18"/>
                <w:szCs w:val="18"/>
                <w:lang w:eastAsia="zh-TW"/>
              </w:rPr>
              <w:t>e still think these TPs are not necessary. Moreover,</w:t>
            </w:r>
            <w:r>
              <w:rPr>
                <w:rFonts w:eastAsia="新細明體"/>
                <w:iCs/>
                <w:sz w:val="18"/>
                <w:szCs w:val="18"/>
                <w:lang w:eastAsia="zh-TW"/>
              </w:rPr>
              <w:t xml:space="preserve"> it seems</w:t>
            </w:r>
            <w:r>
              <w:rPr>
                <w:rFonts w:eastAsia="新細明體"/>
                <w:iCs/>
                <w:sz w:val="18"/>
                <w:szCs w:val="18"/>
                <w:lang w:eastAsia="zh-TW"/>
              </w:rPr>
              <w:t xml:space="preserve"> these TPs may cause more issues.</w:t>
            </w: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lastRenderedPageBreak/>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3"/>
              <w:rPr>
                <w:sz w:val="22"/>
                <w:szCs w:val="18"/>
              </w:rPr>
            </w:pPr>
            <w:r w:rsidRPr="00381CD9">
              <w:rPr>
                <w:sz w:val="22"/>
                <w:szCs w:val="18"/>
              </w:rPr>
              <w:t>5.1.5</w:t>
            </w:r>
            <w:r w:rsidRPr="00381CD9">
              <w:rPr>
                <w:sz w:val="22"/>
                <w:szCs w:val="18"/>
              </w:rPr>
              <w:tab/>
              <w:t xml:space="preserve">Antenna </w:t>
            </w:r>
            <w:proofErr w:type="gramStart"/>
            <w:r w:rsidRPr="00381CD9">
              <w:rPr>
                <w:sz w:val="22"/>
                <w:szCs w:val="18"/>
              </w:rPr>
              <w:t>ports</w:t>
            </w:r>
            <w:proofErr w:type="gramEnd"/>
            <w:r w:rsidRPr="00381CD9">
              <w:rPr>
                <w:sz w:val="22"/>
                <w:szCs w:val="18"/>
              </w:rPr>
              <w:t xml:space="preserve">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w:t>
            </w:r>
            <w:proofErr w:type="gramStart"/>
            <w:r>
              <w:rPr>
                <w:b/>
                <w:sz w:val="18"/>
                <w:szCs w:val="20"/>
                <w:lang w:val="en-GB"/>
              </w:rPr>
              <w:t>support:</w:t>
            </w:r>
            <w:proofErr w:type="gramEnd"/>
            <w:r>
              <w:rPr>
                <w:b/>
                <w:sz w:val="18"/>
                <w:szCs w:val="20"/>
                <w:lang w:val="en-GB"/>
              </w:rPr>
              <w:t xml:space="preserve">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4"/>
              <w:rPr>
                <w:rFonts w:ascii="Arial" w:hAnsi="Arial" w:cs="Arial"/>
                <w:i w:val="0"/>
                <w:sz w:val="18"/>
                <w:szCs w:val="18"/>
              </w:rPr>
            </w:pPr>
            <w:bookmarkStart w:id="11" w:name="_Ref505248562"/>
            <w:bookmarkStart w:id="12" w:name="_Toc12021470"/>
            <w:bookmarkStart w:id="13" w:name="_Toc20311582"/>
            <w:bookmarkStart w:id="14" w:name="_Toc26719407"/>
            <w:bookmarkStart w:id="15" w:name="_Toc29894840"/>
            <w:bookmarkStart w:id="16" w:name="_Toc29899139"/>
            <w:bookmarkStart w:id="17" w:name="_Toc29899557"/>
            <w:bookmarkStart w:id="18" w:name="_Toc29917294"/>
            <w:bookmarkStart w:id="19" w:name="_Toc36498168"/>
            <w:bookmarkStart w:id="20" w:name="_Toc45699194"/>
            <w:bookmarkStart w:id="21"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1"/>
            <w:bookmarkEnd w:id="12"/>
            <w:bookmarkEnd w:id="13"/>
            <w:bookmarkEnd w:id="14"/>
            <w:bookmarkEnd w:id="15"/>
            <w:bookmarkEnd w:id="16"/>
            <w:bookmarkEnd w:id="17"/>
            <w:bookmarkEnd w:id="18"/>
            <w:bookmarkEnd w:id="19"/>
            <w:bookmarkEnd w:id="20"/>
            <w:bookmarkEnd w:id="21"/>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t>Support/fine</w:t>
            </w:r>
            <w:r w:rsidR="00527C9F">
              <w:rPr>
                <w:sz w:val="18"/>
                <w:szCs w:val="20"/>
              </w:rPr>
              <w:t>: ZTE, Nokia/NSB, Lenovo/</w:t>
            </w:r>
            <w:proofErr w:type="spellStart"/>
            <w:r w:rsidR="00527C9F">
              <w:rPr>
                <w:sz w:val="18"/>
                <w:szCs w:val="20"/>
              </w:rPr>
              <w:t>MotM</w:t>
            </w:r>
            <w:proofErr w:type="spellEnd"/>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3.G: still opposed by many companies despite arguments from the main proponent</w:t>
            </w:r>
          </w:p>
          <w:p w14:paraId="2A9E2A41" w14:textId="01BBD17D" w:rsidR="00DF0EFB"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lastRenderedPageBreak/>
              <w:t xml:space="preserve">Focus ROUND 3 discussion on </w:t>
            </w:r>
            <w:r w:rsidR="00FD37DF">
              <w:rPr>
                <w:b/>
                <w:color w:val="FF0000"/>
                <w:u w:val="single"/>
                <w:lang w:eastAsia="zh-CN"/>
              </w:rPr>
              <w:t>3.D and</w:t>
            </w:r>
            <w:r w:rsidRPr="00DF0EFB">
              <w:rPr>
                <w:b/>
                <w:color w:val="FF0000"/>
                <w:u w:val="single"/>
                <w:lang w:eastAsia="zh-CN"/>
              </w:rPr>
              <w:t xml:space="preserve"> </w:t>
            </w:r>
            <w:proofErr w:type="gramStart"/>
            <w:r w:rsidRPr="00DF0EFB">
              <w:rPr>
                <w:b/>
                <w:color w:val="FF0000"/>
                <w:u w:val="single"/>
                <w:lang w:eastAsia="zh-CN"/>
              </w:rPr>
              <w:t>3,F</w:t>
            </w:r>
            <w:proofErr w:type="gramEnd"/>
            <w:r w:rsidRPr="00DF0EFB">
              <w:rPr>
                <w:b/>
                <w:color w:val="FF0000"/>
                <w:u w:val="single"/>
                <w:lang w:eastAsia="zh-CN"/>
              </w:rPr>
              <w:t xml:space="preserve">: TPs are provided. Those opposing please check and se </w:t>
            </w:r>
            <w:proofErr w:type="spellStart"/>
            <w:r w:rsidRPr="00DF0EFB">
              <w:rPr>
                <w:b/>
                <w:color w:val="FF0000"/>
                <w:u w:val="single"/>
                <w:lang w:eastAsia="zh-CN"/>
              </w:rPr>
              <w:t>eif</w:t>
            </w:r>
            <w:proofErr w:type="spellEnd"/>
            <w:r w:rsidRPr="00DF0EFB">
              <w:rPr>
                <w:b/>
                <w:color w:val="FF0000"/>
                <w:u w:val="single"/>
                <w:lang w:eastAsia="zh-CN"/>
              </w:rPr>
              <w:t xml:space="preserve">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 xml:space="preserve">For </w:t>
            </w:r>
            <w:proofErr w:type="spellStart"/>
            <w:r>
              <w:rPr>
                <w:color w:val="000000" w:themeColor="text1"/>
                <w:sz w:val="18"/>
                <w:szCs w:val="18"/>
                <w:lang w:eastAsia="zh-CN"/>
              </w:rPr>
              <w:t>Propsal</w:t>
            </w:r>
            <w:proofErr w:type="spellEnd"/>
            <w:r>
              <w:rPr>
                <w:color w:val="000000" w:themeColor="text1"/>
                <w:sz w:val="18"/>
                <w:szCs w:val="18"/>
                <w:lang w:eastAsia="zh-CN"/>
              </w:rPr>
              <w:t xml:space="preserve">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新細明體"/>
                <w:color w:val="000000" w:themeColor="text1"/>
                <w:sz w:val="18"/>
                <w:szCs w:val="18"/>
                <w:lang w:eastAsia="zh-TW"/>
              </w:rPr>
            </w:pPr>
            <w:r>
              <w:rPr>
                <w:rFonts w:eastAsia="新細明體"/>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w:t>
            </w:r>
            <w:proofErr w:type="spellStart"/>
            <w:r>
              <w:rPr>
                <w:sz w:val="18"/>
                <w:lang w:val="en-GB" w:eastAsia="zh-CN"/>
              </w:rPr>
              <w:t>Tdoc</w:t>
            </w:r>
            <w:proofErr w:type="spellEnd"/>
            <w:r>
              <w:rPr>
                <w:sz w:val="18"/>
                <w:lang w:val="en-GB" w:eastAsia="zh-CN"/>
              </w:rPr>
              <w:t xml:space="preserve">, we also proposed to clarify how to count “previously indicated one” in current spec. </w:t>
            </w:r>
            <w:r w:rsidRPr="0040051B">
              <w:rPr>
                <w:sz w:val="18"/>
                <w:lang w:eastAsia="zh-CN"/>
              </w:rPr>
              <w:t xml:space="preserve">It can be interpreted as the one indicated in the most recent DCI or the one being applied for current communication. If this is the most recent DCI, it may be possible that UE missed the DCI so that there could be a potential beam mismatch between </w:t>
            </w:r>
            <w:proofErr w:type="spellStart"/>
            <w:r w:rsidRPr="0040051B">
              <w:rPr>
                <w:sz w:val="18"/>
                <w:lang w:eastAsia="zh-CN"/>
              </w:rPr>
              <w:t>gNB</w:t>
            </w:r>
            <w:proofErr w:type="spellEnd"/>
            <w:r w:rsidRPr="0040051B">
              <w:rPr>
                <w:sz w:val="18"/>
                <w:lang w:eastAsia="zh-CN"/>
              </w:rPr>
              <w:t xml:space="preserve">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3"/>
              <w:rPr>
                <w:sz w:val="22"/>
                <w:szCs w:val="18"/>
              </w:rPr>
            </w:pPr>
            <w:r w:rsidRPr="00381CD9">
              <w:rPr>
                <w:sz w:val="22"/>
                <w:szCs w:val="18"/>
              </w:rPr>
              <w:t>5.1.5</w:t>
            </w:r>
            <w:r w:rsidRPr="00381CD9">
              <w:rPr>
                <w:sz w:val="22"/>
                <w:szCs w:val="18"/>
              </w:rPr>
              <w:tab/>
              <w:t xml:space="preserve">Antenna </w:t>
            </w:r>
            <w:proofErr w:type="gramStart"/>
            <w:r w:rsidRPr="00381CD9">
              <w:rPr>
                <w:sz w:val="22"/>
                <w:szCs w:val="18"/>
              </w:rPr>
              <w:t>ports</w:t>
            </w:r>
            <w:proofErr w:type="gramEnd"/>
            <w:r w:rsidRPr="00381CD9">
              <w:rPr>
                <w:sz w:val="22"/>
                <w:szCs w:val="18"/>
              </w:rPr>
              <w:t xml:space="preserve">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新細明體"/>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新細明體"/>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新細明體" w:hint="eastAsia"/>
                <w:color w:val="000000" w:themeColor="text1"/>
                <w:sz w:val="18"/>
                <w:szCs w:val="18"/>
                <w:lang w:eastAsia="zh-TW"/>
              </w:rPr>
              <w:t>M</w:t>
            </w:r>
            <w:r>
              <w:rPr>
                <w:rFonts w:eastAsia="新細明體"/>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新細明體"/>
                <w:color w:val="000000" w:themeColor="text1"/>
                <w:sz w:val="18"/>
                <w:szCs w:val="18"/>
                <w:lang w:eastAsia="zh-TW"/>
              </w:rPr>
            </w:pPr>
            <w:r>
              <w:rPr>
                <w:rFonts w:eastAsia="新細明體" w:hint="eastAsia"/>
                <w:color w:val="000000" w:themeColor="text1"/>
                <w:sz w:val="18"/>
                <w:szCs w:val="18"/>
                <w:lang w:eastAsia="zh-TW"/>
              </w:rPr>
              <w:t>P</w:t>
            </w:r>
            <w:r>
              <w:rPr>
                <w:rFonts w:eastAsia="新細明體"/>
                <w:color w:val="000000" w:themeColor="text1"/>
                <w:sz w:val="18"/>
                <w:szCs w:val="18"/>
                <w:lang w:eastAsia="zh-TW"/>
              </w:rPr>
              <w:t>3.D:</w:t>
            </w:r>
            <w:r>
              <w:rPr>
                <w:rFonts w:eastAsia="新細明體" w:hint="eastAsia"/>
                <w:color w:val="000000" w:themeColor="text1"/>
                <w:sz w:val="18"/>
                <w:szCs w:val="18"/>
                <w:lang w:eastAsia="zh-TW"/>
              </w:rPr>
              <w:t xml:space="preserve"> </w:t>
            </w:r>
            <w:r>
              <w:rPr>
                <w:rFonts w:eastAsia="新細明體"/>
                <w:color w:val="000000" w:themeColor="text1"/>
                <w:sz w:val="18"/>
                <w:szCs w:val="18"/>
                <w:lang w:eastAsia="zh-TW"/>
              </w:rPr>
              <w:t>W</w:t>
            </w:r>
            <w:proofErr w:type="spellStart"/>
            <w:r w:rsidRPr="00F40503">
              <w:rPr>
                <w:bCs/>
                <w:sz w:val="18"/>
                <w:lang w:val="en-GB" w:eastAsia="zh-CN"/>
              </w:rPr>
              <w:t>e</w:t>
            </w:r>
            <w:proofErr w:type="spellEnd"/>
            <w:r>
              <w:rPr>
                <w:bCs/>
                <w:sz w:val="18"/>
                <w:lang w:val="en-GB" w:eastAsia="zh-CN"/>
              </w:rPr>
              <w:t xml:space="preserve"> still think using ACK only is an overoptimization since this issue can be resolved by NW implementation. </w:t>
            </w:r>
            <w:r>
              <w:rPr>
                <w:rFonts w:eastAsia="新細明體"/>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新細明體"/>
                <w:color w:val="000000" w:themeColor="text1"/>
                <w:sz w:val="18"/>
                <w:szCs w:val="18"/>
                <w:lang w:eastAsia="zh-TW"/>
              </w:rPr>
            </w:pPr>
          </w:p>
          <w:p w14:paraId="11A2A11A" w14:textId="77777777" w:rsidR="000E3267" w:rsidRDefault="000E3267" w:rsidP="000E3267">
            <w:pPr>
              <w:snapToGrid w:val="0"/>
              <w:jc w:val="both"/>
              <w:rPr>
                <w:rFonts w:eastAsia="新細明體"/>
                <w:color w:val="000000" w:themeColor="text1"/>
                <w:sz w:val="18"/>
                <w:szCs w:val="18"/>
                <w:lang w:eastAsia="zh-TW"/>
              </w:rPr>
            </w:pPr>
            <w:r>
              <w:rPr>
                <w:rFonts w:eastAsia="新細明體"/>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新細明體" w:hint="eastAsia"/>
                <w:color w:val="000000" w:themeColor="text1"/>
                <w:sz w:val="18"/>
                <w:szCs w:val="18"/>
                <w:lang w:eastAsia="zh-TW"/>
              </w:rPr>
              <w:t>t</w:t>
            </w:r>
            <w:r>
              <w:rPr>
                <w:rFonts w:eastAsia="新細明體"/>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新細明體"/>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3"/>
              <w:rPr>
                <w:sz w:val="20"/>
                <w:szCs w:val="16"/>
              </w:rPr>
            </w:pPr>
            <w:r w:rsidRPr="00B37E9C">
              <w:rPr>
                <w:sz w:val="20"/>
                <w:szCs w:val="16"/>
              </w:rPr>
              <w:t>5.1.5</w:t>
            </w:r>
            <w:r w:rsidRPr="00B37E9C">
              <w:rPr>
                <w:sz w:val="20"/>
                <w:szCs w:val="16"/>
              </w:rPr>
              <w:tab/>
              <w:t xml:space="preserve">Antenna </w:t>
            </w:r>
            <w:proofErr w:type="gramStart"/>
            <w:r w:rsidRPr="00B37E9C">
              <w:rPr>
                <w:sz w:val="20"/>
                <w:szCs w:val="16"/>
              </w:rPr>
              <w:t>ports</w:t>
            </w:r>
            <w:proofErr w:type="gramEnd"/>
            <w:r w:rsidRPr="00B37E9C">
              <w:rPr>
                <w:sz w:val="20"/>
                <w:szCs w:val="16"/>
              </w:rPr>
              <w:t xml:space="preserve">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ae"/>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新細明體"/>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新細明體" w:hint="eastAsia"/>
                <w:color w:val="000000" w:themeColor="text1"/>
                <w:sz w:val="18"/>
                <w:szCs w:val="18"/>
                <w:lang w:eastAsia="zh-TW"/>
              </w:rPr>
              <w:t>P</w:t>
            </w:r>
            <w:r>
              <w:rPr>
                <w:rFonts w:eastAsia="新細明體"/>
                <w:color w:val="000000" w:themeColor="text1"/>
                <w:sz w:val="18"/>
                <w:szCs w:val="18"/>
                <w:lang w:eastAsia="zh-TW"/>
              </w:rPr>
              <w:t>3.9: We are fine with the TP</w:t>
            </w:r>
          </w:p>
        </w:tc>
      </w:tr>
    </w:tbl>
    <w:p w14:paraId="3621051D" w14:textId="77777777" w:rsidR="004578F3" w:rsidRDefault="004578F3">
      <w:pPr>
        <w:snapToGrid w:val="0"/>
      </w:pPr>
    </w:p>
    <w:p w14:paraId="2BCDF4B1" w14:textId="77777777" w:rsidR="004578F3" w:rsidRDefault="00BF06B4">
      <w:pPr>
        <w:pStyle w:val="3"/>
        <w:numPr>
          <w:ilvl w:val="1"/>
          <w:numId w:val="11"/>
        </w:numPr>
      </w:pPr>
      <w:r>
        <w:lastRenderedPageBreak/>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新細明體"/>
                <w:sz w:val="18"/>
                <w:szCs w:val="18"/>
                <w:lang w:eastAsia="zh-TW"/>
              </w:rPr>
            </w:pPr>
            <w:r>
              <w:rPr>
                <w:rFonts w:eastAsia="新細明體"/>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新細明體"/>
                <w:b/>
                <w:color w:val="3333FF"/>
                <w:szCs w:val="18"/>
                <w:lang w:eastAsia="zh-TW"/>
              </w:rPr>
            </w:pPr>
            <w:r w:rsidRPr="00AE0244">
              <w:rPr>
                <w:rFonts w:eastAsia="新細明體"/>
                <w:b/>
                <w:color w:val="3333FF"/>
                <w:szCs w:val="18"/>
                <w:lang w:eastAsia="zh-TW"/>
              </w:rPr>
              <w:t xml:space="preserve">No more </w:t>
            </w:r>
            <w:r w:rsidR="00003EC4">
              <w:rPr>
                <w:rFonts w:eastAsia="新細明體"/>
                <w:b/>
                <w:color w:val="3333FF"/>
                <w:szCs w:val="18"/>
                <w:lang w:eastAsia="zh-TW"/>
              </w:rPr>
              <w:t>proposals</w:t>
            </w:r>
            <w:r w:rsidRPr="00AE0244">
              <w:rPr>
                <w:rFonts w:eastAsia="新細明體"/>
                <w:b/>
                <w:color w:val="3333FF"/>
                <w:szCs w:val="18"/>
                <w:lang w:eastAsia="zh-TW"/>
              </w:rPr>
              <w:t xml:space="preserve"> to be discussed in </w:t>
            </w:r>
            <w:r w:rsidR="003940D1">
              <w:rPr>
                <w:rFonts w:eastAsia="新細明體"/>
                <w:b/>
                <w:color w:val="3333FF"/>
                <w:szCs w:val="18"/>
                <w:lang w:eastAsia="zh-TW"/>
              </w:rPr>
              <w:t>ROUND 3</w:t>
            </w:r>
            <w:r w:rsidRPr="00AE0244">
              <w:rPr>
                <w:rFonts w:eastAsia="新細明體"/>
                <w:b/>
                <w:color w:val="3333FF"/>
                <w:szCs w:val="18"/>
                <w:lang w:eastAsia="zh-TW"/>
              </w:rPr>
              <w:t xml:space="preserve"> unless there is consensus on issue 4.G</w:t>
            </w:r>
            <w:r>
              <w:rPr>
                <w:rFonts w:eastAsia="新細明體"/>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proofErr w:type="spellStart"/>
            <w:r w:rsidRPr="0000794D">
              <w:rPr>
                <w:i/>
                <w:iCs/>
                <w:sz w:val="20"/>
                <w:szCs w:val="18"/>
              </w:rPr>
              <w:t>mpe-ResourcePool</w:t>
            </w:r>
            <w:proofErr w:type="spellEnd"/>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proofErr w:type="spellStart"/>
            <w:r w:rsidRPr="00917338">
              <w:rPr>
                <w:i/>
                <w:iCs/>
                <w:sz w:val="18"/>
                <w:szCs w:val="18"/>
              </w:rPr>
              <w:t>mpe-ResourcePool</w:t>
            </w:r>
            <w:proofErr w:type="spellEnd"/>
            <w:r w:rsidRPr="00917338">
              <w:rPr>
                <w:sz w:val="18"/>
                <w:szCs w:val="18"/>
              </w:rPr>
              <w:t>: Is it a list of SSB or CSI-RS resources (</w:t>
            </w:r>
            <w:proofErr w:type="gramStart"/>
            <w:r w:rsidRPr="00917338">
              <w:rPr>
                <w:sz w:val="18"/>
                <w:szCs w:val="18"/>
              </w:rPr>
              <w:t>i.e.</w:t>
            </w:r>
            <w:proofErr w:type="gramEnd"/>
            <w:r w:rsidRPr="00917338">
              <w:rPr>
                <w:sz w:val="18"/>
                <w:szCs w:val="18"/>
              </w:rPr>
              <w:t xml:space="preserv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Malgun Gothic"/>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5FBEABA0"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w:t>
            </w:r>
            <w:proofErr w:type="spellStart"/>
            <w:r w:rsidR="00704FFF">
              <w:rPr>
                <w:sz w:val="18"/>
                <w:szCs w:val="18"/>
              </w:rPr>
              <w:t>MotM</w:t>
            </w:r>
            <w:proofErr w:type="spellEnd"/>
            <w:r w:rsidR="00704FFF">
              <w:rPr>
                <w:sz w:val="18"/>
                <w:szCs w:val="18"/>
              </w:rPr>
              <w:t>, MTK, Samsung, Ericsson, Nokia/NSB</w:t>
            </w:r>
            <w:r w:rsidR="00DE0549">
              <w:rPr>
                <w:sz w:val="18"/>
                <w:szCs w:val="18"/>
              </w:rPr>
              <w:t>, LG, Intel, NTT Docomo, CATT, CMCC, Huawei/</w:t>
            </w:r>
            <w:proofErr w:type="spellStart"/>
            <w:r w:rsidR="00DE0549">
              <w:rPr>
                <w:sz w:val="18"/>
                <w:szCs w:val="18"/>
              </w:rPr>
              <w:t>HiSi</w:t>
            </w:r>
            <w:proofErr w:type="spellEnd"/>
            <w:r w:rsidR="00DE0549">
              <w:rPr>
                <w:sz w:val="18"/>
                <w:szCs w:val="18"/>
              </w:rPr>
              <w:t>, vivo</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af2"/>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af2"/>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af2"/>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lastRenderedPageBreak/>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新細明體" w:hint="eastAsia"/>
                <w:sz w:val="18"/>
                <w:szCs w:val="18"/>
                <w:lang w:eastAsia="zh-TW"/>
              </w:rPr>
              <w:t>M</w:t>
            </w:r>
            <w:r>
              <w:rPr>
                <w:rFonts w:eastAsia="新細明體"/>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5.A, we are fine with 64. Since this is an RRC configured pool, which cannot be updated dynamically, a larger number of candidate beams </w:t>
            </w:r>
            <w:r>
              <w:rPr>
                <w:rFonts w:eastAsia="新細明體" w:hint="eastAsia"/>
                <w:sz w:val="18"/>
                <w:szCs w:val="18"/>
                <w:lang w:eastAsia="zh-TW"/>
              </w:rPr>
              <w:t>w</w:t>
            </w:r>
            <w:r>
              <w:rPr>
                <w:rFonts w:eastAsia="新細明體"/>
                <w:sz w:val="18"/>
                <w:szCs w:val="18"/>
                <w:lang w:eastAsia="zh-TW"/>
              </w:rPr>
              <w:t>ould be required, like the pool for NBI of BFR.</w:t>
            </w:r>
          </w:p>
          <w:p w14:paraId="106413AD" w14:textId="77777777" w:rsidR="000E3267" w:rsidRDefault="000E3267" w:rsidP="000E3267">
            <w:pPr>
              <w:snapToGrid w:val="0"/>
              <w:rPr>
                <w:rFonts w:eastAsia="新細明體"/>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新細明體" w:hint="eastAsia"/>
                <w:sz w:val="18"/>
                <w:szCs w:val="18"/>
                <w:lang w:eastAsia="zh-TW"/>
              </w:rPr>
              <w:t>R</w:t>
            </w:r>
            <w:r>
              <w:rPr>
                <w:rFonts w:eastAsia="新細明體"/>
                <w:sz w:val="18"/>
                <w:szCs w:val="18"/>
                <w:lang w:eastAsia="zh-TW"/>
              </w:rPr>
              <w:t>egarding the UE capability, in addition to the maximum number in a set, we also prefer to count these resources in FG16-1g and FG16-1g-1.</w:t>
            </w:r>
          </w:p>
        </w:tc>
      </w:tr>
    </w:tbl>
    <w:p w14:paraId="52B3AECD" w14:textId="5B5C5790"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31281" w14:textId="77777777" w:rsidR="00844ACD" w:rsidRDefault="00844ACD" w:rsidP="00B17B1D">
      <w:r>
        <w:separator/>
      </w:r>
    </w:p>
  </w:endnote>
  <w:endnote w:type="continuationSeparator" w:id="0">
    <w:p w14:paraId="671B393F" w14:textId="77777777" w:rsidR="00844ACD" w:rsidRDefault="00844ACD"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B2452" w14:textId="77777777" w:rsidR="00844ACD" w:rsidRDefault="00844ACD" w:rsidP="00B17B1D">
      <w:r>
        <w:separator/>
      </w:r>
    </w:p>
  </w:footnote>
  <w:footnote w:type="continuationSeparator" w:id="0">
    <w:p w14:paraId="454DB32A" w14:textId="77777777" w:rsidR="00844ACD" w:rsidRDefault="00844ACD" w:rsidP="00B17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15:restartNumberingAfterBreak="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9"/>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0"/>
  </w:num>
  <w:num w:numId="18">
    <w:abstractNumId w:val="37"/>
  </w:num>
  <w:num w:numId="19">
    <w:abstractNumId w:val="11"/>
  </w:num>
  <w:num w:numId="20">
    <w:abstractNumId w:val="36"/>
  </w:num>
  <w:num w:numId="21">
    <w:abstractNumId w:val="34"/>
  </w:num>
  <w:num w:numId="22">
    <w:abstractNumId w:val="32"/>
  </w:num>
  <w:num w:numId="23">
    <w:abstractNumId w:val="31"/>
  </w:num>
  <w:num w:numId="24">
    <w:abstractNumId w:val="41"/>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38"/>
  </w:num>
  <w:num w:numId="40">
    <w:abstractNumId w:val="16"/>
  </w:num>
  <w:num w:numId="41">
    <w:abstractNumId w:val="25"/>
  </w:num>
  <w:num w:numId="42">
    <w:abstractNumId w:val="19"/>
  </w:num>
  <w:num w:numId="43">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uiPriority w:val="9"/>
    <w:qFormat/>
    <w:pPr>
      <w:keepNext/>
      <w:keepLines/>
      <w:spacing w:before="40"/>
      <w:outlineLvl w:val="1"/>
    </w:pPr>
    <w:rPr>
      <w:rFonts w:eastAsia="DengXian Light"/>
      <w:sz w:val="28"/>
      <w:szCs w:val="26"/>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0"/>
    <w:uiPriority w:val="9"/>
    <w:qFormat/>
    <w:pPr>
      <w:keepNext/>
      <w:keepLines/>
      <w:spacing w:before="40"/>
      <w:outlineLvl w:val="2"/>
    </w:pPr>
    <w:rPr>
      <w:rFonts w:eastAsia="DengXian Light"/>
      <w:color w:val="000000"/>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a"/>
    <w:next w:val="a"/>
    <w:link w:val="40"/>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a6"/>
    <w:uiPriority w:val="99"/>
    <w:qFormat/>
    <w:pPr>
      <w:spacing w:after="160"/>
    </w:pPr>
    <w:rPr>
      <w:rFonts w:eastAsia="SimSun"/>
      <w:sz w:val="20"/>
      <w:szCs w:val="20"/>
      <w:lang w:eastAsia="en-US"/>
    </w:rPr>
  </w:style>
  <w:style w:type="paragraph" w:styleId="a7">
    <w:name w:val="Body Text"/>
    <w:basedOn w:val="a"/>
    <w:qFormat/>
    <w:pPr>
      <w:spacing w:after="120"/>
    </w:pPr>
  </w:style>
  <w:style w:type="paragraph" w:styleId="21">
    <w:name w:val="List 2"/>
    <w:basedOn w:val="a"/>
    <w:semiHidden/>
    <w:unhideWhenUsed/>
    <w:pPr>
      <w:ind w:left="566" w:hanging="283"/>
      <w:contextualSpacing/>
    </w:pPr>
  </w:style>
  <w:style w:type="paragraph" w:styleId="a8">
    <w:name w:val="Balloon Text"/>
    <w:basedOn w:val="a"/>
    <w:qFormat/>
    <w:rPr>
      <w:rFonts w:ascii="Segoe UI" w:eastAsia="SimSun" w:hAnsi="Segoe UI" w:cs="Segoe UI"/>
      <w:sz w:val="18"/>
      <w:szCs w:val="18"/>
      <w:lang w:eastAsia="en-US"/>
    </w:rPr>
  </w:style>
  <w:style w:type="paragraph" w:styleId="a9">
    <w:name w:val="footer"/>
    <w:basedOn w:val="a"/>
    <w:qFormat/>
    <w:pPr>
      <w:tabs>
        <w:tab w:val="center" w:pos="4153"/>
        <w:tab w:val="right" w:pos="8306"/>
      </w:tabs>
      <w:snapToGrid w:val="0"/>
      <w:spacing w:after="160"/>
    </w:pPr>
    <w:rPr>
      <w:rFonts w:eastAsia="SimSun"/>
      <w:sz w:val="18"/>
      <w:szCs w:val="18"/>
      <w:lang w:eastAsia="en-US"/>
    </w:rPr>
  </w:style>
  <w:style w:type="paragraph" w:styleId="aa">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목록 단락"/>
    <w:basedOn w:val="a"/>
    <w:link w:val="10"/>
    <w:uiPriority w:val="34"/>
    <w:qFormat/>
    <w:pPr>
      <w:spacing w:after="160" w:line="256" w:lineRule="auto"/>
      <w:ind w:left="720"/>
    </w:pPr>
    <w:rPr>
      <w:rFonts w:eastAsia="SimSun"/>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7"/>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2">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DengXian"/>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3">
    <w:name w:val="标题 2 字符"/>
    <w:basedOn w:val="a0"/>
    <w:qFormat/>
    <w:rPr>
      <w:rFonts w:ascii="Times New Roman" w:eastAsia="DengXian Light" w:hAnsi="Times New Roman" w:cs="Times New Roman"/>
      <w:sz w:val="28"/>
      <w:szCs w:val="26"/>
      <w:lang w:eastAsia="zh-TW"/>
    </w:rPr>
  </w:style>
  <w:style w:type="paragraph" w:styleId="afc">
    <w:name w:val="No Spacing"/>
    <w:qFormat/>
    <w:pPr>
      <w:suppressAutoHyphens/>
      <w:autoSpaceDN w:val="0"/>
      <w:textAlignment w:val="baseline"/>
    </w:pPr>
    <w:rPr>
      <w:rFonts w:eastAsia="新細明體" w:cs="Calibri"/>
      <w:sz w:val="22"/>
      <w:szCs w:val="22"/>
      <w:lang w:eastAsia="zh-TW"/>
    </w:rPr>
  </w:style>
  <w:style w:type="character" w:customStyle="1" w:styleId="32">
    <w:name w:val="标题 3 字符"/>
    <w:basedOn w:val="a0"/>
    <w:qFormat/>
    <w:rPr>
      <w:rFonts w:ascii="Times New Roman" w:eastAsia="DengXian Light" w:hAnsi="Times New Roman" w:cs="Times New Roman"/>
      <w:color w:val="000000"/>
      <w:sz w:val="24"/>
      <w:szCs w:val="24"/>
      <w:lang w:eastAsia="zh-TW"/>
    </w:rPr>
  </w:style>
  <w:style w:type="character" w:customStyle="1" w:styleId="afd">
    <w:name w:val="文档结构图 字符"/>
    <w:basedOn w:val="a0"/>
    <w:qFormat/>
    <w:rPr>
      <w:rFonts w:ascii="SimSun" w:hAnsi="SimSun" w:cs="Calibri"/>
      <w:sz w:val="18"/>
      <w:szCs w:val="18"/>
      <w:lang w:eastAsia="zh-TW"/>
    </w:rPr>
  </w:style>
  <w:style w:type="character" w:customStyle="1" w:styleId="10">
    <w:name w:val="清單段落 字元1"/>
    <w:aliases w:val="- Bullets 字元1,?? ?? 字元1,????? 字元1,???? 字元1,Lista1 字元1,列出段落1 字元1,中等深浅网格 1 - 着色 21 字元1,¥ê¥¹¥È¶ÎÂä 字元1,¥¡¡¡¡ì¬º¥¹¥È¶ÎÂä 字元1,ÁÐ³ö¶ÎÂä 字元1,列表段落1 字元1,—ño’i—Ž 字元1,1st level - Bullet List Paragraph 字元1,Lettre d'introduction 字元1,Paragrafo elenco 字元1"/>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basedOn w:val="a0"/>
    <w:link w:val="4"/>
    <w:qFormat/>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4">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a6">
    <w:name w:val="註解文字 字元"/>
    <w:link w:val="a5"/>
    <w:uiPriority w:val="99"/>
    <w:qFormat/>
    <w:rPr>
      <w:rFonts w:ascii="Times New Roman" w:eastAsia="SimSun"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SimSun"/>
      <w:noProof/>
      <w:sz w:val="20"/>
      <w:szCs w:val="20"/>
      <w:lang w:val="en-GB" w:eastAsia="en-US"/>
    </w:rPr>
  </w:style>
  <w:style w:type="character" w:customStyle="1" w:styleId="20">
    <w:name w:val="標題 2 字元"/>
    <w:basedOn w:val="a0"/>
    <w:link w:val="2"/>
    <w:uiPriority w:val="9"/>
    <w:rsid w:val="002F33A3"/>
    <w:rPr>
      <w:rFonts w:ascii="Times New Roman" w:eastAsia="DengXian Light" w:hAnsi="Times New Roman"/>
      <w:sz w:val="28"/>
      <w:szCs w:val="26"/>
      <w:lang w:eastAsia="ko-KR"/>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uiPriority w:val="34"/>
    <w:locked/>
    <w:rsid w:val="002F33A3"/>
    <w:rPr>
      <w:rFonts w:ascii="SimSun" w:eastAsia="SimSun" w:hAnsi="SimSun"/>
      <w:lang w:eastAsia="en-US"/>
    </w:rPr>
  </w:style>
  <w:style w:type="character" w:customStyle="1" w:styleId="30">
    <w:name w:val="標題 3 字元"/>
    <w:aliases w:val="Underrubrik2 字元,H3 字元,no break 字元,Memo Heading 3 字元,h3 字元,3 字元,hello 字元,Titre 3 Car 字元,no break Car 字元,H3 Car 字元,Underrubrik2 Car 字元,h3 Car 字元,Memo Heading 3 Car 字元,hello Car 字元,Heading 3 Char Car 字元,no break Char Car 字元,H3 Char Car 字元"/>
    <w:basedOn w:val="a0"/>
    <w:link w:val="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5D090E0-F152-4814-86DE-F18D0ECF27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4807</Words>
  <Characters>27400</Characters>
  <Application>Microsoft Office Word</Application>
  <DocSecurity>0</DocSecurity>
  <Lines>228</Lines>
  <Paragraphs>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2022-03-01T03:58:00Z</dcterms:created>
  <dcterms:modified xsi:type="dcterms:W3CDTF">2022-03-01T03:58:00Z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