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r>
              <w:rPr>
                <w:b/>
                <w:color w:val="3333FF"/>
                <w:sz w:val="18"/>
                <w:szCs w:val="18"/>
                <w:lang w:val="de-DE"/>
              </w:rPr>
              <w:t>Current situation:</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rPr>
              <w:lastRenderedPageBreak/>
              <w:t>Alt2. W</w:t>
            </w:r>
            <w:r w:rsidRPr="00934D1F">
              <w:rPr>
                <w:color w:val="3333FF"/>
                <w:sz w:val="18"/>
                <w:szCs w:val="18"/>
                <w:lang w:val="en-GB"/>
              </w:rPr>
              <w:t>hether to apply the indicated Rel-17 TCI state is configured per CSI-RS resource by RRC – if not applied, use the legacy MAC-CE signalling mechanism</w:t>
            </w:r>
          </w:p>
          <w:p w14:paraId="385141FE"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he indicated Rel-17 TCI state is never applied, i.e. the legacy RRC/MAC-CE signalling mechanism is always used</w:t>
            </w:r>
          </w:p>
          <w:p w14:paraId="205D6E9D"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Fraunhofer IIS/HHI (2nd pref.), LG, Nokia/NSB, Samsung</w:t>
            </w:r>
            <w:r w:rsidRPr="00934D1F">
              <w:rPr>
                <w:rFonts w:hint="eastAsia"/>
                <w:color w:val="3333FF"/>
                <w:sz w:val="18"/>
                <w:szCs w:val="18"/>
                <w:lang w:val="de-DE" w:eastAsia="zh-CN"/>
              </w:rPr>
              <w:t>, CATT</w:t>
            </w:r>
            <w:r w:rsidRPr="00934D1F">
              <w:rPr>
                <w:color w:val="3333FF"/>
                <w:sz w:val="18"/>
                <w:szCs w:val="18"/>
                <w:lang w:val="de-DE" w:eastAsia="zh-CN"/>
              </w:rPr>
              <w:t>, Lenovo/MotM, NTT Docomo (2nd pref)</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(add RRC), Qualcomm, OPPO, Xiaomi, ZTE, Spreadtrum, vivo, Futurewei, Huawei/HiSi, Intel (2nd pref)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0A83C3D2" w:rsidR="004578F3" w:rsidRDefault="00045CA2" w:rsidP="00045CA2">
            <w:pPr>
              <w:snapToGrid w:val="0"/>
              <w:rPr>
                <w:sz w:val="18"/>
                <w:szCs w:val="18"/>
                <w:lang w:val="de-DE"/>
              </w:rPr>
            </w:pPr>
            <w:r>
              <w:rPr>
                <w:b/>
                <w:sz w:val="18"/>
                <w:szCs w:val="18"/>
                <w:lang w:val="de-DE"/>
              </w:rPr>
              <w:lastRenderedPageBreak/>
              <w:t>Support/fine</w:t>
            </w:r>
            <w:r w:rsidR="00BF06B4">
              <w:rPr>
                <w:b/>
                <w:sz w:val="18"/>
                <w:szCs w:val="18"/>
                <w:lang w:val="de-DE"/>
              </w:rPr>
              <w:t>:</w:t>
            </w:r>
            <w:r w:rsidR="004728D1">
              <w:rPr>
                <w:sz w:val="18"/>
                <w:szCs w:val="18"/>
                <w:lang w:val="de-DE"/>
              </w:rPr>
              <w:t xml:space="preserve"> MTK</w:t>
            </w:r>
            <w:r w:rsidR="00BF06B4">
              <w:rPr>
                <w:sz w:val="18"/>
                <w:szCs w:val="18"/>
                <w:lang w:val="de-DE"/>
              </w:rPr>
              <w:t>, Qualcomm, OPPO, Xiaomi, ZTE,</w:t>
            </w:r>
            <w:r w:rsidR="00BF06B4" w:rsidRPr="00F14BFF">
              <w:rPr>
                <w:sz w:val="18"/>
                <w:szCs w:val="18"/>
                <w:lang w:val="de-DE"/>
              </w:rPr>
              <w:t xml:space="preserve"> Spreadtrum, vivo, Futurewei, Huawei/HiSi</w:t>
            </w:r>
            <w:r w:rsidR="008E4A28">
              <w:rPr>
                <w:sz w:val="18"/>
                <w:szCs w:val="18"/>
                <w:lang w:val="de-DE"/>
              </w:rPr>
              <w:t>, Intel</w:t>
            </w:r>
            <w:r w:rsidR="009F5EE6">
              <w:rPr>
                <w:sz w:val="18"/>
                <w:szCs w:val="18"/>
                <w:lang w:val="de-DE"/>
              </w:rPr>
              <w:t xml:space="preserve">, Nokia/NSB, </w:t>
            </w:r>
            <w:r w:rsidR="00BF06B4">
              <w:rPr>
                <w:sz w:val="18"/>
                <w:szCs w:val="18"/>
                <w:lang w:val="de-DE"/>
              </w:rPr>
              <w:t xml:space="preserve"> </w:t>
            </w:r>
          </w:p>
          <w:p w14:paraId="21BFABA4" w14:textId="77777777" w:rsidR="004578F3" w:rsidRDefault="004578F3" w:rsidP="00045CA2">
            <w:pPr>
              <w:snapToGrid w:val="0"/>
              <w:rPr>
                <w:b/>
                <w:sz w:val="18"/>
                <w:szCs w:val="18"/>
                <w:lang w:val="de-DE"/>
              </w:rPr>
            </w:pPr>
          </w:p>
          <w:p w14:paraId="51287F27" w14:textId="15B0CC11"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r w:rsidR="009F5EE6">
              <w:rPr>
                <w:sz w:val="18"/>
                <w:szCs w:val="18"/>
                <w:lang w:val="en-GB"/>
              </w:rPr>
              <w:t>, Lenovo/MotM (Alt2/4)</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lastRenderedPageBreak/>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C55555E"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w:t>
            </w:r>
            <w:del w:id="2" w:author="Eko Onggosanusi" w:date="2022-02-23T21:42:00Z">
              <w:r w:rsidDel="0037132C">
                <w:rPr>
                  <w:sz w:val="18"/>
                  <w:szCs w:val="18"/>
                  <w:lang w:val="en-GB"/>
                </w:rPr>
                <w:delText xml:space="preserve">Rel-17 </w:delText>
              </w:r>
            </w:del>
            <w:r>
              <w:rPr>
                <w:sz w:val="18"/>
                <w:szCs w:val="18"/>
                <w:lang w:val="en-GB"/>
              </w:rPr>
              <w:t xml:space="preserve">TCI state </w:t>
            </w:r>
            <w:del w:id="3" w:author="Eko Onggosanusi" w:date="2022-02-23T21:42:00Z">
              <w:r w:rsidDel="0037132C">
                <w:rPr>
                  <w:sz w:val="18"/>
                  <w:szCs w:val="18"/>
                  <w:lang w:val="en-GB"/>
                </w:rPr>
                <w:delText xml:space="preserve">indication </w:delText>
              </w:r>
            </w:del>
            <w:r>
              <w:rPr>
                <w:sz w:val="18"/>
                <w:szCs w:val="18"/>
                <w:lang w:val="en-GB"/>
              </w:rPr>
              <w:t xml:space="preserve">of CORESET 0, the UE assumes TCI state </w:t>
            </w:r>
            <w:r>
              <w:rPr>
                <w:rFonts w:eastAsia="宋体"/>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宋体"/>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1F0C01FD"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p>
          <w:p w14:paraId="659BA960" w14:textId="77777777" w:rsidR="004578F3" w:rsidRDefault="004578F3" w:rsidP="009F5EE6">
            <w:pPr>
              <w:snapToGrid w:val="0"/>
              <w:rPr>
                <w:rFonts w:eastAsia="Times New Roman"/>
                <w:sz w:val="18"/>
                <w:szCs w:val="18"/>
              </w:rPr>
            </w:pPr>
          </w:p>
          <w:p w14:paraId="1FBDBA71" w14:textId="34733883" w:rsidR="004578F3" w:rsidRDefault="00BF06B4" w:rsidP="009F5EE6">
            <w:pPr>
              <w:snapToGrid w:val="0"/>
              <w:rPr>
                <w:b/>
                <w:sz w:val="18"/>
                <w:szCs w:val="18"/>
                <w:lang w:val="de-DE"/>
              </w:rPr>
            </w:pPr>
            <w:r>
              <w:rPr>
                <w:b/>
                <w:sz w:val="18"/>
                <w:szCs w:val="18"/>
                <w:lang w:val="en-GB"/>
              </w:rPr>
              <w:t xml:space="preserve">Not support: </w:t>
            </w:r>
            <w:r w:rsidR="00934D1F" w:rsidRPr="00934D1F">
              <w:rPr>
                <w:sz w:val="18"/>
                <w:szCs w:val="18"/>
                <w:lang w:val="en-GB"/>
              </w:rPr>
              <w:t>MTK (redundant),</w:t>
            </w:r>
            <w:r w:rsidR="00934D1F">
              <w:rPr>
                <w:b/>
                <w:sz w:val="18"/>
                <w:szCs w:val="18"/>
                <w:lang w:val="en-GB"/>
              </w:rPr>
              <w:t xml:space="preserve"> </w:t>
            </w:r>
            <w:r w:rsidR="009F5EE6">
              <w:rPr>
                <w:b/>
                <w:sz w:val="18"/>
                <w:szCs w:val="18"/>
                <w:lang w:val="en-GB"/>
              </w:rPr>
              <w:t xml:space="preserve">Nokia/NSB,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21C2B491"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ml:space="preserve">, Xiaomi </w:t>
            </w:r>
          </w:p>
          <w:p w14:paraId="2D208BE6" w14:textId="2C2DCA7D"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D15FDC4"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p>
          <w:p w14:paraId="352E2AF0" w14:textId="7E3C98D0"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Nokia/NSB, </w:t>
            </w:r>
            <w:r w:rsidR="0037132C">
              <w:rPr>
                <w:sz w:val="18"/>
                <w:szCs w:val="18"/>
                <w:lang w:eastAsia="zh-CN"/>
              </w:rPr>
              <w:t xml:space="preserve">OPPO, </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vivo, Futurewei, Lenovo/MotM,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Huawei/HiSi, Samsung (2</w:t>
            </w:r>
            <w:r>
              <w:rPr>
                <w:bCs/>
                <w:sz w:val="18"/>
                <w:szCs w:val="18"/>
                <w:vertAlign w:val="superscript"/>
              </w:rPr>
              <w:t>nd</w:t>
            </w:r>
            <w:r>
              <w:rPr>
                <w:bCs/>
                <w:sz w:val="18"/>
                <w:szCs w:val="18"/>
              </w:rPr>
              <w:t xml:space="preserve"> pref),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lastRenderedPageBreak/>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0502A5FC"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ListParagraph"/>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宋体"/>
                <w:b/>
                <w:sz w:val="20"/>
                <w:szCs w:val="20"/>
                <w:lang w:val="en-GB" w:eastAsia="en-US"/>
              </w:rPr>
            </w:pPr>
            <w:r>
              <w:rPr>
                <w:rFonts w:eastAsia="宋体"/>
                <w:b/>
                <w:sz w:val="20"/>
                <w:szCs w:val="20"/>
                <w:u w:val="single"/>
                <w:lang w:val="en-GB" w:eastAsia="en-US"/>
              </w:rPr>
              <w:t xml:space="preserve">Proposal </w:t>
            </w:r>
            <w:r>
              <w:rPr>
                <w:rFonts w:eastAsia="宋体"/>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宋体" w:hAnsi="Calibri" w:cs="Calibri"/>
                <w:sz w:val="20"/>
                <w:szCs w:val="20"/>
                <w:highlight w:val="green"/>
                <w:lang w:eastAsia="zh-CN"/>
              </w:rPr>
            </w:pPr>
            <w:r>
              <w:rPr>
                <w:rFonts w:ascii="Calibri" w:eastAsia="宋体" w:hAnsi="Calibri" w:cs="Calibri"/>
                <w:b/>
                <w:bCs/>
                <w:sz w:val="20"/>
                <w:szCs w:val="20"/>
                <w:highlight w:val="green"/>
                <w:lang w:eastAsia="zh-CN"/>
              </w:rPr>
              <w:t>Agreement</w:t>
            </w:r>
          </w:p>
          <w:p w14:paraId="5EAFDEEF" w14:textId="77777777" w:rsidR="004578F3" w:rsidRDefault="00BF06B4">
            <w:pPr>
              <w:snapToGrid w:val="0"/>
              <w:rPr>
                <w:rFonts w:ascii="Calibri" w:eastAsia="宋体" w:hAnsi="Calibri" w:cs="Calibri"/>
                <w:sz w:val="20"/>
                <w:szCs w:val="20"/>
                <w:lang w:eastAsia="zh-CN"/>
              </w:rPr>
            </w:pPr>
            <w:r>
              <w:rPr>
                <w:rFonts w:ascii="Calibri" w:eastAsia="宋体"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1.9: It would be very helpful for UE implementation to have a default beam assumption for periodic CSI-RS, which creates several issues for R15. So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lastRenderedPageBreak/>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ListParagraph"/>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ListParagraph"/>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Set to all '0's for FDRA Type 0, or all '1's for FDRA Type 1, or all '0's for dynamicSwitch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r>
              <w:rPr>
                <w:i/>
                <w:color w:val="FF0000"/>
                <w:sz w:val="18"/>
                <w:u w:val="single"/>
              </w:rPr>
              <w:t>CrossCarrierSchedulingConfig</w:t>
            </w:r>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r>
              <w:rPr>
                <w:i/>
                <w:color w:val="FF0000"/>
                <w:sz w:val="18"/>
                <w:u w:val="single"/>
              </w:rPr>
              <w:t>CrossCarrierSchedulingConfig</w:t>
            </w:r>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宋体"/>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宋体"/>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宋体"/>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r>
              <w:rPr>
                <w:rFonts w:eastAsia="PMingLiU"/>
                <w:i/>
                <w:iCs/>
                <w:color w:val="000000" w:themeColor="text1"/>
                <w:sz w:val="18"/>
                <w:szCs w:val="18"/>
                <w:lang w:eastAsia="zh-TW"/>
              </w:rPr>
              <w:t>timeDurationforQCL</w:t>
            </w:r>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lastRenderedPageBreak/>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lastRenderedPageBreak/>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ListParagraph"/>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1.H: Not support. Rel-17 BAT always happens after HARQ-ACK feedback and a UE capability is already define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宋体"/>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Generally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lastRenderedPageBreak/>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we support Alt3. Actually, if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can not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unfied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In reply to MTK and Nokia, the scenario covered by this proposal is in addition to what has been agreed. The agreement made covered the case of determining QCL assumption based on a random access procedure used during initial access and reconfiguration with sync. This proposal covers any contention-based random access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We have already agreed (in RAN1#104b-e) that “cross indicator” field is already part of the DCI Format without DLA for beam indication. However, the details are not described in the RAN1 specification. TS 38.213,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0,…”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lastRenderedPageBreak/>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lastRenderedPageBreak/>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t>@Those not supporting issues 1.11 and 1.13: please check the above explanation from Samsung and see if it addresses your concern</w:t>
            </w:r>
          </w:p>
        </w:tc>
      </w:tr>
      <w:tr w:rsidR="0074361C" w14:paraId="7EFBD2B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2316" w14:textId="22ADF38A" w:rsidR="0074361C" w:rsidRDefault="0074361C" w:rsidP="0074361C">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D68" w14:textId="77777777" w:rsidR="0074361C" w:rsidRDefault="0074361C" w:rsidP="0074361C">
            <w:pPr>
              <w:snapToGrid w:val="0"/>
              <w:rPr>
                <w:bCs/>
                <w:sz w:val="18"/>
                <w:szCs w:val="18"/>
                <w:lang w:eastAsia="zh-CN"/>
              </w:rPr>
            </w:pPr>
            <w:r w:rsidRPr="00925CCD">
              <w:rPr>
                <w:b/>
                <w:bCs/>
                <w:sz w:val="18"/>
                <w:szCs w:val="18"/>
                <w:lang w:eastAsia="zh-CN"/>
              </w:rPr>
              <w:t>Issue 1.9</w:t>
            </w:r>
            <w:r>
              <w:rPr>
                <w:bCs/>
                <w:sz w:val="18"/>
                <w:szCs w:val="18"/>
                <w:lang w:eastAsia="zh-CN"/>
              </w:rPr>
              <w:t>: Support Alt3 and the Proposal 1.F. There is no agreement about the application of the indicated TCI state for P/SP-CSI-RS. For Alt4, the legacy behavior needs to be clarified when gNB does not configure any TCI state for the P/SP CSI-RS.</w:t>
            </w:r>
          </w:p>
          <w:p w14:paraId="5F5D3211" w14:textId="77777777" w:rsidR="0074361C" w:rsidRDefault="0074361C" w:rsidP="0074361C">
            <w:pPr>
              <w:snapToGrid w:val="0"/>
              <w:rPr>
                <w:bCs/>
                <w:sz w:val="18"/>
                <w:szCs w:val="18"/>
                <w:lang w:eastAsia="zh-CN"/>
              </w:rPr>
            </w:pPr>
          </w:p>
          <w:p w14:paraId="1556945D"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xml:space="preserve">: For the Rel-17 TCI state indication of CORESET#0, if CORESET#0 is configured to not share the indicated TCI state, legacy signaling mechanism is used, e.g. TCI state activation by </w:t>
            </w:r>
            <w:r>
              <w:rPr>
                <w:rFonts w:hint="eastAsia"/>
                <w:bCs/>
                <w:sz w:val="18"/>
                <w:szCs w:val="18"/>
                <w:lang w:eastAsia="zh-CN"/>
              </w:rPr>
              <w:t>le</w:t>
            </w:r>
            <w:r>
              <w:rPr>
                <w:bCs/>
                <w:sz w:val="18"/>
                <w:szCs w:val="18"/>
                <w:lang w:eastAsia="zh-CN"/>
              </w:rPr>
              <w:t>gacy MAC CE. Thus, this proposal is updated as follows.</w:t>
            </w:r>
          </w:p>
          <w:p w14:paraId="358673A0" w14:textId="77777777" w:rsidR="0074361C" w:rsidRDefault="0074361C" w:rsidP="0074361C">
            <w:pPr>
              <w:snapToGrid w:val="0"/>
              <w:jc w:val="both"/>
              <w:rPr>
                <w:ins w:id="4" w:author="Eko Onggosanusi" w:date="2022-02-22T23:52:00Z"/>
                <w:rFonts w:eastAsia="宋体"/>
                <w:bCs/>
                <w:color w:val="000000" w:themeColor="text1"/>
                <w:sz w:val="18"/>
                <w:lang w:eastAsia="x-none"/>
              </w:rPr>
            </w:pPr>
            <w:ins w:id="5"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based on latest RA procedure</w:t>
              </w:r>
              <w:r>
                <w:rPr>
                  <w:rFonts w:eastAsia="宋体"/>
                  <w:bCs/>
                  <w:color w:val="000000" w:themeColor="text1"/>
                  <w:sz w:val="18"/>
                  <w:lang w:eastAsia="x-none"/>
                </w:rPr>
                <w:t xml:space="preserve">, </w:t>
              </w:r>
              <w:r w:rsidRPr="00CF37CF">
                <w:rPr>
                  <w:color w:val="FF0000"/>
                  <w:sz w:val="18"/>
                  <w:szCs w:val="18"/>
                </w:rPr>
                <w:t>not initiated by a PDCCH order that triggers a contention-free random access procedure</w:t>
              </w:r>
              <w:r w:rsidRPr="004E1471">
                <w:rPr>
                  <w:rFonts w:eastAsia="宋体"/>
                  <w:bCs/>
                  <w:color w:val="000000" w:themeColor="text1"/>
                  <w:sz w:val="18"/>
                  <w:lang w:eastAsia="x-none"/>
                </w:rPr>
                <w:t xml:space="preserve">, if no TCI state </w:t>
              </w:r>
              <w:r>
                <w:rPr>
                  <w:rFonts w:eastAsia="宋体"/>
                  <w:bCs/>
                  <w:color w:val="000000" w:themeColor="text1"/>
                  <w:sz w:val="18"/>
                  <w:lang w:eastAsia="x-none"/>
                </w:rPr>
                <w:t>is indicated</w:t>
              </w:r>
            </w:ins>
            <w:r>
              <w:rPr>
                <w:rFonts w:eastAsia="宋体"/>
                <w:bCs/>
                <w:color w:val="FF0000"/>
                <w:sz w:val="18"/>
                <w:lang w:eastAsia="x-none"/>
              </w:rPr>
              <w:t xml:space="preserve"> or activated by MAC CE</w:t>
            </w:r>
            <w:ins w:id="6" w:author="Eko Onggosanusi" w:date="2022-02-22T23:52:00Z">
              <w:r>
                <w:rPr>
                  <w:rFonts w:eastAsia="宋体"/>
                  <w:bCs/>
                  <w:color w:val="000000" w:themeColor="text1"/>
                  <w:sz w:val="18"/>
                  <w:lang w:eastAsia="x-none"/>
                </w:rPr>
                <w:t xml:space="preserve"> after </w:t>
              </w:r>
              <w:r w:rsidRPr="004E1471">
                <w:rPr>
                  <w:rFonts w:eastAsia="宋体"/>
                  <w:bCs/>
                  <w:color w:val="000000" w:themeColor="text1"/>
                  <w:sz w:val="18"/>
                  <w:lang w:eastAsia="x-none"/>
                </w:rPr>
                <w:t>RA procedure.</w:t>
              </w:r>
            </w:ins>
          </w:p>
          <w:p w14:paraId="020E91AD" w14:textId="77777777" w:rsidR="0074361C" w:rsidRDefault="0074361C" w:rsidP="0074361C">
            <w:pPr>
              <w:snapToGrid w:val="0"/>
              <w:rPr>
                <w:bCs/>
                <w:sz w:val="18"/>
                <w:szCs w:val="18"/>
                <w:lang w:eastAsia="zh-CN"/>
              </w:rPr>
            </w:pPr>
          </w:p>
          <w:p w14:paraId="03F75771"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 the FL Proposal.</w:t>
            </w:r>
          </w:p>
          <w:p w14:paraId="42E2495E" w14:textId="77777777" w:rsidR="0074361C" w:rsidRPr="001D2C36" w:rsidRDefault="0074361C" w:rsidP="0074361C">
            <w:pPr>
              <w:snapToGrid w:val="0"/>
              <w:rPr>
                <w:bCs/>
                <w:sz w:val="18"/>
                <w:szCs w:val="18"/>
                <w:lang w:eastAsia="zh-CN"/>
              </w:rPr>
            </w:pPr>
          </w:p>
          <w:p w14:paraId="7E257845"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The cross-carrier beam indication is already supported. Whether TP is needed can be discussed. Maybe the proponents can directly indicate where to revise the specification. </w:t>
            </w:r>
          </w:p>
          <w:p w14:paraId="7E83FDE0" w14:textId="77777777" w:rsidR="0074361C" w:rsidRDefault="0074361C" w:rsidP="0074361C">
            <w:pPr>
              <w:snapToGrid w:val="0"/>
              <w:rPr>
                <w:rFonts w:eastAsia="Malgun Gothic"/>
                <w:color w:val="000000" w:themeColor="text1"/>
                <w:sz w:val="18"/>
                <w:szCs w:val="18"/>
              </w:rPr>
            </w:pPr>
          </w:p>
          <w:p w14:paraId="65440EE2" w14:textId="28AF82AC" w:rsidR="0074361C" w:rsidRDefault="0074361C" w:rsidP="0074361C">
            <w:pPr>
              <w:pStyle w:val="0Maintext"/>
              <w:snapToGrid w:val="0"/>
              <w:spacing w:after="0" w:line="240" w:lineRule="auto"/>
              <w:ind w:firstLine="0"/>
              <w:rPr>
                <w:rStyle w:val="00TextChar"/>
                <w:b/>
                <w:sz w:val="18"/>
                <w:szCs w:val="18"/>
              </w:rPr>
            </w:pPr>
            <w:r w:rsidRPr="00925CCD">
              <w:rPr>
                <w:b/>
                <w:bCs/>
                <w:sz w:val="18"/>
                <w:szCs w:val="18"/>
                <w:lang w:eastAsia="zh-CN"/>
              </w:rPr>
              <w:t>Issue 1.</w:t>
            </w:r>
            <w:r>
              <w:rPr>
                <w:b/>
                <w:bCs/>
                <w:sz w:val="18"/>
                <w:szCs w:val="18"/>
                <w:lang w:eastAsia="zh-CN"/>
              </w:rPr>
              <w:t>15</w:t>
            </w:r>
            <w:r>
              <w:rPr>
                <w:bCs/>
                <w:sz w:val="18"/>
                <w:szCs w:val="18"/>
                <w:lang w:eastAsia="zh-CN"/>
              </w:rPr>
              <w:t>: Don’t support. Agree with Samsung. The current spec is clear for PHR calculation. It is not required to clarify virtual PHR based on the indicated TCI state.</w:t>
            </w:r>
          </w:p>
        </w:tc>
      </w:tr>
      <w:tr w:rsidR="00DF227B" w14:paraId="17A1B27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AD4C" w14:textId="26338A59" w:rsidR="00DF227B" w:rsidRDefault="00DF227B" w:rsidP="00DF227B">
            <w:pPr>
              <w:snapToGrid w:val="0"/>
              <w:rPr>
                <w:rFonts w:hint="eastAsia"/>
                <w:sz w:val="18"/>
                <w:szCs w:val="18"/>
                <w:lang w:eastAsia="zh-CN"/>
              </w:rPr>
            </w:pPr>
            <w:r>
              <w:rPr>
                <w:sz w:val="18"/>
                <w:szCs w:val="18"/>
                <w:lang w:eastAsia="zh-CN"/>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24FD" w14:textId="224F4D14" w:rsidR="00DF227B" w:rsidRPr="00925CCD" w:rsidRDefault="00DF227B" w:rsidP="00DF227B">
            <w:pPr>
              <w:snapToGrid w:val="0"/>
              <w:rPr>
                <w:b/>
                <w:bCs/>
                <w:sz w:val="18"/>
                <w:szCs w:val="18"/>
                <w:lang w:eastAsia="zh-CN"/>
              </w:rPr>
            </w:pPr>
            <w:r>
              <w:rPr>
                <w:rStyle w:val="00TextChar"/>
                <w:b/>
                <w:sz w:val="18"/>
                <w:szCs w:val="18"/>
              </w:rPr>
              <w:t xml:space="preserve">Regarding Issue 1.13, </w:t>
            </w:r>
            <w:r>
              <w:rPr>
                <w:rStyle w:val="00TextChar"/>
                <w:sz w:val="18"/>
                <w:szCs w:val="18"/>
              </w:rPr>
              <w:t xml:space="preserve">in our views, the PDCCH candidate for cross-CC scheduling is monitored individually, and by default, all fields in the DCI for cross-CC scheduling should be interpreted based on the scheduled CC. Therefore, the TCI codepoint should be interpreted based on the activated TCI state pool in scheduled CC rather than scheduling CC. It is the reason why we do not have individual interpretation for each field for cross-CC scheduling in TS 38.212, but we may have some interpretation for BWP switching. </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bookmarkStart w:id="7" w:name="_GoBack"/>
      <w:bookmarkEnd w:id="7"/>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On Rel-17 enhancements for inter-cell beam management and inter-cell mTRP,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vivo, Futurewei</w:t>
            </w:r>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LG , Intel</w:t>
            </w:r>
            <w:r>
              <w:rPr>
                <w:sz w:val="18"/>
                <w:szCs w:val="18"/>
                <w:lang w:eastAsia="zh-CN"/>
              </w:rPr>
              <w:t>, Spreadtrum, Lenovo/MOtM (implicit), Huawei/HiSi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0306B7E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5AB3E9EA" w14:textId="77777777" w:rsidR="004578F3" w:rsidRPr="008F277C" w:rsidRDefault="004578F3">
            <w:pPr>
              <w:snapToGrid w:val="0"/>
              <w:rPr>
                <w:sz w:val="18"/>
                <w:szCs w:val="18"/>
              </w:rPr>
            </w:pPr>
          </w:p>
          <w:p w14:paraId="6D8066B2" w14:textId="6914295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lastRenderedPageBreak/>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567BA25A"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40D37253"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宋体"/>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宋体"/>
                <w:bCs/>
                <w:sz w:val="18"/>
                <w:szCs w:val="18"/>
                <w:lang w:val="en-GB" w:eastAsia="zh-CN"/>
              </w:rPr>
              <w:t xml:space="preserve">2) if at least one symbol of paging/short message/SI from serving cell </w:t>
            </w:r>
            <w:r>
              <w:rPr>
                <w:rFonts w:eastAsia="宋体"/>
                <w:b/>
                <w:sz w:val="18"/>
                <w:szCs w:val="18"/>
                <w:lang w:val="en-GB" w:eastAsia="zh-CN"/>
              </w:rPr>
              <w:t>is overlapped</w:t>
            </w:r>
            <w:r>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6CABA26A"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p>
          <w:p w14:paraId="15C2E459" w14:textId="77777777" w:rsidR="004578F3" w:rsidRPr="008F277C" w:rsidRDefault="00BF06B4">
            <w:pPr>
              <w:snapToGrid w:val="0"/>
              <w:rPr>
                <w:b/>
                <w:sz w:val="18"/>
                <w:szCs w:val="18"/>
              </w:rPr>
            </w:pPr>
            <w:r w:rsidRPr="008F277C">
              <w:rPr>
                <w:b/>
                <w:sz w:val="18"/>
                <w:szCs w:val="18"/>
              </w:rPr>
              <w:t xml:space="preserve">Not support: </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5671A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Xiaomi, ZTE </w:t>
            </w:r>
          </w:p>
          <w:p w14:paraId="3A054932" w14:textId="77777777" w:rsidR="004578F3" w:rsidRPr="008F277C" w:rsidRDefault="00BF06B4">
            <w:pPr>
              <w:snapToGrid w:val="0"/>
              <w:rPr>
                <w:b/>
                <w:sz w:val="18"/>
                <w:szCs w:val="18"/>
              </w:rPr>
            </w:pPr>
            <w:r w:rsidRPr="008F277C">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ListParagraph"/>
              <w:numPr>
                <w:ilvl w:val="1"/>
                <w:numId w:val="21"/>
              </w:numPr>
              <w:snapToGrid w:val="0"/>
              <w:spacing w:after="0" w:line="240" w:lineRule="auto"/>
              <w:rPr>
                <w:b/>
                <w:color w:val="FF0000"/>
                <w:u w:val="single"/>
                <w:lang w:eastAsia="zh-CN"/>
              </w:rPr>
            </w:pPr>
            <w:r>
              <w:rPr>
                <w:b/>
                <w:color w:val="FF0000"/>
                <w:u w:val="single"/>
                <w:lang w:eastAsia="zh-CN"/>
              </w:rPr>
              <w:t>Added 2.5/6/7 per vivo’s request at the end of ROUND 0 (please see vivo’s explanation below and share your view)</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ListParagraph"/>
              <w:snapToGrid w:val="0"/>
              <w:spacing w:after="0" w:line="257" w:lineRule="auto"/>
              <w:ind w:left="420"/>
              <w:jc w:val="both"/>
              <w:rPr>
                <w:bCs/>
                <w:sz w:val="18"/>
                <w:szCs w:val="18"/>
                <w:lang w:val="en-GB" w:eastAsia="zh-CN"/>
              </w:rPr>
            </w:pPr>
          </w:p>
          <w:p w14:paraId="7F04E800" w14:textId="77777777" w:rsidR="004578F3" w:rsidRDefault="004578F3">
            <w:pPr>
              <w:pStyle w:val="ListParagraph"/>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lastRenderedPageBreak/>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neighboring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宋体"/>
                <w:sz w:val="18"/>
                <w:szCs w:val="18"/>
                <w:lang w:eastAsia="zh-CN"/>
              </w:rPr>
            </w:pPr>
            <w:r>
              <w:rPr>
                <w:rFonts w:eastAsia="宋体"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 xml:space="preserve">2.1: We agree that the </w:t>
            </w:r>
            <w:r>
              <w:rPr>
                <w:rFonts w:eastAsia="宋体" w:hint="eastAsia"/>
                <w:b/>
                <w:sz w:val="18"/>
                <w:szCs w:val="18"/>
                <w:lang w:eastAsia="zh-CN"/>
              </w:rPr>
              <w:t xml:space="preserve">configured </w:t>
            </w:r>
            <w:r>
              <w:rPr>
                <w:rFonts w:eastAsia="宋体" w:hint="eastAsia"/>
                <w:bCs/>
                <w:sz w:val="18"/>
                <w:szCs w:val="18"/>
                <w:lang w:eastAsia="zh-CN"/>
              </w:rPr>
              <w:t>L1-RSRP set can be</w:t>
            </w:r>
            <w:r>
              <w:rPr>
                <w:rFonts w:eastAsia="宋体" w:hint="eastAsia"/>
                <w:b/>
                <w:sz w:val="18"/>
                <w:szCs w:val="18"/>
                <w:lang w:eastAsia="zh-CN"/>
              </w:rPr>
              <w:t xml:space="preserve"> a subset of configured </w:t>
            </w:r>
            <w:r>
              <w:rPr>
                <w:rFonts w:eastAsia="宋体" w:hint="eastAsia"/>
                <w:bCs/>
                <w:sz w:val="18"/>
                <w:szCs w:val="18"/>
                <w:lang w:eastAsia="zh-CN"/>
              </w:rPr>
              <w:t xml:space="preserve">L3 measurement set. But it may need to clarify how to reflect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in the spec.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seems up to UE implementation. </w:t>
            </w:r>
          </w:p>
          <w:p w14:paraId="5CD93547" w14:textId="77777777" w:rsidR="004578F3" w:rsidRDefault="004578F3">
            <w:pPr>
              <w:snapToGrid w:val="0"/>
              <w:jc w:val="both"/>
              <w:rPr>
                <w:rFonts w:eastAsia="宋体"/>
                <w:bCs/>
                <w:sz w:val="18"/>
                <w:szCs w:val="18"/>
                <w:lang w:eastAsia="zh-CN"/>
              </w:rPr>
            </w:pPr>
          </w:p>
          <w:p w14:paraId="13DDCE12" w14:textId="77777777" w:rsidR="004578F3" w:rsidRDefault="00BF06B4">
            <w:pPr>
              <w:snapToGrid w:val="0"/>
              <w:rPr>
                <w:rFonts w:eastAsia="宋体"/>
                <w:bCs/>
                <w:sz w:val="18"/>
                <w:szCs w:val="18"/>
                <w:lang w:eastAsia="zh-CN"/>
              </w:rPr>
            </w:pPr>
            <w:r>
              <w:rPr>
                <w:rFonts w:eastAsia="宋体" w:hint="eastAsia"/>
                <w:bCs/>
                <w:sz w:val="18"/>
                <w:szCs w:val="18"/>
                <w:lang w:eastAsia="zh-CN"/>
              </w:rPr>
              <w:lastRenderedPageBreak/>
              <w:t xml:space="preserve">2.4: In current spec, </w:t>
            </w:r>
            <w:r>
              <w:rPr>
                <w:rFonts w:eastAsia="宋体"/>
                <w:bCs/>
                <w:sz w:val="18"/>
                <w:szCs w:val="18"/>
                <w:lang w:eastAsia="zh-CN"/>
              </w:rPr>
              <w:t xml:space="preserve">SSB of the neighboring cell can only be measured in SMTC to save UE power. </w:t>
            </w:r>
            <w:r>
              <w:rPr>
                <w:rFonts w:eastAsia="宋体" w:hint="eastAsia"/>
                <w:bCs/>
                <w:sz w:val="18"/>
                <w:szCs w:val="18"/>
                <w:lang w:eastAsia="zh-CN"/>
              </w:rPr>
              <w:t>With this proposed scheme , a</w:t>
            </w:r>
            <w:r>
              <w:rPr>
                <w:rFonts w:eastAsia="宋体"/>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宋体"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 xml:space="preserve">To proponents of </w:t>
            </w:r>
            <w:r>
              <w:rPr>
                <w:rFonts w:eastAsia="宋体"/>
                <w:bCs/>
                <w:sz w:val="18"/>
                <w:szCs w:val="18"/>
                <w:lang w:eastAsia="zh-CN"/>
              </w:rPr>
              <w:t>“</w:t>
            </w:r>
            <w:r>
              <w:rPr>
                <w:rFonts w:eastAsia="宋体" w:hint="eastAsia"/>
                <w:bCs/>
                <w:sz w:val="18"/>
                <w:szCs w:val="18"/>
                <w:lang w:eastAsia="zh-CN"/>
              </w:rPr>
              <w:t>already supported implicitly</w:t>
            </w:r>
            <w:r>
              <w:rPr>
                <w:rFonts w:eastAsia="宋体"/>
                <w:bCs/>
                <w:sz w:val="18"/>
                <w:szCs w:val="18"/>
                <w:lang w:eastAsia="zh-CN"/>
              </w:rPr>
              <w:t>”</w:t>
            </w:r>
            <w:r>
              <w:rPr>
                <w:rFonts w:eastAsia="宋体" w:hint="eastAsia"/>
                <w:bCs/>
                <w:sz w:val="18"/>
                <w:szCs w:val="18"/>
                <w:lang w:eastAsia="zh-CN"/>
              </w:rPr>
              <w:t>: we need to clarify that there is no MAC CE directly activates non-serving cell SSB, especially for</w:t>
            </w:r>
            <w:r>
              <w:rPr>
                <w:rFonts w:eastAsia="宋体" w:hint="eastAsia"/>
                <w:b/>
                <w:sz w:val="18"/>
                <w:szCs w:val="18"/>
                <w:lang w:eastAsia="zh-CN"/>
              </w:rPr>
              <w:t xml:space="preserve"> semi-persistent measurement</w:t>
            </w:r>
            <w:r>
              <w:rPr>
                <w:rFonts w:eastAsia="宋体" w:hint="eastAsia"/>
                <w:bCs/>
                <w:sz w:val="18"/>
                <w:szCs w:val="18"/>
                <w:lang w:eastAsia="zh-CN"/>
              </w:rPr>
              <w:t xml:space="preserve"> for SSB. In current 38.331, for the element </w:t>
            </w:r>
            <w:r>
              <w:rPr>
                <w:rFonts w:eastAsia="宋体"/>
                <w:bCs/>
                <w:sz w:val="18"/>
                <w:szCs w:val="18"/>
                <w:lang w:eastAsia="zh-CN"/>
              </w:rPr>
              <w:t>“resourceType”</w:t>
            </w:r>
            <w:r>
              <w:rPr>
                <w:rFonts w:eastAsia="宋体" w:hint="eastAsia"/>
                <w:bCs/>
                <w:sz w:val="18"/>
                <w:szCs w:val="18"/>
                <w:lang w:eastAsia="zh-CN"/>
              </w:rPr>
              <w:t xml:space="preserve"> in </w:t>
            </w:r>
            <w:r>
              <w:rPr>
                <w:rFonts w:eastAsia="宋体"/>
                <w:bCs/>
                <w:sz w:val="18"/>
                <w:szCs w:val="18"/>
                <w:lang w:eastAsia="zh-CN"/>
              </w:rPr>
              <w:t>CSI-ResourceConfig</w:t>
            </w:r>
            <w:r>
              <w:rPr>
                <w:rFonts w:eastAsia="宋体" w:hint="eastAsia"/>
                <w:bCs/>
                <w:sz w:val="18"/>
                <w:szCs w:val="18"/>
                <w:lang w:eastAsia="zh-CN"/>
              </w:rPr>
              <w:t xml:space="preserve">, it says </w:t>
            </w:r>
            <w:r>
              <w:rPr>
                <w:rFonts w:eastAsia="宋体"/>
                <w:bCs/>
                <w:sz w:val="18"/>
                <w:szCs w:val="18"/>
                <w:lang w:eastAsia="zh-CN"/>
              </w:rPr>
              <w:t xml:space="preserve">“Time domain behavior of resource configuration (see TS 38.214 [19], clause 5.2.1.2). </w:t>
            </w:r>
            <w:r>
              <w:rPr>
                <w:rFonts w:eastAsia="宋体"/>
                <w:bCs/>
                <w:sz w:val="18"/>
                <w:szCs w:val="18"/>
                <w:highlight w:val="yellow"/>
                <w:lang w:eastAsia="zh-CN"/>
              </w:rPr>
              <w:t>It does not apply to resources provided in the csi-SSB-ResourceSetList</w:t>
            </w:r>
            <w:r>
              <w:rPr>
                <w:rFonts w:eastAsia="宋体"/>
                <w:bCs/>
                <w:sz w:val="18"/>
                <w:szCs w:val="18"/>
                <w:lang w:eastAsia="zh-CN"/>
              </w:rPr>
              <w:t>.”</w:t>
            </w:r>
            <w:r>
              <w:rPr>
                <w:rFonts w:eastAsia="宋体"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宋体"/>
                <w:bCs/>
                <w:sz w:val="18"/>
                <w:szCs w:val="18"/>
                <w:lang w:eastAsia="zh-CN"/>
              </w:rPr>
            </w:pPr>
          </w:p>
          <w:p w14:paraId="555F0E88" w14:textId="77777777" w:rsidR="004578F3" w:rsidRDefault="00BF06B4">
            <w:pPr>
              <w:pStyle w:val="ListParagraph"/>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ListParagraph"/>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ListParagraph"/>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宋体"/>
                <w:bCs/>
                <w:sz w:val="18"/>
                <w:szCs w:val="18"/>
                <w:lang w:eastAsia="zh-CN"/>
              </w:rPr>
            </w:pPr>
          </w:p>
          <w:p w14:paraId="046B42D0"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宋体"/>
                <w:bCs/>
                <w:sz w:val="18"/>
                <w:szCs w:val="18"/>
                <w:lang w:eastAsia="zh-CN"/>
              </w:rPr>
            </w:pPr>
          </w:p>
          <w:p w14:paraId="6498B454" w14:textId="77777777" w:rsidR="004578F3" w:rsidRDefault="00BF06B4">
            <w:pPr>
              <w:snapToGrid w:val="0"/>
              <w:jc w:val="both"/>
              <w:rPr>
                <w:bCs/>
                <w:sz w:val="18"/>
                <w:szCs w:val="18"/>
                <w:lang w:eastAsia="zh-CN"/>
              </w:rPr>
            </w:pPr>
            <w:r>
              <w:rPr>
                <w:rFonts w:eastAsia="宋体"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宋体"/>
                <w:sz w:val="18"/>
                <w:szCs w:val="18"/>
                <w:lang w:eastAsia="zh-CN"/>
              </w:rPr>
            </w:pPr>
            <w:r>
              <w:rPr>
                <w:rFonts w:eastAsia="宋体"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宋体"/>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宋体"/>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r>
              <w:rPr>
                <w:sz w:val="18"/>
                <w:szCs w:val="18"/>
                <w:lang w:val="en-GB" w:eastAsia="zh-CN"/>
              </w:rPr>
              <w:t xml:space="preserve">E.g. what is the QCL assumption for PDSCH reception in serving cell when scheduling offset in serving cell is less than </w:t>
            </w:r>
            <w:r>
              <w:rPr>
                <w:i/>
                <w:iCs/>
                <w:sz w:val="18"/>
                <w:szCs w:val="18"/>
                <w:lang w:val="en-GB" w:eastAsia="zh-CN"/>
              </w:rPr>
              <w:t>timeDurationForQCL</w:t>
            </w:r>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Lenovo/MotM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and also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lastRenderedPageBreak/>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lastRenderedPageBreak/>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09C43CB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p w14:paraId="4858E7BB" w14:textId="77777777" w:rsidR="0074361C" w:rsidRPr="00785FC2" w:rsidRDefault="0074361C" w:rsidP="0074361C">
            <w:pPr>
              <w:snapToGrid w:val="0"/>
              <w:jc w:val="both"/>
              <w:rPr>
                <w:sz w:val="18"/>
                <w:szCs w:val="18"/>
                <w:lang w:val="en-GB" w:eastAsia="zh-CN"/>
              </w:rPr>
            </w:pPr>
          </w:p>
          <w:p w14:paraId="75AAAFC7" w14:textId="15BEC8D4" w:rsidR="0074361C" w:rsidRPr="002B6B6F" w:rsidRDefault="0074361C" w:rsidP="0074361C">
            <w:pPr>
              <w:snapToGrid w:val="0"/>
              <w:rPr>
                <w:b/>
                <w:bCs/>
                <w:color w:val="3333FF"/>
                <w:sz w:val="18"/>
                <w:szCs w:val="18"/>
                <w:lang w:val="en-GB" w:eastAsia="zh-CN"/>
              </w:rPr>
            </w:pPr>
            <w:r w:rsidRPr="00F324D2">
              <w:rPr>
                <w:b/>
                <w:bCs/>
                <w:sz w:val="18"/>
                <w:szCs w:val="18"/>
                <w:lang w:val="en-GB" w:eastAsia="zh-CN"/>
              </w:rPr>
              <w:t xml:space="preserve">Issue 2.8: </w:t>
            </w:r>
            <w:r w:rsidRPr="00F324D2">
              <w:rPr>
                <w:sz w:val="18"/>
                <w:szCs w:val="18"/>
                <w:lang w:val="en-GB" w:eastAsia="zh-CN"/>
              </w:rPr>
              <w:t>Not support</w:t>
            </w:r>
            <w:r>
              <w:rPr>
                <w:sz w:val="18"/>
                <w:szCs w:val="18"/>
                <w:lang w:val="en-GB" w:eastAsia="zh-CN"/>
              </w:rPr>
              <w:t xml:space="preserve">. The overlapping case should be avoided. </w:t>
            </w:r>
          </w:p>
        </w:tc>
      </w:tr>
      <w:tr w:rsidR="00DF227B" w14:paraId="07AEC40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E387" w14:textId="4C63E369" w:rsidR="00DF227B" w:rsidRDefault="00DF227B" w:rsidP="00DF227B">
            <w:pPr>
              <w:snapToGrid w:val="0"/>
              <w:rPr>
                <w:rFonts w:eastAsia="Malgun Gothic"/>
                <w:sz w:val="18"/>
                <w:szCs w:val="18"/>
              </w:rPr>
            </w:pPr>
            <w:r>
              <w:rPr>
                <w:rFonts w:eastAsia="Malgun Gothic"/>
                <w:sz w:val="18"/>
                <w:szCs w:val="18"/>
              </w:rPr>
              <w:t>ZTE2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921A" w14:textId="2F181141" w:rsidR="00DF227B" w:rsidRDefault="00DF227B" w:rsidP="00DF227B">
            <w:pPr>
              <w:snapToGrid w:val="0"/>
              <w:jc w:val="both"/>
              <w:rPr>
                <w:b/>
                <w:bCs/>
                <w:sz w:val="18"/>
                <w:szCs w:val="18"/>
                <w:lang w:val="en-GB" w:eastAsia="zh-CN"/>
              </w:rPr>
            </w:pPr>
            <w:r w:rsidRPr="00A72F65">
              <w:rPr>
                <w:b/>
                <w:bCs/>
                <w:sz w:val="18"/>
                <w:szCs w:val="18"/>
                <w:lang w:val="en-GB" w:eastAsia="zh-CN"/>
              </w:rPr>
              <w:t>Issue</w:t>
            </w:r>
            <w:r>
              <w:rPr>
                <w:b/>
                <w:bCs/>
                <w:sz w:val="18"/>
                <w:szCs w:val="18"/>
                <w:lang w:val="en-GB" w:eastAsia="zh-CN"/>
              </w:rPr>
              <w:t xml:space="preserve"> 2.5: </w:t>
            </w:r>
            <w:r w:rsidRPr="00A72F65">
              <w:rPr>
                <w:sz w:val="18"/>
                <w:szCs w:val="18"/>
                <w:lang w:val="en-GB" w:eastAsia="zh-CN"/>
              </w:rPr>
              <w:t>A</w:t>
            </w:r>
            <w:r>
              <w:rPr>
                <w:sz w:val="18"/>
                <w:szCs w:val="18"/>
                <w:lang w:val="en-GB" w:eastAsia="zh-CN"/>
              </w:rPr>
              <w:t xml:space="preserve">fter reviewing companies’ input, we think that the potential serious issue may not be explained clearly. It seems that </w:t>
            </w:r>
            <w:r w:rsidRPr="00472526">
              <w:rPr>
                <w:sz w:val="18"/>
                <w:szCs w:val="18"/>
                <w:lang w:val="en-GB" w:eastAsia="zh-CN"/>
              </w:rPr>
              <w:t xml:space="preserve">many companies mentioned that the non-UE dedicated PDSCH should not be applied by TCI state from non-serving cell. But, </w:t>
            </w:r>
            <w:r w:rsidRPr="00472526">
              <w:rPr>
                <w:b/>
                <w:sz w:val="18"/>
                <w:szCs w:val="18"/>
                <w:lang w:val="en-GB" w:eastAsia="zh-CN"/>
              </w:rPr>
              <w:t xml:space="preserve">the question is that the UE can NOT realize whether the non-dedicated PDSCH is transmitted when </w:t>
            </w:r>
            <w:r>
              <w:rPr>
                <w:b/>
                <w:sz w:val="18"/>
                <w:szCs w:val="18"/>
                <w:lang w:val="en-GB" w:eastAsia="zh-CN"/>
              </w:rPr>
              <w:t>its</w:t>
            </w:r>
            <w:r w:rsidRPr="00472526">
              <w:rPr>
                <w:b/>
                <w:sz w:val="18"/>
                <w:szCs w:val="18"/>
                <w:lang w:val="en-GB" w:eastAsia="zh-CN"/>
              </w:rPr>
              <w:t xml:space="preserve"> scheduling offset is less than a thr</w:t>
            </w:r>
            <w:r>
              <w:rPr>
                <w:b/>
                <w:sz w:val="18"/>
                <w:szCs w:val="18"/>
                <w:lang w:val="en-GB" w:eastAsia="zh-CN"/>
              </w:rPr>
              <w:t>eshold!</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538F1ED0" w14:textId="7357D7A7" w:rsidR="00434855" w:rsidRDefault="0043485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3D755F87"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p>
          <w:p w14:paraId="0B34B9D0" w14:textId="77777777" w:rsidR="00434855" w:rsidRDefault="00434855" w:rsidP="00434855">
            <w:pPr>
              <w:snapToGrid w:val="0"/>
              <w:contextualSpacing/>
              <w:rPr>
                <w:sz w:val="18"/>
                <w:szCs w:val="20"/>
              </w:rPr>
            </w:pPr>
          </w:p>
          <w:p w14:paraId="661DDB1F" w14:textId="2B7FD2FA" w:rsidR="00434855" w:rsidRDefault="00434855" w:rsidP="00434855">
            <w:pPr>
              <w:snapToGrid w:val="0"/>
              <w:contextualSpacing/>
              <w:rPr>
                <w:sz w:val="18"/>
                <w:szCs w:val="20"/>
              </w:rPr>
            </w:pPr>
            <w:r w:rsidRPr="00434855">
              <w:rPr>
                <w:b/>
                <w:sz w:val="18"/>
                <w:szCs w:val="20"/>
              </w:rPr>
              <w:t>Not support</w:t>
            </w:r>
            <w:r>
              <w:rPr>
                <w:sz w:val="18"/>
                <w:szCs w:val="20"/>
              </w:rPr>
              <w:t xml:space="preserve">: </w:t>
            </w:r>
            <w:r w:rsidR="00D87C57">
              <w:rPr>
                <w:sz w:val="18"/>
                <w:szCs w:val="20"/>
              </w:rPr>
              <w:t xml:space="preserve">ZTE (Alt2), </w:t>
            </w:r>
            <w:r w:rsidR="004B4A71">
              <w:rPr>
                <w:sz w:val="18"/>
                <w:szCs w:val="20"/>
              </w:rPr>
              <w:t xml:space="preserve">Lenovo/MotM (Alt2), </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lastRenderedPageBreak/>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544BA6D" w:rsidR="004578F3" w:rsidRDefault="004B4A71">
            <w:pPr>
              <w:suppressAutoHyphens/>
              <w:autoSpaceDN w:val="0"/>
              <w:snapToGrid w:val="0"/>
              <w:textAlignment w:val="baseline"/>
              <w:rPr>
                <w:rFonts w:eastAsia="PMingLiU"/>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regarding the CC list for common TCI state ID update and activation, t</w:t>
            </w:r>
            <w:r w:rsidR="00BF06B4">
              <w:rPr>
                <w:rFonts w:eastAsia="PMingLiU"/>
                <w:sz w:val="18"/>
                <w:szCs w:val="18"/>
                <w:lang w:eastAsia="zh-TW"/>
              </w:rPr>
              <w:t xml:space="preserve">he maximum number of CC lists can be configured is </w:t>
            </w:r>
            <w:r w:rsidR="00BF06B4" w:rsidRPr="00AA5B4A">
              <w:rPr>
                <w:rFonts w:eastAsia="PMingLiU"/>
                <w:color w:val="FF0000"/>
                <w:sz w:val="18"/>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05EF5C7D"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471C095" w:rsidR="004578F3" w:rsidRDefault="00AA5B4A">
            <w:pPr>
              <w:snapToGrid w:val="0"/>
              <w:rPr>
                <w:sz w:val="18"/>
                <w:szCs w:val="20"/>
              </w:rPr>
            </w:pPr>
            <w:r w:rsidRPr="008E2331">
              <w:rPr>
                <w:b/>
                <w:sz w:val="18"/>
                <w:szCs w:val="20"/>
              </w:rPr>
              <w:t>Support/fine</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 xml:space="preserve">Lenovo/MotM, Samsung, </w:t>
            </w:r>
          </w:p>
          <w:p w14:paraId="450719C5" w14:textId="3C74675E" w:rsidR="00AA5B4A" w:rsidRDefault="00AA5B4A">
            <w:pPr>
              <w:snapToGrid w:val="0"/>
              <w:rPr>
                <w:sz w:val="18"/>
                <w:szCs w:val="20"/>
              </w:rPr>
            </w:pPr>
          </w:p>
          <w:p w14:paraId="58AE61F4" w14:textId="4BA0DA5B" w:rsidR="00AA5B4A" w:rsidRDefault="00AA5B4A">
            <w:pPr>
              <w:snapToGrid w:val="0"/>
              <w:rPr>
                <w:sz w:val="18"/>
                <w:szCs w:val="20"/>
              </w:rPr>
            </w:pPr>
            <w:r w:rsidRPr="008E2331">
              <w:rPr>
                <w:b/>
                <w:sz w:val="18"/>
                <w:szCs w:val="20"/>
              </w:rPr>
              <w:t>Not support</w:t>
            </w:r>
            <w:r>
              <w:rPr>
                <w:sz w:val="18"/>
                <w:szCs w:val="20"/>
              </w:rPr>
              <w:t xml:space="preserve">: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BE216DC"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3C5D6634" w14:textId="77777777" w:rsidR="004578F3" w:rsidRDefault="00BF06B4">
            <w:pPr>
              <w:pStyle w:val="ListParagraph"/>
              <w:numPr>
                <w:ilvl w:val="0"/>
                <w:numId w:val="25"/>
              </w:numPr>
              <w:suppressAutoHyphens/>
              <w:autoSpaceDN w:val="0"/>
              <w:snapToGrid w:val="0"/>
              <w:textAlignment w:val="baseline"/>
              <w:rPr>
                <w:sz w:val="18"/>
                <w:lang w:eastAsia="zh-CN"/>
              </w:rPr>
            </w:pPr>
            <w:r>
              <w:rPr>
                <w:sz w:val="18"/>
                <w:lang w:eastAsia="zh-CN"/>
              </w:rPr>
              <w:t>{0, ..., 14} from NTT Docomo</w:t>
            </w:r>
          </w:p>
          <w:p w14:paraId="65156532" w14:textId="77777777" w:rsidR="00AA5B4A" w:rsidRDefault="00AA5B4A" w:rsidP="00AA5B4A">
            <w:pPr>
              <w:suppressAutoHyphens/>
              <w:autoSpaceDN w:val="0"/>
              <w:snapToGrid w:val="0"/>
              <w:textAlignment w:val="baseline"/>
              <w:rPr>
                <w:ins w:id="8" w:author="Eko Onggosanusi" w:date="2022-02-23T21:57:00Z"/>
                <w:sz w:val="18"/>
                <w:lang w:eastAsia="zh-CN"/>
              </w:rPr>
            </w:pPr>
          </w:p>
          <w:p w14:paraId="0F949B12" w14:textId="00D82987" w:rsidR="00AA5B4A" w:rsidRPr="00AA5B4A" w:rsidRDefault="00AA5B4A" w:rsidP="00AA5B4A">
            <w:pPr>
              <w:suppressAutoHyphens/>
              <w:autoSpaceDN w:val="0"/>
              <w:snapToGrid w:val="0"/>
              <w:textAlignment w:val="baseline"/>
              <w:rPr>
                <w:sz w:val="18"/>
                <w:lang w:eastAsia="zh-CN"/>
              </w:rPr>
            </w:pPr>
            <w:ins w:id="9" w:author="Eko Onggosanusi" w:date="2022-02-23T21:57:00Z">
              <w:r w:rsidRPr="001941AE">
                <w:rPr>
                  <w:b/>
                  <w:color w:val="3333FF"/>
                  <w:u w:val="single"/>
                  <w:lang w:eastAsia="zh-CN"/>
                </w:rPr>
                <w:t>FL Note</w:t>
              </w:r>
              <w:r w:rsidRPr="001941AE">
                <w:rPr>
                  <w:color w:val="3333FF"/>
                  <w:lang w:eastAsia="zh-CN"/>
                </w:rPr>
                <w:t>: This issue is being discussed as a apart of LS response to RAN2 and won’t be discussed here.</w:t>
              </w:r>
            </w:ins>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ListParagraph"/>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ListParagraph"/>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ListParagraph"/>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r>
              <w:rPr>
                <w:rFonts w:eastAsia="Malgun Gothic"/>
                <w:b/>
                <w:sz w:val="18"/>
                <w:szCs w:val="18"/>
                <w:u w:val="single"/>
                <w:lang w:val="en-GB"/>
              </w:rPr>
              <w:t>roposal 3.E</w:t>
            </w:r>
            <w:r>
              <w:rPr>
                <w:sz w:val="18"/>
                <w:szCs w:val="18"/>
                <w:lang w:val="en-GB"/>
              </w:rPr>
              <w:t xml:space="preserve">: For Rel-17 unified TCI framework, for the presence of TCI field in DCI format 1-1/1-2, reuse </w:t>
            </w:r>
            <w:r>
              <w:rPr>
                <w:rFonts w:eastAsia="PMingLiU"/>
                <w:bCs/>
                <w:i/>
                <w:iCs/>
                <w:color w:val="000000" w:themeColor="text1"/>
                <w:sz w:val="18"/>
                <w:szCs w:val="18"/>
                <w:lang w:eastAsia="zh-TW"/>
              </w:rPr>
              <w:t xml:space="preserve">tci-PresentInDCI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tci-PresentInDCI</w:t>
            </w:r>
            <w:r>
              <w:rPr>
                <w:rFonts w:eastAsia="PMingLiU"/>
                <w:bCs/>
                <w:color w:val="3333FF"/>
                <w:sz w:val="18"/>
                <w:szCs w:val="18"/>
                <w:lang w:eastAsia="zh-TW"/>
              </w:rPr>
              <w:t xml:space="preserve"> to make the TCI field configurable. Even if the majority view is based on tci-PresentInDCI,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t>SUMMARY:</w:t>
            </w:r>
          </w:p>
          <w:p w14:paraId="4674D277"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color w:val="3333FF"/>
                <w:sz w:val="18"/>
                <w:szCs w:val="18"/>
                <w:lang w:val="en-GB"/>
              </w:rPr>
              <w:t xml:space="preserve">Alt1: Reuse </w:t>
            </w:r>
            <w:r w:rsidRPr="00264ECB">
              <w:rPr>
                <w:rFonts w:eastAsia="PMingLiU"/>
                <w:bCs/>
                <w:i/>
                <w:iCs/>
                <w:color w:val="3333FF"/>
                <w:sz w:val="18"/>
                <w:szCs w:val="18"/>
                <w:lang w:eastAsia="zh-TW"/>
              </w:rPr>
              <w:t xml:space="preserve">tci-PresentInDCI </w:t>
            </w:r>
            <w:r w:rsidRPr="00264ECB">
              <w:rPr>
                <w:rFonts w:eastAsia="PMingLiU"/>
                <w:bCs/>
                <w:color w:val="3333FF"/>
                <w:sz w:val="18"/>
                <w:szCs w:val="18"/>
                <w:lang w:eastAsia="zh-TW"/>
              </w:rPr>
              <w:t>to configure TCI field per CORESET</w:t>
            </w:r>
          </w:p>
          <w:p w14:paraId="0ABB07C2"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PMingLiU"/>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Huawei/HiSi,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Spreadtrum, vivo, Lenovo/MotM</w:t>
            </w:r>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pref)</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1BC2B631" w:rsidR="004578F3" w:rsidRDefault="00024317">
            <w:pPr>
              <w:snapToGrid w:val="0"/>
              <w:rPr>
                <w:b/>
                <w:sz w:val="18"/>
                <w:szCs w:val="20"/>
                <w:lang w:val="en-GB"/>
              </w:rPr>
            </w:pPr>
            <w:r>
              <w:rPr>
                <w:b/>
                <w:sz w:val="18"/>
                <w:szCs w:val="20"/>
                <w:lang w:val="en-GB"/>
              </w:rPr>
              <w:t>Support/</w:t>
            </w:r>
            <w:r w:rsidRPr="00024317">
              <w:rPr>
                <w:b/>
                <w:sz w:val="18"/>
                <w:szCs w:val="20"/>
                <w:lang w:val="en-GB"/>
              </w:rPr>
              <w:t>fine:</w:t>
            </w:r>
            <w:r w:rsidRPr="00024317">
              <w:rPr>
                <w:sz w:val="18"/>
                <w:szCs w:val="20"/>
                <w:lang w:val="en-GB"/>
              </w:rPr>
              <w:t xml:space="preserve"> Huawei/HiSi,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Spreadtrum, vivo, Lenovo/MotM</w:t>
            </w:r>
            <w:r w:rsidR="006B7590">
              <w:rPr>
                <w:sz w:val="18"/>
                <w:szCs w:val="18"/>
              </w:rPr>
              <w:t>, Xiaomi</w:t>
            </w:r>
            <w:r w:rsidR="00FD7999">
              <w:rPr>
                <w:sz w:val="18"/>
                <w:szCs w:val="18"/>
              </w:rPr>
              <w:t>, MTK</w:t>
            </w:r>
            <w:ins w:id="10" w:author="Eko Onggosanusi" w:date="2022-02-23T22:27:00Z">
              <w:r w:rsidR="008851C4">
                <w:rPr>
                  <w:sz w:val="18"/>
                  <w:szCs w:val="18"/>
                </w:rPr>
                <w:t>,</w:t>
              </w:r>
            </w:ins>
            <w:r w:rsidR="008851C4">
              <w:rPr>
                <w:sz w:val="18"/>
                <w:szCs w:val="18"/>
              </w:rPr>
              <w:t xml:space="preserve"> Intel</w:t>
            </w:r>
            <w:ins w:id="11" w:author="Eko Onggosanusi" w:date="2022-02-23T22:27:00Z">
              <w:r w:rsidR="008851C4">
                <w:rPr>
                  <w:sz w:val="18"/>
                  <w:szCs w:val="18"/>
                </w:rPr>
                <w:t xml:space="preserve"> </w:t>
              </w:r>
            </w:ins>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宋体"/>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lastRenderedPageBreak/>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lastRenderedPageBreak/>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ins w:id="12" w:author="Eko Onggosanusi" w:date="2022-02-23T22:27:00Z">
              <w:r w:rsidR="00932190">
                <w:rPr>
                  <w:sz w:val="18"/>
                  <w:lang w:eastAsia="zh-CN"/>
                </w:rPr>
                <w:t>/determined</w:t>
              </w:r>
            </w:ins>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16A95A99"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宋体" w:cs="Times"/>
                <w:b/>
                <w:bCs/>
                <w:sz w:val="16"/>
                <w:szCs w:val="11"/>
                <w:u w:val="single"/>
              </w:rPr>
            </w:pPr>
            <w:r>
              <w:rPr>
                <w:rFonts w:cs="Times"/>
                <w:b/>
                <w:bCs/>
                <w:sz w:val="16"/>
                <w:szCs w:val="11"/>
                <w:u w:val="single"/>
              </w:rPr>
              <w:t>Agreement</w:t>
            </w:r>
            <w:r>
              <w:rPr>
                <w:rFonts w:eastAsia="宋体"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4pt;height:168.2pt" o:ole="">
                  <v:imagedata r:id="rId11" o:title=""/>
                </v:shape>
                <o:OLEObject Type="Embed" ProgID="Visio.Drawing.11" ShapeID="_x0000_i1025" DrawAspect="Content" ObjectID="_1707217963" r:id="rId12"/>
              </w:object>
            </w:r>
          </w:p>
          <w:p w14:paraId="1C495421" w14:textId="77777777" w:rsidR="004578F3" w:rsidRDefault="00BF06B4">
            <w:pPr>
              <w:autoSpaceDN w:val="0"/>
              <w:snapToGrid w:val="0"/>
              <w:textAlignment w:val="baseline"/>
              <w:rPr>
                <w:rFonts w:eastAsia="宋体"/>
                <w:sz w:val="18"/>
                <w:szCs w:val="13"/>
              </w:rPr>
            </w:pPr>
            <w:r>
              <w:rPr>
                <w:rFonts w:hint="eastAsia"/>
                <w:b/>
                <w:sz w:val="18"/>
                <w:szCs w:val="13"/>
              </w:rPr>
              <w:t>Fig</w:t>
            </w:r>
            <w:r>
              <w:rPr>
                <w:b/>
                <w:sz w:val="18"/>
                <w:szCs w:val="13"/>
              </w:rPr>
              <w:t xml:space="preserve">ure </w:t>
            </w:r>
            <w:r>
              <w:rPr>
                <w:rFonts w:eastAsia="宋体" w:hint="eastAsia"/>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宋体"/>
                <w:bCs/>
                <w:color w:val="000000" w:themeColor="text1"/>
                <w:sz w:val="18"/>
                <w:lang w:eastAsia="zh-CN"/>
              </w:rPr>
            </w:pPr>
            <w:r>
              <w:rPr>
                <w:rFonts w:hint="eastAsia"/>
                <w:sz w:val="18"/>
                <w:lang w:eastAsia="zh-CN"/>
              </w:rPr>
              <w:t xml:space="preserve">So we suggest the proposal to address the issue: </w:t>
            </w:r>
            <w:r>
              <w:rPr>
                <w:rFonts w:eastAsia="宋体"/>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TableGrid"/>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ListParagraph"/>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The existing DCI formats 1_1 and 1_2 are reused for beam indication</w:t>
                  </w:r>
                </w:p>
                <w:p w14:paraId="76BEB56A"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ListParagraph"/>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ListParagraph"/>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ListParagraph"/>
              <w:numPr>
                <w:ilvl w:val="0"/>
                <w:numId w:val="27"/>
              </w:numPr>
              <w:snapToGrid w:val="0"/>
              <w:rPr>
                <w:rFonts w:eastAsia="等线"/>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ListParagraph"/>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 xml:space="preserve">Prefer the proposal without the new changes. Not clear what is meaning of “cross-carrier beam indication” This can refer to the carrier-indicator field in the DCI format, not clear if this is the intention of the change. As this </w:t>
            </w:r>
            <w:r>
              <w:rPr>
                <w:bCs/>
                <w:sz w:val="18"/>
                <w:szCs w:val="18"/>
                <w:lang w:eastAsia="zh-CN"/>
              </w:rPr>
              <w:lastRenderedPageBreak/>
              <w:t>should also apply to the scenario where there is a configured list of carrier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r>
              <w:t>timeDurationForQCL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ListParagraph"/>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lastRenderedPageBreak/>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X=2 list per band.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timeDurationForQCL in Rel.15, which is counted from DCI. On the other hand, BAT is counted from ACK, which is much later than DCI. Hence, we should include smaller value than timeDurationForQCL,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lastRenderedPageBreak/>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3.11(Propsoal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PMingLiU"/>
                <w:color w:val="000000" w:themeColor="text1"/>
                <w:sz w:val="18"/>
                <w:szCs w:val="18"/>
                <w:lang w:eastAsia="zh-TW"/>
              </w:rPr>
            </w:pPr>
            <w:r w:rsidRPr="00356958">
              <w:rPr>
                <w:rFonts w:eastAsia="PMingLiU"/>
                <w:color w:val="000000" w:themeColor="text1"/>
                <w:sz w:val="18"/>
                <w:szCs w:val="18"/>
                <w:lang w:eastAsia="zh-TW"/>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PMingLiU"/>
                <w:color w:val="000000" w:themeColor="text1"/>
                <w:sz w:val="18"/>
                <w:szCs w:val="18"/>
                <w:lang w:eastAsia="zh-TW"/>
              </w:rPr>
            </w:pPr>
            <w:r>
              <w:rPr>
                <w:rFonts w:eastAsia="PMingLiU"/>
                <w:color w:val="000000" w:themeColor="text1"/>
                <w:sz w:val="18"/>
                <w:szCs w:val="18"/>
                <w:lang w:eastAsia="zh-TW"/>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t>@</w:t>
            </w:r>
            <w:r w:rsidR="00E73835" w:rsidRPr="00695469">
              <w:rPr>
                <w:rStyle w:val="00TextChar"/>
                <w:b/>
                <w:bCs/>
                <w:color w:val="3333FF"/>
                <w:sz w:val="24"/>
                <w:szCs w:val="18"/>
              </w:rPr>
              <w:t>Those opposing proposal 3.D: please check OPPO’s explanation and see if your concern has been addressed</w:t>
            </w:r>
          </w:p>
        </w:tc>
      </w:tr>
      <w:tr w:rsidR="0074361C" w14:paraId="364744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6E9D" w14:textId="446A68B3" w:rsidR="0074361C" w:rsidRDefault="0074361C" w:rsidP="0074361C">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6F2C" w14:textId="77777777" w:rsidR="0074361C" w:rsidRDefault="0074361C" w:rsidP="0074361C">
            <w:pPr>
              <w:snapToGrid w:val="0"/>
              <w:rPr>
                <w:rFonts w:eastAsiaTheme="minorEastAsia"/>
                <w:b/>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D32EB">
              <w:rPr>
                <w:rFonts w:eastAsiaTheme="minorEastAsia"/>
                <w:bCs/>
                <w:color w:val="000000" w:themeColor="text1"/>
                <w:sz w:val="18"/>
                <w:szCs w:val="18"/>
                <w:lang w:eastAsia="zh-CN"/>
              </w:rPr>
              <w:t>Still prefer Alt</w:t>
            </w:r>
            <w:r>
              <w:rPr>
                <w:rFonts w:eastAsiaTheme="minorEastAsia"/>
                <w:bCs/>
                <w:color w:val="000000" w:themeColor="text1"/>
                <w:sz w:val="18"/>
                <w:szCs w:val="18"/>
                <w:lang w:eastAsia="zh-CN"/>
              </w:rPr>
              <w:t>3</w:t>
            </w:r>
            <w:r w:rsidRPr="00CD32EB">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Proposal 3.B is not Rel-15/16 like since there is no BAT</w:t>
            </w:r>
            <w:r>
              <w:rPr>
                <w:rFonts w:eastAsiaTheme="minorEastAsia" w:hint="eastAsia"/>
                <w:bCs/>
                <w:color w:val="000000" w:themeColor="text1"/>
                <w:sz w:val="18"/>
                <w:szCs w:val="18"/>
                <w:lang w:eastAsia="zh-CN"/>
              </w:rPr>
              <w:t xml:space="preserve"> confi</w:t>
            </w:r>
            <w:r>
              <w:rPr>
                <w:rFonts w:eastAsiaTheme="minorEastAsia"/>
                <w:bCs/>
                <w:color w:val="000000" w:themeColor="text1"/>
                <w:sz w:val="18"/>
                <w:szCs w:val="18"/>
                <w:lang w:eastAsia="zh-CN"/>
              </w:rPr>
              <w:t>guration in Rel-15/16.</w:t>
            </w:r>
          </w:p>
          <w:p w14:paraId="3998C426"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3.B, two questions:</w:t>
            </w:r>
          </w:p>
          <w:p w14:paraId="34A9C57D"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1. </w:t>
            </w:r>
            <w:r w:rsidRPr="00CD32EB">
              <w:rPr>
                <w:rFonts w:eastAsiaTheme="minorEastAsia"/>
                <w:bCs/>
                <w:color w:val="000000" w:themeColor="text1"/>
                <w:sz w:val="18"/>
                <w:szCs w:val="18"/>
                <w:lang w:eastAsia="zh-CN"/>
              </w:rPr>
              <w:t>why this is only for “cross-carrier” beam indication</w:t>
            </w:r>
            <w:r>
              <w:rPr>
                <w:rFonts w:eastAsiaTheme="minorEastAsia"/>
                <w:bCs/>
                <w:color w:val="000000" w:themeColor="text1"/>
                <w:sz w:val="18"/>
                <w:szCs w:val="18"/>
                <w:lang w:eastAsia="zh-CN"/>
              </w:rPr>
              <w:t>? Would the beam indication for the carrier itself also apply the corresponding configured BAT?</w:t>
            </w:r>
          </w:p>
          <w:p w14:paraId="700A2486" w14:textId="77777777" w:rsidR="0074361C" w:rsidRPr="00CD32EB" w:rsidRDefault="0074361C" w:rsidP="0074361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2</w:t>
            </w:r>
            <w:r>
              <w:rPr>
                <w:rFonts w:eastAsiaTheme="minorEastAsia"/>
                <w:bCs/>
                <w:color w:val="000000" w:themeColor="text1"/>
                <w:sz w:val="18"/>
                <w:szCs w:val="18"/>
                <w:lang w:eastAsia="zh-CN"/>
              </w:rPr>
              <w:t>. Is the configuration of BAT per CC or per BWP? If there are multiple SCS, would different values be configured for all the SCS?</w:t>
            </w:r>
          </w:p>
          <w:p w14:paraId="502819E5" w14:textId="77777777" w:rsidR="0074361C" w:rsidRDefault="0074361C" w:rsidP="0074361C">
            <w:pPr>
              <w:snapToGrid w:val="0"/>
              <w:rPr>
                <w:sz w:val="18"/>
                <w:szCs w:val="18"/>
                <w:lang w:eastAsia="zh-CN"/>
              </w:rPr>
            </w:pPr>
          </w:p>
          <w:p w14:paraId="2D7651B7"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lastRenderedPageBreak/>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 xml:space="preserve">Similar to Rel-16, </w:t>
            </w:r>
            <w:r>
              <w:rPr>
                <w:rFonts w:eastAsiaTheme="minorEastAsia"/>
                <w:bCs/>
                <w:color w:val="000000" w:themeColor="text1"/>
                <w:sz w:val="18"/>
                <w:szCs w:val="18"/>
                <w:lang w:eastAsia="zh-CN"/>
              </w:rPr>
              <w:t>maximum number of CC lists can be configured is X under cell group config. There is no need to limit up to 2 CC lists per band.</w:t>
            </w:r>
          </w:p>
          <w:p w14:paraId="2F29A60F" w14:textId="77777777" w:rsidR="0074361C" w:rsidRDefault="0074361C" w:rsidP="0074361C">
            <w:pPr>
              <w:suppressAutoHyphens/>
              <w:autoSpaceDN w:val="0"/>
              <w:snapToGrid w:val="0"/>
              <w:textAlignment w:val="baseline"/>
              <w:rPr>
                <w:sz w:val="18"/>
                <w:lang w:val="en-GB" w:eastAsia="zh-CN"/>
              </w:rPr>
            </w:pPr>
          </w:p>
          <w:p w14:paraId="6BD45959"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4C74AB9C" w14:textId="77777777" w:rsidR="0074361C" w:rsidRDefault="0074361C" w:rsidP="0074361C">
            <w:pPr>
              <w:snapToGrid w:val="0"/>
              <w:rPr>
                <w:sz w:val="18"/>
                <w:szCs w:val="18"/>
                <w:lang w:eastAsia="zh-CN"/>
              </w:rPr>
            </w:pPr>
          </w:p>
          <w:p w14:paraId="32E85850" w14:textId="77777777" w:rsidR="0074361C" w:rsidRDefault="0074361C" w:rsidP="0074361C">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1690CA55" w14:textId="77777777" w:rsidR="0074361C" w:rsidRPr="006A5ACD" w:rsidRDefault="0074361C" w:rsidP="0074361C">
            <w:pPr>
              <w:snapToGrid w:val="0"/>
              <w:rPr>
                <w:sz w:val="18"/>
                <w:szCs w:val="18"/>
                <w:lang w:eastAsia="zh-CN"/>
              </w:rPr>
            </w:pPr>
          </w:p>
          <w:p w14:paraId="4BAEED7A"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Support Alt1</w:t>
            </w:r>
            <w:r>
              <w:rPr>
                <w:rFonts w:eastAsiaTheme="minorEastAsia"/>
                <w:bCs/>
                <w:color w:val="000000" w:themeColor="text1"/>
                <w:sz w:val="18"/>
                <w:szCs w:val="18"/>
                <w:lang w:eastAsia="zh-CN"/>
              </w:rPr>
              <w:t xml:space="preserve"> and Proposal 3.E</w:t>
            </w:r>
            <w:r w:rsidRPr="004753F9">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If a UE does not support DCI-based TCI state indication, the TCI field is not configured in DCI. </w:t>
            </w:r>
          </w:p>
          <w:p w14:paraId="10D94FEB" w14:textId="77777777" w:rsidR="0074361C" w:rsidRDefault="0074361C" w:rsidP="0074361C">
            <w:pPr>
              <w:snapToGrid w:val="0"/>
              <w:rPr>
                <w:rFonts w:eastAsiaTheme="minorEastAsia"/>
                <w:bCs/>
                <w:color w:val="000000" w:themeColor="text1"/>
                <w:sz w:val="18"/>
                <w:szCs w:val="18"/>
                <w:lang w:eastAsia="zh-CN"/>
              </w:rPr>
            </w:pPr>
          </w:p>
          <w:p w14:paraId="7BDBA1BD" w14:textId="77777777" w:rsidR="0074361C"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3D8D8C8" w14:textId="77777777" w:rsidR="0074361C" w:rsidRDefault="0074361C" w:rsidP="0074361C">
            <w:pPr>
              <w:snapToGrid w:val="0"/>
              <w:rPr>
                <w:sz w:val="18"/>
                <w:lang w:eastAsia="zh-CN"/>
              </w:rPr>
            </w:pPr>
          </w:p>
          <w:p w14:paraId="210133B8"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4629E320" w14:textId="77777777" w:rsidR="0074361C" w:rsidRDefault="0074361C" w:rsidP="0074361C">
            <w:pPr>
              <w:snapToGrid w:val="0"/>
              <w:rPr>
                <w:sz w:val="18"/>
                <w:lang w:eastAsia="zh-CN"/>
              </w:rPr>
            </w:pPr>
          </w:p>
          <w:p w14:paraId="4FFB0ED4" w14:textId="77777777" w:rsidR="0074361C" w:rsidRPr="00C207BA"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207BA">
              <w:rPr>
                <w:rFonts w:eastAsiaTheme="minorEastAsia"/>
                <w:bCs/>
                <w:color w:val="000000" w:themeColor="text1"/>
                <w:sz w:val="18"/>
                <w:szCs w:val="18"/>
                <w:lang w:eastAsia="zh-CN"/>
              </w:rPr>
              <w:t>Not support.</w:t>
            </w:r>
          </w:p>
          <w:p w14:paraId="189F6736" w14:textId="77777777" w:rsidR="0074361C" w:rsidRPr="00E73835" w:rsidRDefault="0074361C" w:rsidP="0074361C">
            <w:pPr>
              <w:snapToGrid w:val="0"/>
              <w:rPr>
                <w:rStyle w:val="00TextChar"/>
                <w:b/>
                <w:bCs/>
                <w:color w:val="3333FF"/>
                <w:sz w:val="18"/>
                <w:szCs w:val="18"/>
              </w:rPr>
            </w:pPr>
          </w:p>
        </w:tc>
      </w:tr>
      <w:tr w:rsidR="00EC1ED6" w14:paraId="07F191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7572" w14:textId="3BDB3947" w:rsidR="00EC1ED6" w:rsidRDefault="00EC1ED6" w:rsidP="00EC1ED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3A59" w14:textId="77777777" w:rsidR="00EC1ED6" w:rsidRDefault="00EC1ED6" w:rsidP="00EC1ED6">
            <w:pPr>
              <w:snapToGrid w:val="0"/>
              <w:rPr>
                <w:rStyle w:val="00TextChar"/>
                <w:bCs/>
                <w:sz w:val="18"/>
                <w:szCs w:val="18"/>
              </w:rPr>
            </w:pPr>
            <w:r>
              <w:rPr>
                <w:rStyle w:val="00TextChar"/>
                <w:rFonts w:hint="eastAsia"/>
                <w:b/>
                <w:bCs/>
                <w:sz w:val="18"/>
                <w:szCs w:val="18"/>
              </w:rPr>
              <w:t>I</w:t>
            </w:r>
            <w:r>
              <w:rPr>
                <w:rStyle w:val="00TextChar"/>
                <w:b/>
                <w:bCs/>
                <w:sz w:val="18"/>
                <w:szCs w:val="18"/>
              </w:rPr>
              <w:t xml:space="preserve">ssue 3.5: </w:t>
            </w:r>
            <w:r w:rsidRPr="00676872">
              <w:rPr>
                <w:rStyle w:val="00TextChar"/>
                <w:rFonts w:hint="eastAsia"/>
                <w:bCs/>
                <w:sz w:val="18"/>
                <w:szCs w:val="18"/>
              </w:rPr>
              <w:t>S</w:t>
            </w:r>
            <w:r w:rsidRPr="00676872">
              <w:rPr>
                <w:rStyle w:val="00TextChar"/>
                <w:bCs/>
                <w:sz w:val="18"/>
                <w:szCs w:val="18"/>
              </w:rPr>
              <w:t>u</w:t>
            </w:r>
            <w:r w:rsidRPr="00676872">
              <w:rPr>
                <w:rStyle w:val="00TextChar"/>
                <w:rFonts w:hint="eastAsia"/>
                <w:bCs/>
                <w:sz w:val="18"/>
                <w:szCs w:val="18"/>
              </w:rPr>
              <w:t>pport</w:t>
            </w:r>
            <w:r w:rsidRPr="00676872">
              <w:rPr>
                <w:rStyle w:val="00TextChar"/>
                <w:bCs/>
                <w:sz w:val="18"/>
                <w:szCs w:val="18"/>
              </w:rPr>
              <w:t xml:space="preserve"> </w:t>
            </w:r>
            <w:r w:rsidRPr="00676872">
              <w:rPr>
                <w:rStyle w:val="00TextChar"/>
                <w:rFonts w:hint="eastAsia"/>
                <w:bCs/>
                <w:sz w:val="18"/>
                <w:szCs w:val="18"/>
              </w:rPr>
              <w:t>proposal</w:t>
            </w:r>
            <w:r w:rsidRPr="00676872">
              <w:rPr>
                <w:rStyle w:val="00TextChar"/>
                <w:bCs/>
                <w:sz w:val="18"/>
                <w:szCs w:val="18"/>
              </w:rPr>
              <w:t xml:space="preserve"> 3</w:t>
            </w:r>
            <w:r w:rsidRPr="00676872">
              <w:rPr>
                <w:rStyle w:val="00TextChar"/>
                <w:rFonts w:hint="eastAsia"/>
                <w:bCs/>
                <w:sz w:val="18"/>
                <w:szCs w:val="18"/>
              </w:rPr>
              <w:t>.D</w:t>
            </w:r>
          </w:p>
          <w:p w14:paraId="4F985534" w14:textId="77777777" w:rsidR="00EC1ED6" w:rsidRDefault="00EC1ED6" w:rsidP="00EC1ED6">
            <w:pPr>
              <w:snapToGrid w:val="0"/>
              <w:rPr>
                <w:color w:val="000000" w:themeColor="text1"/>
                <w:sz w:val="18"/>
                <w:szCs w:val="18"/>
                <w:lang w:eastAsia="zh-CN"/>
              </w:rPr>
            </w:pPr>
            <w:r>
              <w:rPr>
                <w:rStyle w:val="00TextChar"/>
                <w:bCs/>
                <w:sz w:val="18"/>
                <w:szCs w:val="18"/>
              </w:rPr>
              <w:t xml:space="preserve">In our understanding, the discussed issue only focusing on one HARQ-ACK feedback corresponding to one DCI, while the issue is more severe in case of </w:t>
            </w:r>
            <w:r>
              <w:rPr>
                <w:color w:val="000000" w:themeColor="text1"/>
                <w:sz w:val="18"/>
                <w:szCs w:val="18"/>
                <w:lang w:eastAsia="zh-CN"/>
              </w:rPr>
              <w:t xml:space="preserve">HARQ-ACK multiplexing, which we think a quite typical use case and which indicated TCI state to be applied should be discussed.  </w:t>
            </w:r>
          </w:p>
          <w:p w14:paraId="220982CF" w14:textId="77777777" w:rsidR="00EC1ED6" w:rsidRDefault="00EC1ED6" w:rsidP="00EC1ED6">
            <w:pPr>
              <w:snapToGrid w:val="0"/>
              <w:rPr>
                <w:color w:val="000000" w:themeColor="text1"/>
                <w:sz w:val="18"/>
                <w:szCs w:val="18"/>
                <w:lang w:eastAsia="zh-CN"/>
              </w:rPr>
            </w:pPr>
            <w:r>
              <w:rPr>
                <w:color w:val="000000" w:themeColor="text1"/>
                <w:sz w:val="18"/>
                <w:szCs w:val="18"/>
                <w:lang w:eastAsia="zh-CN"/>
              </w:rPr>
              <w:t xml:space="preserve">So we propose to also consider HARQ-ACK multiplexing to determine a unified solution. </w:t>
            </w:r>
          </w:p>
          <w:p w14:paraId="61EC0DA6" w14:textId="77777777" w:rsidR="00EC1ED6" w:rsidRDefault="00EC1ED6" w:rsidP="00EC1ED6">
            <w:pPr>
              <w:snapToGrid w:val="0"/>
              <w:rPr>
                <w:b/>
                <w:sz w:val="18"/>
                <w:u w:val="single"/>
                <w:lang w:eastAsia="zh-CN"/>
              </w:rPr>
            </w:pPr>
          </w:p>
          <w:p w14:paraId="37D479F7" w14:textId="77777777" w:rsidR="00EC1ED6" w:rsidRDefault="00EC1ED6" w:rsidP="00EC1ED6">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6D57B858" w14:textId="77777777" w:rsidR="00EC1ED6" w:rsidRDefault="00EC1ED6" w:rsidP="00EC1ED6">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947E9F9" w14:textId="77777777" w:rsidR="00EC1ED6" w:rsidRPr="00FC014C" w:rsidRDefault="00EC1ED6" w:rsidP="00EC1ED6">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36E7E5C7" w14:textId="77777777" w:rsidR="00EC1ED6" w:rsidRDefault="00EC1ED6" w:rsidP="00EC1ED6">
            <w:pPr>
              <w:snapToGrid w:val="0"/>
              <w:rPr>
                <w:color w:val="000000" w:themeColor="text1"/>
                <w:sz w:val="18"/>
                <w:szCs w:val="18"/>
                <w:lang w:eastAsia="zh-CN"/>
              </w:rPr>
            </w:pPr>
          </w:p>
          <w:p w14:paraId="5C2B65E9" w14:textId="77777777" w:rsidR="00EC1ED6" w:rsidRPr="00A37F7E" w:rsidRDefault="00EC1ED6" w:rsidP="00EC1ED6">
            <w:pPr>
              <w:snapToGrid w:val="0"/>
              <w:rPr>
                <w:rFonts w:eastAsiaTheme="minorEastAsia"/>
                <w:b/>
                <w:bCs/>
                <w:color w:val="000000" w:themeColor="text1"/>
                <w:sz w:val="18"/>
                <w:szCs w:val="18"/>
                <w:lang w:eastAsia="zh-CN"/>
              </w:rPr>
            </w:pPr>
          </w:p>
        </w:tc>
      </w:tr>
      <w:tr w:rsidR="00DF227B" w14:paraId="0E35EFF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3814" w14:textId="77777777" w:rsidR="00DF227B" w:rsidRDefault="00DF227B" w:rsidP="00EC1ED6">
            <w:pPr>
              <w:snapToGrid w:val="0"/>
              <w:rPr>
                <w:rFonts w:eastAsiaTheme="minorEastAsia" w:hint="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4076" w14:textId="77777777" w:rsidR="00DF227B" w:rsidRDefault="00DF227B" w:rsidP="00EC1ED6">
            <w:pPr>
              <w:snapToGrid w:val="0"/>
              <w:rPr>
                <w:rStyle w:val="00TextChar"/>
                <w:rFonts w:hint="eastAsia"/>
                <w:b/>
                <w:bCs/>
                <w:sz w:val="18"/>
                <w:szCs w:val="18"/>
              </w:rPr>
            </w:pP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MTK, Apple, Nokia/NSB, Fraunhofer IIS/HHI, NTT Docomo, NEC, LG, Qualcomm, OPPO, Xiaomi, LG, CMCC, Spreadtrum, vivo, CATT, Lenovo/MotM, TCL, Huawei/HiSi</w:t>
            </w:r>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13"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From the perspective of UE capability, maximum number of supported UL Tx layers = min{maximum number of SRS ports for a reported set, maximum number</w:t>
            </w:r>
            <w:r w:rsidR="00FA2B9D">
              <w:rPr>
                <w:sz w:val="18"/>
                <w:szCs w:val="18"/>
                <w:lang w:eastAsia="zh-CN"/>
              </w:rPr>
              <w:t xml:space="preserve"> of UL Tx layers reported by UE</w:t>
            </w:r>
            <w:r>
              <w:rPr>
                <w:sz w:val="18"/>
                <w:szCs w:val="18"/>
                <w:lang w:eastAsia="zh-CN"/>
              </w:rPr>
              <w:t>}</w:t>
            </w:r>
          </w:p>
          <w:bookmarkEnd w:id="13"/>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lastRenderedPageBreak/>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lastRenderedPageBreak/>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Spreadtrum, vivo, TCL, Huawei/HiSi</w:t>
            </w:r>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MotM/Lenovo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Nokia/NSB, Fraunhofer IIS/HHI, NEC, Samsung, OPPO, Intel, Spreadtrum,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14"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14"/>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Spreadtrum, vivo (without sub-bullets), Lenovo/MotM (without sub-bullets), TCL, Huawei/HiSi</w:t>
            </w:r>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29F1C924"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Lenovo/MotM</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14:paraId="73865CBF" w14:textId="7EACF363" w:rsidR="004578F3" w:rsidRDefault="00BF06B4">
            <w:pPr>
              <w:numPr>
                <w:ilvl w:val="0"/>
                <w:numId w:val="29"/>
              </w:numPr>
              <w:snapToGrid w:val="0"/>
              <w:jc w:val="both"/>
              <w:rPr>
                <w:sz w:val="18"/>
                <w:szCs w:val="18"/>
              </w:rPr>
            </w:pPr>
            <w:r>
              <w:rPr>
                <w:sz w:val="18"/>
                <w:szCs w:val="18"/>
              </w:rPr>
              <w:lastRenderedPageBreak/>
              <w:t xml:space="preserve">Alt2: via SRS resource set selection by DCI </w:t>
            </w:r>
            <w:ins w:id="15" w:author="Eko Onggosanusi" w:date="2022-02-23T22:35:00Z">
              <w:r w:rsidR="008922F1">
                <w:rPr>
                  <w:sz w:val="18"/>
                  <w:szCs w:val="18"/>
                </w:rPr>
                <w:t>[</w:t>
              </w:r>
            </w:ins>
            <w:r>
              <w:rPr>
                <w:sz w:val="18"/>
                <w:szCs w:val="18"/>
              </w:rPr>
              <w:t>where each set has different number of ports</w:t>
            </w:r>
            <w:ins w:id="16" w:author="Eko Onggosanusi" w:date="2022-02-23T22:35:00Z">
              <w:r w:rsidR="008922F1">
                <w:rPr>
                  <w:sz w:val="18"/>
                  <w:szCs w:val="18"/>
                </w:rPr>
                <w:t>]</w:t>
              </w:r>
            </w:ins>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lastRenderedPageBreak/>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lastRenderedPageBreak/>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 xml:space="preserve">ntroduce 'cri-RSRP-SetIndex', 'ssb-Index-RSRP-SetIndex', 'cri-SINR-SetIndex','ssb-Index-SINR-SetIndex'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134B7C1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p>
          <w:p w14:paraId="72AD54A5" w14:textId="77777777" w:rsidR="00692EA2" w:rsidRDefault="00692EA2">
            <w:pPr>
              <w:rPr>
                <w:b/>
                <w:bCs/>
                <w:kern w:val="3"/>
                <w:sz w:val="18"/>
                <w:szCs w:val="20"/>
              </w:rPr>
            </w:pPr>
          </w:p>
          <w:p w14:paraId="067C8E2B" w14:textId="165C0EFB" w:rsidR="00692EA2" w:rsidRPr="00692EA2" w:rsidRDefault="00692EA2">
            <w:pPr>
              <w:rPr>
                <w:bCs/>
                <w:kern w:val="3"/>
                <w:sz w:val="18"/>
                <w:szCs w:val="20"/>
              </w:rPr>
            </w:pPr>
            <w:r>
              <w:rPr>
                <w:b/>
                <w:bCs/>
                <w:kern w:val="3"/>
                <w:sz w:val="18"/>
                <w:szCs w:val="20"/>
              </w:rPr>
              <w:t xml:space="preserve">Not support: </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lastRenderedPageBreak/>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r>
              <w:rPr>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4.3: Support Proposal 4.C provided more than one indices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then there will be misalignment between gNB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  per MTK comment</w:t>
            </w:r>
          </w:p>
        </w:tc>
      </w:tr>
      <w:tr w:rsidR="0074361C" w:rsidRPr="00550C25" w14:paraId="52551B3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AAAF" w14:textId="2F430C03" w:rsidR="0074361C" w:rsidRDefault="0074361C" w:rsidP="0074361C">
            <w:pPr>
              <w:snapToGrid w:val="0"/>
              <w:rPr>
                <w:rFonts w:eastAsiaTheme="minorEastAsia"/>
                <w:sz w:val="18"/>
                <w:szCs w:val="18"/>
                <w:lang w:eastAsia="zh-CN"/>
              </w:rPr>
            </w:pPr>
            <w:r>
              <w:rPr>
                <w:rFonts w:eastAsiaTheme="minorEastAsia"/>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AD0D" w14:textId="77777777" w:rsidR="0074361C" w:rsidRDefault="0074361C" w:rsidP="0074361C">
            <w:pPr>
              <w:snapToGrid w:val="0"/>
              <w:rPr>
                <w:sz w:val="18"/>
                <w:szCs w:val="18"/>
                <w:lang w:eastAsia="zh-CN"/>
              </w:rPr>
            </w:pPr>
            <w:r>
              <w:rPr>
                <w:b/>
                <w:sz w:val="18"/>
                <w:szCs w:val="18"/>
                <w:u w:val="single"/>
              </w:rPr>
              <w:t>Proposal 4.F</w:t>
            </w:r>
            <w:r w:rsidRPr="004736E2">
              <w:rPr>
                <w:sz w:val="18"/>
                <w:szCs w:val="18"/>
              </w:rPr>
              <w:t>:</w:t>
            </w:r>
            <w:r>
              <w:rPr>
                <w:sz w:val="18"/>
                <w:szCs w:val="18"/>
              </w:rPr>
              <w:t xml:space="preserve"> Support Alt4.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786B9D04" w14:textId="77777777" w:rsidR="0074361C" w:rsidRDefault="0074361C" w:rsidP="0074361C">
            <w:pPr>
              <w:snapToGrid w:val="0"/>
              <w:rPr>
                <w:sz w:val="18"/>
                <w:szCs w:val="18"/>
              </w:rPr>
            </w:pPr>
            <w:r>
              <w:rPr>
                <w:rFonts w:eastAsia="PMingLiU"/>
                <w:sz w:val="18"/>
                <w:szCs w:val="18"/>
                <w:lang w:eastAsia="zh-TW"/>
              </w:rPr>
              <w:t>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5373A5BA" w14:textId="77777777" w:rsidR="0074361C" w:rsidRDefault="0074361C" w:rsidP="0074361C">
            <w:pPr>
              <w:snapToGrid w:val="0"/>
              <w:rPr>
                <w:bCs/>
                <w:color w:val="000000" w:themeColor="text1"/>
                <w:sz w:val="18"/>
                <w:szCs w:val="18"/>
                <w:lang w:eastAsia="zh-CN"/>
              </w:rPr>
            </w:pPr>
          </w:p>
          <w:p w14:paraId="16A9B367" w14:textId="77777777" w:rsidR="0074361C" w:rsidRPr="00BC2204" w:rsidRDefault="0074361C" w:rsidP="0074361C">
            <w:pPr>
              <w:pStyle w:val="CommentText"/>
              <w:rPr>
                <w:sz w:val="18"/>
                <w:szCs w:val="18"/>
                <w:lang w:eastAsia="zh-CN"/>
              </w:rPr>
            </w:pPr>
            <w:r>
              <w:rPr>
                <w:b/>
                <w:sz w:val="18"/>
                <w:szCs w:val="18"/>
                <w:u w:val="single"/>
              </w:rPr>
              <w:t>Proposal 4.G</w:t>
            </w:r>
            <w:r w:rsidRPr="004736E2">
              <w:rPr>
                <w:sz w:val="18"/>
                <w:szCs w:val="18"/>
              </w:rPr>
              <w:t>:</w:t>
            </w:r>
            <w:r>
              <w:rPr>
                <w:sz w:val="18"/>
                <w:szCs w:val="18"/>
              </w:rPr>
              <w:t xml:space="preserve"> Alt1 has no specification impact. We are also fine to drop the proposal. From Alt1 perspective, it is just reusing the UL BWP switching mechanism, where each BWP is configured with different SRS port #. </w:t>
            </w:r>
            <w:r>
              <w:rPr>
                <w:rFonts w:hint="eastAsia"/>
                <w:sz w:val="18"/>
                <w:szCs w:val="18"/>
                <w:lang w:eastAsia="zh-CN"/>
              </w:rPr>
              <w:t>The</w:t>
            </w:r>
            <w:r>
              <w:rPr>
                <w:sz w:val="18"/>
                <w:szCs w:val="18"/>
              </w:rPr>
              <w:t xml:space="preserve"> FFS part of Alt1 can be deleted.</w:t>
            </w:r>
          </w:p>
          <w:p w14:paraId="0754404D" w14:textId="77777777" w:rsidR="0074361C" w:rsidRPr="004736E2" w:rsidRDefault="0074361C" w:rsidP="0074361C">
            <w:pPr>
              <w:snapToGrid w:val="0"/>
              <w:rPr>
                <w:sz w:val="18"/>
                <w:szCs w:val="18"/>
                <w:lang w:val="en-GB"/>
              </w:rPr>
            </w:pPr>
            <w:r>
              <w:rPr>
                <w:b/>
                <w:sz w:val="18"/>
                <w:szCs w:val="18"/>
                <w:u w:val="single"/>
              </w:rPr>
              <w:lastRenderedPageBreak/>
              <w:t>Proposal 4.G</w:t>
            </w:r>
            <w:r w:rsidRPr="004736E2">
              <w:rPr>
                <w:sz w:val="18"/>
                <w:szCs w:val="18"/>
              </w:rPr>
              <w:t xml:space="preserve">: </w:t>
            </w:r>
            <w:r w:rsidRPr="004736E2">
              <w:rPr>
                <w:sz w:val="18"/>
                <w:szCs w:val="18"/>
                <w:lang w:val="en-GB"/>
              </w:rPr>
              <w:t>On Rel.17 enhancements to facilitate UE-initiated panel activation and selection</w:t>
            </w:r>
            <w:r>
              <w:rPr>
                <w:sz w:val="18"/>
                <w:szCs w:val="18"/>
                <w:lang w:val="en-GB"/>
              </w:rPr>
              <w:t>,</w:t>
            </w:r>
            <w:r w:rsidRPr="004736E2">
              <w:rPr>
                <w:sz w:val="18"/>
                <w:szCs w:val="18"/>
                <w:lang w:val="en-GB"/>
              </w:rPr>
              <w:t xml:space="preserve"> </w:t>
            </w:r>
            <w:r>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Pr>
                <w:sz w:val="18"/>
                <w:szCs w:val="18"/>
              </w:rPr>
              <w:t xml:space="preserve">in RAN1#108-e, </w:t>
            </w:r>
            <w:r w:rsidRPr="004736E2">
              <w:rPr>
                <w:sz w:val="18"/>
                <w:szCs w:val="18"/>
              </w:rPr>
              <w:t>down-select the following alternatives:</w:t>
            </w:r>
          </w:p>
          <w:p w14:paraId="46338132" w14:textId="77777777" w:rsidR="0074361C" w:rsidRPr="004736E2" w:rsidRDefault="0074361C" w:rsidP="0074361C">
            <w:pPr>
              <w:numPr>
                <w:ilvl w:val="0"/>
                <w:numId w:val="29"/>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40F02FFC" w14:textId="77777777" w:rsidR="0074361C" w:rsidRPr="00C207BA" w:rsidRDefault="0074361C" w:rsidP="0074361C">
            <w:pPr>
              <w:numPr>
                <w:ilvl w:val="1"/>
                <w:numId w:val="29"/>
              </w:numPr>
              <w:snapToGrid w:val="0"/>
              <w:jc w:val="both"/>
              <w:rPr>
                <w:strike/>
                <w:color w:val="FF0000"/>
                <w:sz w:val="18"/>
                <w:szCs w:val="18"/>
              </w:rPr>
            </w:pPr>
            <w:r w:rsidRPr="00C207BA">
              <w:rPr>
                <w:strike/>
                <w:color w:val="FF0000"/>
                <w:sz w:val="18"/>
                <w:szCs w:val="18"/>
              </w:rPr>
              <w:t>FFS: BWP fallback mechanism which would let NW to control UE panel, i.e. switch to a specific UE panel or panel type when timer expires.</w:t>
            </w:r>
          </w:p>
          <w:p w14:paraId="596DA1B3" w14:textId="77777777" w:rsidR="0074361C" w:rsidRPr="004736E2" w:rsidRDefault="0074361C" w:rsidP="0074361C">
            <w:pPr>
              <w:numPr>
                <w:ilvl w:val="0"/>
                <w:numId w:val="29"/>
              </w:numPr>
              <w:snapToGrid w:val="0"/>
              <w:jc w:val="both"/>
              <w:rPr>
                <w:sz w:val="18"/>
                <w:szCs w:val="18"/>
              </w:rPr>
            </w:pPr>
            <w:r w:rsidRPr="004736E2">
              <w:rPr>
                <w:sz w:val="18"/>
                <w:szCs w:val="18"/>
              </w:rPr>
              <w:t>Alt2: via SRS resource set selection by DCI where each set has different number of ports</w:t>
            </w:r>
          </w:p>
          <w:p w14:paraId="5DE130FC" w14:textId="77777777" w:rsidR="0074361C" w:rsidRPr="004736E2" w:rsidRDefault="0074361C" w:rsidP="0074361C">
            <w:pPr>
              <w:numPr>
                <w:ilvl w:val="1"/>
                <w:numId w:val="29"/>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2C3D9A4C" w14:textId="23210F09" w:rsidR="0074361C" w:rsidRDefault="0074361C" w:rsidP="0074361C">
            <w:pPr>
              <w:snapToGrid w:val="0"/>
              <w:rPr>
                <w:b/>
                <w:color w:val="3333FF"/>
                <w:sz w:val="18"/>
                <w:szCs w:val="18"/>
                <w:lang w:eastAsia="zh-CN"/>
              </w:rPr>
            </w:pPr>
            <w:r w:rsidRPr="004736E2">
              <w:rPr>
                <w:sz w:val="18"/>
                <w:szCs w:val="18"/>
              </w:rPr>
              <w:t>Note2: TPMI/TRI mapping for varying number of SRS ports is already specified for fullpowerMode2.</w:t>
            </w:r>
          </w:p>
        </w:tc>
      </w:tr>
      <w:tr w:rsidR="00EC1ED6" w:rsidRPr="00550C25" w14:paraId="5143EF1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6264" w14:textId="21A3646E" w:rsidR="00EC1ED6" w:rsidRDefault="00EC1ED6" w:rsidP="00EC1ED6">
            <w:pPr>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A35C" w14:textId="77777777" w:rsidR="00EC1ED6" w:rsidRDefault="00EC1ED6" w:rsidP="00EC1ED6">
            <w:pPr>
              <w:snapToGrid w:val="0"/>
              <w:rPr>
                <w:bCs/>
                <w:sz w:val="18"/>
                <w:szCs w:val="18"/>
                <w:lang w:eastAsia="zh-CN"/>
              </w:rPr>
            </w:pPr>
            <w:r w:rsidRPr="00EC1ED6">
              <w:rPr>
                <w:b/>
                <w:sz w:val="18"/>
                <w:szCs w:val="18"/>
                <w:u w:val="single"/>
                <w:lang w:eastAsia="zh-CN"/>
              </w:rPr>
              <w:t xml:space="preserve">4.6. Proposal 4.F: </w:t>
            </w:r>
            <w:r>
              <w:rPr>
                <w:bCs/>
                <w:sz w:val="18"/>
                <w:szCs w:val="18"/>
                <w:lang w:eastAsia="zh-CN"/>
              </w:rPr>
              <w:t xml:space="preserve">From the perspective of protecting beam report, ACK is not needed. </w:t>
            </w:r>
          </w:p>
          <w:p w14:paraId="7497BA43" w14:textId="77777777" w:rsidR="00EC1ED6" w:rsidRDefault="00EC1ED6" w:rsidP="00EC1ED6">
            <w:pPr>
              <w:snapToGrid w:val="0"/>
              <w:rPr>
                <w:bCs/>
                <w:sz w:val="18"/>
                <w:szCs w:val="18"/>
                <w:lang w:eastAsia="zh-CN"/>
              </w:rPr>
            </w:pPr>
            <w:r>
              <w:rPr>
                <w:bCs/>
                <w:sz w:val="18"/>
                <w:szCs w:val="18"/>
                <w:lang w:eastAsia="zh-CN"/>
              </w:rPr>
              <w:t>If we are talking about UE panel assumption, it is better to be explicitly reflected in proposals.</w:t>
            </w:r>
          </w:p>
          <w:p w14:paraId="34BCC33E" w14:textId="251B24EB" w:rsidR="00EC1ED6" w:rsidRDefault="00EC1ED6" w:rsidP="00EC1ED6">
            <w:pPr>
              <w:snapToGrid w:val="0"/>
              <w:rPr>
                <w:bCs/>
                <w:sz w:val="18"/>
                <w:szCs w:val="18"/>
                <w:lang w:eastAsia="zh-CN"/>
              </w:rPr>
            </w:pPr>
            <w:r>
              <w:rPr>
                <w:bCs/>
                <w:sz w:val="18"/>
                <w:szCs w:val="18"/>
                <w:lang w:eastAsia="zh-CN"/>
              </w:rPr>
              <w:t>In our understanding, Alt 1 means UE can only switch to reported panel if indicated TCI state contains reported RS. If indicated TCI state contains NO reported RS, UE cannot use reported panel. It is up to NW whether to indicate TCI state contains reported RS.</w:t>
            </w:r>
            <w:r>
              <w:rPr>
                <w:rFonts w:hint="eastAsia"/>
                <w:bCs/>
                <w:sz w:val="18"/>
                <w:szCs w:val="18"/>
                <w:lang w:eastAsia="zh-CN"/>
              </w:rPr>
              <w:t xml:space="preserve"> </w:t>
            </w:r>
            <w:r>
              <w:rPr>
                <w:bCs/>
                <w:sz w:val="18"/>
                <w:szCs w:val="18"/>
                <w:lang w:eastAsia="zh-CN"/>
              </w:rPr>
              <w:t>If this is the case, it cannot be called as an ‘acknowledgement’, it is just a regular operation that UE can only act upon NW’s indication.</w:t>
            </w:r>
          </w:p>
          <w:p w14:paraId="489AF046" w14:textId="73359FEE" w:rsidR="00EC1ED6" w:rsidRDefault="00EC1ED6" w:rsidP="00EC1ED6">
            <w:pPr>
              <w:snapToGrid w:val="0"/>
              <w:rPr>
                <w:bCs/>
                <w:sz w:val="18"/>
                <w:szCs w:val="18"/>
                <w:lang w:eastAsia="zh-CN"/>
              </w:rPr>
            </w:pPr>
            <w:r>
              <w:rPr>
                <w:bCs/>
                <w:sz w:val="18"/>
                <w:szCs w:val="18"/>
                <w:lang w:eastAsia="zh-CN"/>
              </w:rPr>
              <w:t>In addition, there may be different interpretations on UE panel assumption for Alt</w:t>
            </w:r>
            <w:r w:rsidR="00A366D6">
              <w:rPr>
                <w:bCs/>
                <w:sz w:val="18"/>
                <w:szCs w:val="18"/>
                <w:lang w:eastAsia="zh-CN"/>
              </w:rPr>
              <w:t xml:space="preserve"> </w:t>
            </w:r>
            <w:r>
              <w:rPr>
                <w:bCs/>
                <w:sz w:val="18"/>
                <w:szCs w:val="18"/>
                <w:lang w:eastAsia="zh-CN"/>
              </w:rPr>
              <w:t>4, one is that UE can switch to reported panel right after correspondence reporting, the other is UE cannot switch to the reported panel unless NW indicates a TCI state contains reported RS (which is then basically the same as what Alt1 says).</w:t>
            </w:r>
          </w:p>
          <w:p w14:paraId="641F26DF" w14:textId="77693017" w:rsidR="00EC1ED6" w:rsidRDefault="00EC1ED6" w:rsidP="00EC1ED6">
            <w:pPr>
              <w:snapToGrid w:val="0"/>
              <w:rPr>
                <w:b/>
                <w:sz w:val="18"/>
                <w:szCs w:val="18"/>
                <w:lang w:eastAsia="zh-CN"/>
              </w:rPr>
            </w:pPr>
            <w:r>
              <w:rPr>
                <w:b/>
                <w:sz w:val="18"/>
                <w:szCs w:val="18"/>
                <w:lang w:eastAsia="zh-CN"/>
              </w:rPr>
              <w:t xml:space="preserve">Therefore, we are open to have either Alt1 or Alt4, if clear and explicit UE panel assumption </w:t>
            </w:r>
            <w:r w:rsidR="0083163D">
              <w:rPr>
                <w:b/>
                <w:sz w:val="18"/>
                <w:szCs w:val="18"/>
                <w:lang w:eastAsia="zh-CN"/>
              </w:rPr>
              <w:t>can be</w:t>
            </w:r>
            <w:r>
              <w:rPr>
                <w:b/>
                <w:sz w:val="18"/>
                <w:szCs w:val="18"/>
                <w:lang w:eastAsia="zh-CN"/>
              </w:rPr>
              <w:t xml:space="preserve"> reflected in proposals, for example,</w:t>
            </w:r>
          </w:p>
          <w:p w14:paraId="1A233313" w14:textId="0EF8E896" w:rsidR="00EC1ED6" w:rsidRPr="00EC1ED6" w:rsidRDefault="00EC1ED6" w:rsidP="00EC1ED6">
            <w:pPr>
              <w:numPr>
                <w:ilvl w:val="0"/>
                <w:numId w:val="29"/>
              </w:numPr>
              <w:snapToGrid w:val="0"/>
              <w:jc w:val="both"/>
              <w:rPr>
                <w:b/>
                <w:sz w:val="18"/>
                <w:szCs w:val="18"/>
                <w:lang w:val="en-GB"/>
              </w:rPr>
            </w:pPr>
            <w:r w:rsidRPr="00EC1ED6">
              <w:rPr>
                <w:b/>
                <w:sz w:val="18"/>
                <w:szCs w:val="18"/>
                <w:lang w:val="en-GB"/>
              </w:rPr>
              <w:t xml:space="preserve">Alt-1: </w:t>
            </w:r>
            <w:r>
              <w:rPr>
                <w:b/>
                <w:sz w:val="18"/>
                <w:szCs w:val="18"/>
                <w:lang w:val="en-GB"/>
              </w:rPr>
              <w:t xml:space="preserve">add ‘reported capability value [set] is applied after receiving </w:t>
            </w:r>
            <w:r w:rsidRPr="00EC1ED6">
              <w:rPr>
                <w:b/>
                <w:sz w:val="18"/>
                <w:szCs w:val="18"/>
                <w:lang w:val="en-GB"/>
              </w:rPr>
              <w:t>activated TCI state includes reported RS</w:t>
            </w:r>
            <w:r>
              <w:rPr>
                <w:b/>
                <w:sz w:val="18"/>
                <w:szCs w:val="18"/>
                <w:lang w:val="en-GB"/>
              </w:rPr>
              <w:t>’</w:t>
            </w:r>
          </w:p>
          <w:p w14:paraId="536B0F42" w14:textId="1D64176D" w:rsidR="00EC1ED6" w:rsidRPr="00EC1ED6" w:rsidRDefault="00EC1ED6" w:rsidP="00EC1ED6">
            <w:pPr>
              <w:numPr>
                <w:ilvl w:val="0"/>
                <w:numId w:val="29"/>
              </w:numPr>
              <w:snapToGrid w:val="0"/>
              <w:jc w:val="both"/>
              <w:rPr>
                <w:b/>
                <w:sz w:val="18"/>
                <w:szCs w:val="18"/>
                <w:lang w:val="en-GB"/>
              </w:rPr>
            </w:pPr>
            <w:r w:rsidRPr="00EC1ED6">
              <w:rPr>
                <w:b/>
                <w:sz w:val="18"/>
                <w:szCs w:val="18"/>
                <w:lang w:val="en-GB"/>
              </w:rPr>
              <w:t>Alt-</w:t>
            </w:r>
            <w:r>
              <w:rPr>
                <w:b/>
                <w:sz w:val="18"/>
                <w:szCs w:val="18"/>
                <w:lang w:val="en-GB"/>
              </w:rPr>
              <w:t>4</w:t>
            </w:r>
            <w:r w:rsidRPr="00EC1ED6">
              <w:rPr>
                <w:b/>
                <w:sz w:val="18"/>
                <w:szCs w:val="18"/>
                <w:lang w:val="en-GB"/>
              </w:rPr>
              <w:t xml:space="preserve">: </w:t>
            </w:r>
            <w:r>
              <w:rPr>
                <w:b/>
                <w:sz w:val="18"/>
                <w:szCs w:val="18"/>
                <w:lang w:val="en-GB"/>
              </w:rPr>
              <w:t>add ‘reported capability value [set] is applied after reporting’</w:t>
            </w:r>
          </w:p>
          <w:p w14:paraId="1059E7D2" w14:textId="77777777" w:rsidR="00EC1ED6" w:rsidRPr="00EC1ED6" w:rsidRDefault="00EC1ED6" w:rsidP="00EC1ED6">
            <w:pPr>
              <w:snapToGrid w:val="0"/>
              <w:rPr>
                <w:bCs/>
                <w:sz w:val="18"/>
                <w:szCs w:val="18"/>
                <w:lang w:val="en-GB" w:eastAsia="zh-CN"/>
              </w:rPr>
            </w:pPr>
          </w:p>
          <w:p w14:paraId="65FA600E" w14:textId="2C490BC3" w:rsidR="00EC1ED6" w:rsidRDefault="00EC1ED6" w:rsidP="0083163D">
            <w:pPr>
              <w:snapToGrid w:val="0"/>
              <w:rPr>
                <w:b/>
                <w:sz w:val="18"/>
                <w:szCs w:val="18"/>
                <w:u w:val="single"/>
              </w:rPr>
            </w:pPr>
            <w:r w:rsidRPr="00EC1ED6">
              <w:rPr>
                <w:b/>
                <w:sz w:val="18"/>
                <w:szCs w:val="18"/>
                <w:u w:val="single"/>
                <w:lang w:eastAsia="zh-CN"/>
              </w:rPr>
              <w:t>4.</w:t>
            </w:r>
            <w:r>
              <w:rPr>
                <w:b/>
                <w:sz w:val="18"/>
                <w:szCs w:val="18"/>
                <w:u w:val="single"/>
                <w:lang w:eastAsia="zh-CN"/>
              </w:rPr>
              <w:t>8</w:t>
            </w:r>
            <w:r w:rsidRPr="00EC1ED6">
              <w:rPr>
                <w:b/>
                <w:sz w:val="18"/>
                <w:szCs w:val="18"/>
                <w:u w:val="single"/>
                <w:lang w:eastAsia="zh-CN"/>
              </w:rPr>
              <w:t>. Proposal 4.</w:t>
            </w:r>
            <w:r w:rsidR="0083163D">
              <w:rPr>
                <w:b/>
                <w:sz w:val="18"/>
                <w:szCs w:val="18"/>
                <w:u w:val="single"/>
                <w:lang w:eastAsia="zh-CN"/>
              </w:rPr>
              <w:t>H</w:t>
            </w:r>
            <w:r w:rsidRPr="00EC1ED6">
              <w:rPr>
                <w:b/>
                <w:sz w:val="18"/>
                <w:szCs w:val="18"/>
                <w:u w:val="single"/>
                <w:lang w:eastAsia="zh-CN"/>
              </w:rPr>
              <w:t>:</w:t>
            </w:r>
            <w:r>
              <w:rPr>
                <w:b/>
                <w:sz w:val="18"/>
                <w:szCs w:val="18"/>
                <w:u w:val="single"/>
                <w:lang w:eastAsia="zh-CN"/>
              </w:rPr>
              <w:t xml:space="preserve"> </w:t>
            </w:r>
            <w:r>
              <w:rPr>
                <w:sz w:val="18"/>
                <w:szCs w:val="18"/>
                <w:lang w:eastAsia="zh-CN"/>
              </w:rPr>
              <w:t>S</w:t>
            </w:r>
            <w:r w:rsidRPr="00EC1ED6">
              <w:rPr>
                <w:rFonts w:hint="eastAsia"/>
                <w:sz w:val="18"/>
                <w:szCs w:val="18"/>
                <w:lang w:eastAsia="zh-CN"/>
              </w:rPr>
              <w:t>upport</w:t>
            </w:r>
            <w:r>
              <w:rPr>
                <w:sz w:val="18"/>
                <w:szCs w:val="18"/>
                <w:lang w:eastAsia="zh-CN"/>
              </w:rPr>
              <w:t>.</w:t>
            </w:r>
          </w:p>
        </w:tc>
      </w:tr>
      <w:tr w:rsidR="00DF227B" w:rsidRPr="00550C25" w14:paraId="1A7A0FF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A1BD8" w14:textId="565A1E38" w:rsidR="00DF227B" w:rsidRDefault="00DF227B" w:rsidP="00DF227B">
            <w:pPr>
              <w:snapToGrid w:val="0"/>
              <w:rPr>
                <w:rFonts w:eastAsiaTheme="minorEastAsia" w:hint="eastAsia"/>
                <w:sz w:val="18"/>
                <w:szCs w:val="18"/>
                <w:lang w:eastAsia="zh-CN"/>
              </w:rPr>
            </w:pPr>
            <w:r>
              <w:rPr>
                <w:rFonts w:eastAsiaTheme="minorEastAsia"/>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2947" w14:textId="77777777" w:rsidR="00DF227B" w:rsidRDefault="00DF227B" w:rsidP="00DF227B">
            <w:pPr>
              <w:snapToGrid w:val="0"/>
              <w:rPr>
                <w:b/>
                <w:sz w:val="18"/>
                <w:szCs w:val="18"/>
                <w:lang w:eastAsia="zh-CN"/>
              </w:rPr>
            </w:pPr>
            <w:r>
              <w:rPr>
                <w:b/>
                <w:sz w:val="18"/>
                <w:szCs w:val="18"/>
                <w:lang w:eastAsia="zh-CN"/>
              </w:rPr>
              <w:t>Proposal 4.F</w:t>
            </w:r>
            <w:r w:rsidRPr="00D11129">
              <w:rPr>
                <w:b/>
                <w:sz w:val="18"/>
                <w:szCs w:val="18"/>
                <w:lang w:eastAsia="zh-CN"/>
              </w:rPr>
              <w:t>:</w:t>
            </w:r>
            <w:r>
              <w:rPr>
                <w:b/>
                <w:sz w:val="18"/>
                <w:szCs w:val="18"/>
                <w:lang w:eastAsia="zh-CN"/>
              </w:rPr>
              <w:t xml:space="preserve"> </w:t>
            </w:r>
            <w:r>
              <w:rPr>
                <w:bCs/>
                <w:sz w:val="18"/>
                <w:szCs w:val="18"/>
                <w:lang w:eastAsia="zh-CN"/>
              </w:rPr>
              <w:t>Regarding vivo’s response, from gNB perspective, we can NOT agree with that. The uplink performance loss is a serious issue and may be introduced by many issues. Normally, the gNB will reduce the MCS or RANK or increase Tx power for link adaptation. If the UE can automatically change its capability but gNB can not be aware of this, the network operation will be disruptive.</w:t>
            </w:r>
          </w:p>
          <w:p w14:paraId="50AA67F4" w14:textId="77777777" w:rsidR="00DF227B" w:rsidRDefault="00DF227B" w:rsidP="00DF227B">
            <w:pPr>
              <w:snapToGrid w:val="0"/>
              <w:rPr>
                <w:b/>
                <w:sz w:val="18"/>
                <w:szCs w:val="18"/>
                <w:lang w:eastAsia="zh-CN"/>
              </w:rPr>
            </w:pPr>
          </w:p>
          <w:p w14:paraId="1BEAD1A9" w14:textId="3462C958" w:rsidR="00DF227B" w:rsidRPr="00EC1ED6" w:rsidRDefault="00DF227B" w:rsidP="00DF227B">
            <w:pPr>
              <w:snapToGrid w:val="0"/>
              <w:rPr>
                <w:b/>
                <w:sz w:val="18"/>
                <w:szCs w:val="18"/>
                <w:u w:val="single"/>
                <w:lang w:eastAsia="zh-CN"/>
              </w:rPr>
            </w:pPr>
            <w:r>
              <w:rPr>
                <w:b/>
                <w:sz w:val="18"/>
                <w:szCs w:val="18"/>
                <w:lang w:eastAsia="zh-CN"/>
              </w:rPr>
              <w:t>Proposal 4.H</w:t>
            </w:r>
            <w:r w:rsidRPr="00D11129">
              <w:rPr>
                <w:b/>
                <w:sz w:val="18"/>
                <w:szCs w:val="18"/>
                <w:lang w:eastAsia="zh-CN"/>
              </w:rPr>
              <w:t xml:space="preserve">: </w:t>
            </w:r>
            <w:r>
              <w:rPr>
                <w:bCs/>
                <w:sz w:val="18"/>
                <w:szCs w:val="18"/>
                <w:lang w:eastAsia="zh-CN"/>
              </w:rPr>
              <w:t xml:space="preserve">We can support this proposal. Alternatively, we may only need to introduce a new parameter to enable this UE capability value set report, like Rel-17 parameter </w:t>
            </w:r>
            <w:r w:rsidRPr="00862914">
              <w:rPr>
                <w:bCs/>
                <w:i/>
                <w:sz w:val="18"/>
                <w:szCs w:val="18"/>
                <w:lang w:eastAsia="zh-CN"/>
              </w:rPr>
              <w:t>groupBasedBeamReporting-r17</w:t>
            </w:r>
            <w:r>
              <w:rPr>
                <w:bCs/>
                <w:sz w:val="18"/>
                <w:szCs w:val="18"/>
                <w:lang w:eastAsia="zh-CN"/>
              </w:rPr>
              <w:t xml:space="preserve">. From spec perspective, the latter may have minor RAN1 spec impact, if our motivation is just to reuse what we have in the current spec for L1-RSRP/SINR-beam reporting as much as possible. </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ED8EDD0"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66C1E2BC" w:rsidR="004578F3" w:rsidRDefault="00BF06B4" w:rsidP="00983D6A">
            <w:pPr>
              <w:suppressAutoHyphens/>
              <w:autoSpaceDN w:val="0"/>
              <w:snapToGrid w:val="0"/>
              <w:textAlignment w:val="baseline"/>
              <w:rPr>
                <w:sz w:val="18"/>
                <w:lang w:eastAsia="zh-CN"/>
              </w:rPr>
            </w:pPr>
            <w:r>
              <w:rPr>
                <w:sz w:val="18"/>
                <w:lang w:eastAsia="zh-CN"/>
              </w:rPr>
              <w:t>The Rel-17 P-MPR</w:t>
            </w:r>
            <w:ins w:id="17" w:author="Eko Onggosanusi" w:date="2022-02-23T22:43:00Z">
              <w:r w:rsidR="00983D6A">
                <w:rPr>
                  <w:sz w:val="18"/>
                  <w:lang w:eastAsia="zh-CN"/>
                </w:rPr>
                <w:t xml:space="preserve"> report</w:t>
              </w:r>
            </w:ins>
            <w:r>
              <w:rPr>
                <w:sz w:val="18"/>
                <w:lang w:eastAsia="zh-CN"/>
              </w:rPr>
              <w:t xml:space="preserve"> </w:t>
            </w:r>
            <w:del w:id="18" w:author="Eko Onggosanusi" w:date="2022-02-23T22:43:00Z">
              <w:r w:rsidDel="00983D6A">
                <w:rPr>
                  <w:sz w:val="18"/>
                  <w:lang w:eastAsia="zh-CN"/>
                </w:rPr>
                <w:delText>should be</w:delText>
              </w:r>
            </w:del>
            <w:ins w:id="19" w:author="Eko Onggosanusi" w:date="2022-02-23T22:43:00Z">
              <w:r w:rsidR="00983D6A">
                <w:rPr>
                  <w:sz w:val="18"/>
                  <w:lang w:eastAsia="zh-CN"/>
                </w:rPr>
                <w:t>is</w:t>
              </w:r>
            </w:ins>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3D27AC40"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3E39749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651B4FC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lastRenderedPageBreak/>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44241CE5"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p>
          <w:p w14:paraId="0F45A76D" w14:textId="77777777" w:rsidR="00737CBD" w:rsidRPr="006172B4" w:rsidRDefault="00737CBD" w:rsidP="00737CBD">
            <w:pPr>
              <w:snapToGrid w:val="0"/>
              <w:rPr>
                <w:sz w:val="18"/>
                <w:szCs w:val="20"/>
                <w:lang w:val="en-GB"/>
              </w:rPr>
            </w:pPr>
          </w:p>
          <w:p w14:paraId="6EA38901" w14:textId="48517E8A"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For the enhanced PHR reporting, the issue on reporting Pcmax has not been discussed in detail. The current agreement for MPE mitigation via PHR MAC CE is only to extend N P-MPR (MPE) and the corresponding SSBRI/CRI, but not to be extended for a single pair of Pcmax/PHR as in TS38.321. To our understanding, the purpose of the enhanced PHR reporting is mainly for MPUE where each panel can have different preferred beam (i.e. SSBRI/CRI) and different P-MPR considering the difference of the MPE event on the panels. Hence, it is better to report Pcmax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(Pcmax,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ListParagraph"/>
              <w:numPr>
                <w:ilvl w:val="0"/>
                <w:numId w:val="32"/>
              </w:numPr>
              <w:snapToGrid w:val="0"/>
              <w:rPr>
                <w:sz w:val="18"/>
                <w:lang w:eastAsia="zh-CN"/>
              </w:rPr>
            </w:pPr>
            <w:r>
              <w:rPr>
                <w:sz w:val="18"/>
                <w:lang w:eastAsia="zh-CN"/>
              </w:rPr>
              <w:t>Alt.1: the P-MPR value in only one of N pairs is larger or equal to mpe-Threshold without presence of SSBRI/CRI.</w:t>
            </w:r>
          </w:p>
          <w:p w14:paraId="453CC09A" w14:textId="77777777" w:rsidR="004578F3" w:rsidRDefault="00BF06B4">
            <w:pPr>
              <w:pStyle w:val="ListParagraph"/>
              <w:numPr>
                <w:ilvl w:val="0"/>
                <w:numId w:val="32"/>
              </w:numPr>
              <w:snapToGrid w:val="0"/>
              <w:rPr>
                <w:sz w:val="18"/>
                <w:lang w:eastAsia="zh-CN"/>
              </w:rPr>
            </w:pPr>
            <w:r>
              <w:rPr>
                <w:sz w:val="18"/>
                <w:lang w:eastAsia="zh-CN"/>
              </w:rPr>
              <w:t>Alt.2: the P-MPR value in each of N pairs is lower than mpe-Threshold with presence of SSBRI/CRI.</w:t>
            </w:r>
          </w:p>
          <w:p w14:paraId="46B5B50D" w14:textId="77777777" w:rsidR="004578F3" w:rsidRDefault="00BF06B4">
            <w:pPr>
              <w:snapToGrid w:val="0"/>
              <w:ind w:leftChars="100" w:left="24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ins w:id="20" w:author="Eko Onggosanusi" w:date="2022-02-23T22:40:00Z"/>
                <w:sz w:val="18"/>
                <w:lang w:eastAsia="zh-CN"/>
              </w:rPr>
            </w:pPr>
            <w:ins w:id="21" w:author="Eko Onggosanusi" w:date="2022-02-23T22:40:00Z">
              <w:r>
                <w:rPr>
                  <w:sz w:val="18"/>
                  <w:lang w:eastAsia="zh-CN"/>
                </w:rPr>
                <w:t>[Mod: Given that this is a maintenance phase, Alt2 is not feasible</w:t>
              </w:r>
            </w:ins>
            <w:ins w:id="22" w:author="Eko Onggosanusi" w:date="2022-02-23T22:41:00Z">
              <w:r>
                <w:rPr>
                  <w:sz w:val="18"/>
                  <w:lang w:eastAsia="zh-CN"/>
                </w:rPr>
                <w:t xml:space="preserve"> unless there is consensus. Since the proposal doesn’t seem to receive ample support, adding more alternatives doesn’t seem helpful for improving acceptability</w:t>
              </w:r>
            </w:ins>
            <w:ins w:id="23" w:author="Eko Onggosanusi" w:date="2022-02-23T22:40:00Z">
              <w:r>
                <w:rPr>
                  <w:sz w:val="18"/>
                  <w:lang w:eastAsia="zh-CN"/>
                </w:rPr>
                <w:t>]</w:t>
              </w:r>
            </w:ins>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lastRenderedPageBreak/>
              <w:t>5.4: Similar to the candidate beam reporting in Scell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r>
              <w:rPr>
                <w:sz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 xml:space="preserve">Issue 5.1: @proponents (MediaTek, Samsung), please check OPPO’s input if it is acceptable </w:t>
            </w:r>
          </w:p>
        </w:tc>
      </w:tr>
      <w:tr w:rsidR="00DF227B" w14:paraId="758595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BE28" w14:textId="5A3BC17A" w:rsidR="00DF227B" w:rsidRDefault="00DF227B" w:rsidP="00DF227B">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0CB56" w14:textId="417A57F6" w:rsidR="00DF227B" w:rsidRPr="001B61AB" w:rsidRDefault="00DF227B" w:rsidP="00DF227B">
            <w:pPr>
              <w:snapToGrid w:val="0"/>
              <w:rPr>
                <w:rStyle w:val="00TextChar"/>
                <w:b/>
                <w:color w:val="3333FF"/>
              </w:rPr>
            </w:pPr>
            <w:r>
              <w:rPr>
                <w:rStyle w:val="00TextChar"/>
              </w:rPr>
              <w:t>5.5: We are open to have this enhancement.</w:t>
            </w: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72AED" w14:textId="77777777" w:rsidR="000005ED" w:rsidRDefault="000005ED" w:rsidP="00B17B1D">
      <w:r>
        <w:separator/>
      </w:r>
    </w:p>
  </w:endnote>
  <w:endnote w:type="continuationSeparator" w:id="0">
    <w:p w14:paraId="7E28263D" w14:textId="77777777" w:rsidR="000005ED" w:rsidRDefault="000005ED"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EE197" w14:textId="77777777" w:rsidR="000005ED" w:rsidRDefault="000005ED" w:rsidP="00B17B1D">
      <w:r>
        <w:separator/>
      </w:r>
    </w:p>
  </w:footnote>
  <w:footnote w:type="continuationSeparator" w:id="0">
    <w:p w14:paraId="46249C83" w14:textId="77777777" w:rsidR="000005ED" w:rsidRDefault="000005ED" w:rsidP="00B17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2"/>
  </w:num>
  <w:num w:numId="7">
    <w:abstractNumId w:val="7"/>
  </w:num>
  <w:num w:numId="8">
    <w:abstractNumId w:val="5"/>
  </w:num>
  <w:num w:numId="9">
    <w:abstractNumId w:val="1"/>
  </w:num>
  <w:num w:numId="10">
    <w:abstractNumId w:val="3"/>
  </w:num>
  <w:num w:numId="11">
    <w:abstractNumId w:val="6"/>
  </w:num>
  <w:num w:numId="12">
    <w:abstractNumId w:val="27"/>
  </w:num>
  <w:num w:numId="13">
    <w:abstractNumId w:val="12"/>
  </w:num>
  <w:num w:numId="14">
    <w:abstractNumId w:val="20"/>
  </w:num>
  <w:num w:numId="15">
    <w:abstractNumId w:val="23"/>
  </w:num>
  <w:num w:numId="16">
    <w:abstractNumId w:val="11"/>
  </w:num>
  <w:num w:numId="17">
    <w:abstractNumId w:val="34"/>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3"/>
  </w:num>
  <w:num w:numId="27">
    <w:abstractNumId w:val="29"/>
  </w:num>
  <w:num w:numId="28">
    <w:abstractNumId w:val="28"/>
  </w:num>
  <w:num w:numId="29">
    <w:abstractNumId w:val="31"/>
  </w:num>
  <w:num w:numId="30">
    <w:abstractNumId w:val="10"/>
  </w:num>
  <w:num w:numId="31">
    <w:abstractNumId w:val="30"/>
  </w:num>
  <w:num w:numId="32">
    <w:abstractNumId w:val="16"/>
  </w:num>
  <w:num w:numId="33">
    <w:abstractNumId w:val="19"/>
  </w:num>
  <w:num w:numId="34">
    <w:abstractNumId w:val="19"/>
  </w:num>
  <w:num w:numId="35">
    <w:abstractNumId w:val="26"/>
  </w:num>
  <w:num w:numId="36">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4DF"/>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608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2FCA"/>
    <w:rsid w:val="00E6387C"/>
    <w:rsid w:val="00E6563A"/>
    <w:rsid w:val="00E6644C"/>
    <w:rsid w:val="00E665EC"/>
    <w:rsid w:val="00E66AB5"/>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ED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27C"/>
    <w:rsid w:val="00FD49B8"/>
    <w:rsid w:val="00FD4D03"/>
    <w:rsid w:val="00FD58F1"/>
    <w:rsid w:val="00FD6A7E"/>
    <w:rsid w:val="00FD70AB"/>
    <w:rsid w:val="00FD71ED"/>
    <w:rsid w:val="00FD723F"/>
    <w:rsid w:val="00FD7999"/>
    <w:rsid w:val="00FE1360"/>
    <w:rsid w:val="00FE14DA"/>
    <w:rsid w:val="00FE2FCB"/>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basedOn w:val="Normal"/>
    <w:link w:val="ListParagraphChar"/>
    <w:uiPriority w:val="34"/>
    <w:qFormat/>
    <w:pPr>
      <w:spacing w:after="160"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2DED6E-06D7-44FF-B32A-884E4181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12243</Words>
  <Characters>69791</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3</cp:revision>
  <cp:lastPrinted>2021-10-06T09:28:00Z</cp:lastPrinted>
  <dcterms:created xsi:type="dcterms:W3CDTF">2022-02-24T06:23:00Z</dcterms:created>
  <dcterms:modified xsi:type="dcterms:W3CDTF">2022-02-24T06:26:00Z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