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LG (intra),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ins w:id="4" w:author="Yan Zhou" w:date="2022-02-16T15:42:00Z">
              <w:r w:rsidR="001A391D">
                <w:rPr>
                  <w:sz w:val="18"/>
                  <w:szCs w:val="18"/>
                  <w:lang w:val="en-GB"/>
                </w:rPr>
                <w:t>, Qualcomm</w:t>
              </w:r>
            </w:ins>
            <w:ins w:id="5"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6" w:author="Claes Tidestav" w:date="2022-02-16T11:00:00Z">
              <w:r w:rsidR="00E53611">
                <w:rPr>
                  <w:sz w:val="18"/>
                  <w:szCs w:val="18"/>
                  <w:lang w:val="en-GB"/>
                </w:rPr>
                <w:t>Ericsson</w:t>
              </w:r>
            </w:ins>
            <w:ins w:id="7"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6030DC68" w:rsidR="00DD3493" w:rsidRPr="00EA209B"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8" w:author="Yan Zhou" w:date="2022-02-16T15:46:00Z">
              <w:r w:rsidR="00B55A01">
                <w:rPr>
                  <w:sz w:val="18"/>
                  <w:szCs w:val="18"/>
                  <w:lang w:val="en-GB"/>
                </w:rPr>
                <w:t>, Qualcomm</w:t>
              </w:r>
            </w:ins>
            <w:ins w:id="9" w:author="Yuki Matsumura" w:date="2022-02-17T16:26:00Z">
              <w:r w:rsidR="00EA209B">
                <w:rPr>
                  <w:sz w:val="18"/>
                  <w:szCs w:val="18"/>
                  <w:lang w:val="en-GB"/>
                </w:rPr>
                <w:t xml:space="preserve">, </w:t>
              </w:r>
            </w:ins>
            <w:ins w:id="10" w:author="Yuki Matsumura" w:date="2022-02-17T16:25:00Z">
              <w:r w:rsidR="00EA209B">
                <w:rPr>
                  <w:sz w:val="18"/>
                  <w:szCs w:val="18"/>
                  <w:lang w:val="en-GB"/>
                </w:rPr>
                <w:t>NTT D</w:t>
              </w:r>
            </w:ins>
            <w:ins w:id="11" w:author="Yuki Matsumura" w:date="2022-02-17T16:26:00Z">
              <w:r w:rsidR="00EA209B">
                <w:rPr>
                  <w:sz w:val="18"/>
                  <w:szCs w:val="18"/>
                  <w:lang w:val="en-GB"/>
                </w:rPr>
                <w:t>ocomo</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12" w:author="Claes Tidestav" w:date="2022-02-16T11:00:00Z">
              <w:r w:rsidR="00E53611">
                <w:rPr>
                  <w:sz w:val="18"/>
                  <w:szCs w:val="18"/>
                  <w:lang w:val="en-GB"/>
                </w:rPr>
                <w:t>, Ericsson (not needed)</w:t>
              </w:r>
            </w:ins>
            <w:ins w:id="13"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2074660F"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4" w:author="Claes Tidestav" w:date="2022-02-16T11:00:00Z">
              <w:r w:rsidR="00E53611">
                <w:rPr>
                  <w:sz w:val="18"/>
                  <w:szCs w:val="18"/>
                  <w:lang w:val="en-GB"/>
                </w:rPr>
                <w:t>Ericsson</w:t>
              </w:r>
            </w:ins>
            <w:ins w:id="15" w:author="Emad" w:date="2022-02-16T08:52:00Z">
              <w:r w:rsidR="00BB134C">
                <w:rPr>
                  <w:sz w:val="18"/>
                  <w:szCs w:val="18"/>
                  <w:lang w:val="en-GB"/>
                </w:rPr>
                <w:t>, Samsung</w:t>
              </w:r>
            </w:ins>
            <w:ins w:id="16" w:author="Yuki Matsumura" w:date="2022-02-17T16:26:00Z">
              <w:r w:rsidR="00EA209B">
                <w:rPr>
                  <w:sz w:val="18"/>
                  <w:szCs w:val="18"/>
                  <w:lang w:val="en-GB"/>
                </w:rPr>
                <w:t>, NTT Docomo</w:t>
              </w:r>
            </w:ins>
            <w:r w:rsidR="00AF0799">
              <w:rPr>
                <w:sz w:val="18"/>
                <w:szCs w:val="18"/>
                <w:lang w:val="en-GB"/>
              </w:rPr>
              <w:t>, Fraunhofer IIS/HHI</w:t>
            </w:r>
          </w:p>
          <w:p w14:paraId="7155D495" w14:textId="77777777" w:rsidR="009F4CFB" w:rsidRPr="00227CD5" w:rsidRDefault="009F4CFB" w:rsidP="009F4CFB">
            <w:pPr>
              <w:snapToGrid w:val="0"/>
              <w:rPr>
                <w:sz w:val="18"/>
                <w:szCs w:val="18"/>
                <w:lang w:val="en-GB"/>
              </w:rPr>
            </w:pPr>
          </w:p>
          <w:p w14:paraId="04C95E54" w14:textId="63CBBF49"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17" w:author="Yan Zhou" w:date="2022-02-16T15:47:00Z">
              <w:r w:rsidR="00207125">
                <w:rPr>
                  <w:sz w:val="18"/>
                  <w:szCs w:val="18"/>
                  <w:lang w:val="en-GB"/>
                </w:rPr>
                <w:t>, Qualcomm</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C240A63"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8" w:author="Claes Tidestav" w:date="2022-02-16T11:00:00Z">
              <w:r w:rsidR="00E53611">
                <w:rPr>
                  <w:sz w:val="18"/>
                  <w:szCs w:val="18"/>
                  <w:lang w:val="en-GB"/>
                </w:rPr>
                <w:t>, Ericsson</w:t>
              </w:r>
            </w:ins>
            <w:ins w:id="19" w:author="Emad" w:date="2022-02-16T08:53:00Z">
              <w:r w:rsidR="00BB134C">
                <w:rPr>
                  <w:sz w:val="18"/>
                  <w:szCs w:val="18"/>
                  <w:lang w:val="en-GB"/>
                </w:rPr>
                <w:t>, Samsung</w:t>
              </w:r>
            </w:ins>
            <w:ins w:id="20" w:author="Yuki Matsumura" w:date="2022-02-17T16:26:00Z">
              <w:r w:rsidR="00EA209B">
                <w:rPr>
                  <w:sz w:val="18"/>
                  <w:szCs w:val="18"/>
                  <w:lang w:val="en-GB"/>
                </w:rPr>
                <w:t>, NTT Docomo</w:t>
              </w:r>
            </w:ins>
            <w:r w:rsidR="00AF0799">
              <w:rPr>
                <w:sz w:val="18"/>
                <w:szCs w:val="18"/>
                <w:lang w:val="en-GB"/>
              </w:rPr>
              <w:t>, Fraunhofer IIS/HHI</w:t>
            </w:r>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21" w:author="Yan Zhou" w:date="2022-02-16T15:47:00Z">
              <w:r w:rsidR="008A71FB">
                <w:rPr>
                  <w:sz w:val="18"/>
                  <w:szCs w:val="18"/>
                  <w:lang w:val="en-GB"/>
                </w:rPr>
                <w:t>Qualcomm</w:t>
              </w:r>
              <w:r w:rsidR="00FF5EFD">
                <w:rPr>
                  <w:sz w:val="18"/>
                  <w:szCs w:val="18"/>
                  <w:lang w:val="en-GB"/>
                </w:rPr>
                <w:t xml:space="preserve"> (depends on SS, or only use le</w:t>
              </w:r>
            </w:ins>
            <w:ins w:id="22"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per </w:t>
            </w:r>
            <w:ins w:id="23" w:author="Claes Tidestav" w:date="2022-02-16T11:01:00Z">
              <w:r w:rsidR="00E53611">
                <w:rPr>
                  <w:sz w:val="18"/>
                  <w:szCs w:val="18"/>
                  <w:lang w:val="en-GB"/>
                </w:rPr>
                <w:t>per CSI-RS resource</w:t>
              </w:r>
            </w:ins>
            <w:del w:id="24"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40376766"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p>
          <w:p w14:paraId="2AB49DDF" w14:textId="77777777" w:rsidR="00606740" w:rsidRPr="0069217F" w:rsidRDefault="00606740" w:rsidP="002D6D17">
            <w:pPr>
              <w:snapToGrid w:val="0"/>
              <w:jc w:val="both"/>
              <w:rPr>
                <w:b/>
                <w:sz w:val="18"/>
                <w:szCs w:val="18"/>
                <w:lang w:val="de-DE"/>
              </w:rPr>
            </w:pPr>
          </w:p>
          <w:p w14:paraId="240D7153" w14:textId="22E06CE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ins w:id="25" w:author="Yan Zhou" w:date="2022-02-16T15:48:00Z">
              <w:r w:rsidR="001536E3" w:rsidRPr="0069217F">
                <w:rPr>
                  <w:sz w:val="18"/>
                  <w:szCs w:val="18"/>
                  <w:lang w:val="de-DE"/>
                </w:rPr>
                <w:t>, Qualcomm</w:t>
              </w:r>
            </w:ins>
          </w:p>
          <w:p w14:paraId="38ACDF93" w14:textId="77777777" w:rsidR="00D32BFD" w:rsidRPr="0069217F" w:rsidRDefault="00D32BFD" w:rsidP="002D6D17">
            <w:pPr>
              <w:snapToGrid w:val="0"/>
              <w:jc w:val="both"/>
              <w:rPr>
                <w:b/>
                <w:sz w:val="18"/>
                <w:szCs w:val="18"/>
                <w:lang w:val="de-DE"/>
              </w:rPr>
            </w:pPr>
          </w:p>
          <w:p w14:paraId="30CC97F4" w14:textId="69D89D48"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ins w:id="26" w:author="Claes Tidestav" w:date="2022-02-16T11:01:00Z">
              <w:r w:rsidR="00E53611">
                <w:rPr>
                  <w:bCs/>
                  <w:sz w:val="18"/>
                  <w:szCs w:val="18"/>
                  <w:lang w:val="en-GB"/>
                </w:rPr>
                <w:t>, Ericsson</w:t>
              </w:r>
            </w:ins>
            <w:r w:rsidR="00AF0799">
              <w:rPr>
                <w:bCs/>
                <w:sz w:val="18"/>
                <w:szCs w:val="18"/>
                <w:lang w:val="en-GB"/>
              </w:rPr>
              <w:t xml:space="preserve">, </w:t>
            </w:r>
            <w:ins w:id="27" w:author="Yuki Matsumura" w:date="2022-02-17T16:26:00Z">
              <w:r w:rsidR="00AF0799">
                <w:rPr>
                  <w:sz w:val="18"/>
                  <w:szCs w:val="18"/>
                  <w:lang w:val="en-GB"/>
                </w:rPr>
                <w:t>NTT Docomo</w:t>
              </w:r>
            </w:ins>
            <w:r w:rsidR="00AF0799">
              <w:rPr>
                <w:sz w:val="18"/>
                <w:szCs w:val="18"/>
                <w:lang w:val="en-GB"/>
              </w:rPr>
              <w:t xml:space="preserve">, </w:t>
            </w:r>
            <w:r w:rsidR="00AF0799">
              <w:rPr>
                <w:bCs/>
                <w:sz w:val="18"/>
                <w:szCs w:val="18"/>
                <w:lang w:val="en-GB"/>
              </w:rPr>
              <w:t>Fraunhofer IIS/HHI</w:t>
            </w:r>
          </w:p>
          <w:p w14:paraId="39EEFD6A" w14:textId="77777777" w:rsidR="00AF0799" w:rsidRDefault="00AF0799" w:rsidP="002D6D17">
            <w:pPr>
              <w:snapToGrid w:val="0"/>
              <w:jc w:val="both"/>
              <w:rPr>
                <w:ins w:id="28" w:author="Emad" w:date="2022-02-16T08:53:00Z"/>
                <w:bCs/>
                <w:sz w:val="18"/>
                <w:szCs w:val="18"/>
                <w:lang w:val="en-GB"/>
              </w:rPr>
            </w:pPr>
          </w:p>
          <w:p w14:paraId="2AB439FE" w14:textId="687E3F91" w:rsidR="00BB134C" w:rsidRPr="00227CD5" w:rsidRDefault="00BB134C" w:rsidP="00AF0799">
            <w:pPr>
              <w:snapToGrid w:val="0"/>
              <w:jc w:val="both"/>
              <w:rPr>
                <w:b/>
                <w:sz w:val="18"/>
                <w:szCs w:val="18"/>
                <w:lang w:eastAsia="zh-CN"/>
              </w:rPr>
            </w:pPr>
            <w:ins w:id="29"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ins w:id="30" w:author="Yuki Matsumura" w:date="2022-02-17T16:26:00Z">
              <w:r w:rsidR="00EA209B">
                <w:rPr>
                  <w:sz w:val="18"/>
                  <w:szCs w:val="18"/>
                  <w:lang w:val="en-GB"/>
                </w:rPr>
                <w:t xml:space="preserve"> </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4A41C851"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31" w:author="Claes Tidestav" w:date="2022-02-16T11:01:00Z">
              <w:r w:rsidR="00E53611">
                <w:rPr>
                  <w:bCs/>
                  <w:sz w:val="18"/>
                  <w:szCs w:val="18"/>
                  <w:lang w:val="en-GB"/>
                </w:rPr>
                <w:t>, Ericsson</w:t>
              </w:r>
            </w:ins>
            <w:ins w:id="32" w:author="Emad" w:date="2022-02-16T09:03:00Z">
              <w:r w:rsidR="009961EC">
                <w:rPr>
                  <w:bCs/>
                  <w:sz w:val="18"/>
                  <w:szCs w:val="18"/>
                  <w:lang w:val="en-GB"/>
                </w:rPr>
                <w:t xml:space="preserve">, </w:t>
              </w:r>
              <w:r w:rsidR="009961EC" w:rsidRPr="000C3A26">
                <w:rPr>
                  <w:sz w:val="18"/>
                  <w:szCs w:val="18"/>
                  <w:lang w:val="en-GB"/>
                </w:rPr>
                <w:t>Samsung (issue 1.9 is sufficient)</w:t>
              </w:r>
            </w:ins>
            <w:ins w:id="33" w:author="Yan Zhou" w:date="2022-02-16T15:48:00Z">
              <w:r w:rsidR="00DB6F7D">
                <w:rPr>
                  <w:sz w:val="18"/>
                  <w:szCs w:val="18"/>
                  <w:lang w:val="en-GB"/>
                </w:rPr>
                <w:t>, Qualcomm</w:t>
              </w:r>
            </w:ins>
            <w:ins w:id="34" w:author="Yuki Matsumura" w:date="2022-02-17T16:26:00Z">
              <w:r w:rsidR="00EA209B">
                <w:rPr>
                  <w:sz w:val="18"/>
                  <w:szCs w:val="18"/>
                  <w:lang w:val="en-GB"/>
                </w:rPr>
                <w:t>, NTT Docomo</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Pr="004E1471">
              <w:rPr>
                <w:rFonts w:eastAsia="宋体"/>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4559F527"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35" w:author="Claes Tidestav" w:date="2022-02-16T11:01:00Z">
              <w:r w:rsidR="00E53611">
                <w:rPr>
                  <w:sz w:val="18"/>
                  <w:szCs w:val="18"/>
                  <w:lang w:val="en-GB"/>
                </w:rPr>
                <w:t>, Ericsson (cou</w:t>
              </w:r>
            </w:ins>
            <w:ins w:id="36" w:author="Claes Tidestav" w:date="2022-02-16T11:02:00Z">
              <w:r w:rsidR="00E53611">
                <w:rPr>
                  <w:sz w:val="18"/>
                  <w:szCs w:val="18"/>
                  <w:lang w:val="en-GB"/>
                </w:rPr>
                <w:t>ld be left to UE implementation</w:t>
              </w:r>
            </w:ins>
            <w:ins w:id="37" w:author="Claes Tidestav" w:date="2022-02-16T11:01:00Z">
              <w:r w:rsidR="00E53611">
                <w:rPr>
                  <w:sz w:val="18"/>
                  <w:szCs w:val="18"/>
                  <w:lang w:val="en-GB"/>
                </w:rPr>
                <w:t>)</w:t>
              </w:r>
            </w:ins>
            <w:ins w:id="38" w:author="Yuki Matsumura" w:date="2022-02-17T16:27:00Z">
              <w:r w:rsidR="00EA209B">
                <w:rPr>
                  <w:sz w:val="18"/>
                  <w:szCs w:val="18"/>
                  <w:lang w:val="en-GB"/>
                </w:rPr>
                <w:t xml:space="preserve"> , NTT Docomo</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39"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0400FB4"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40" w:author="Claes Tidestav" w:date="2022-02-16T11:02:00Z">
              <w:r w:rsidR="00E53611">
                <w:rPr>
                  <w:rFonts w:eastAsia="Times New Roman"/>
                  <w:sz w:val="18"/>
                  <w:szCs w:val="18"/>
                </w:rPr>
                <w:t>, Ericsson</w:t>
              </w:r>
            </w:ins>
            <w:ins w:id="41" w:author="Yan Zhou" w:date="2022-02-16T15:49:00Z">
              <w:r w:rsidR="00A73E16">
                <w:rPr>
                  <w:rFonts w:eastAsia="Times New Roman"/>
                  <w:sz w:val="18"/>
                  <w:szCs w:val="18"/>
                </w:rPr>
                <w:t>, Qualcomm</w:t>
              </w:r>
            </w:ins>
            <w:ins w:id="42" w:author="Yuki Matsumura" w:date="2022-02-17T16:27:00Z">
              <w:r w:rsidR="00EA209B">
                <w:rPr>
                  <w:sz w:val="18"/>
                  <w:szCs w:val="18"/>
                  <w:lang w:val="en-GB"/>
                </w:rPr>
                <w:t>, NTT Docomo</w:t>
              </w:r>
            </w:ins>
            <w:r w:rsidR="00AF0799">
              <w:rPr>
                <w:sz w:val="18"/>
                <w:szCs w:val="18"/>
                <w:lang w:val="en-GB"/>
              </w:rPr>
              <w:t>, Fraunhofer IIS/HHI</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9D806B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ins w:id="43" w:author="Yuki Matsumura" w:date="2022-02-17T16:27:00Z">
              <w:r w:rsidR="00EA209B">
                <w:rPr>
                  <w:sz w:val="18"/>
                  <w:szCs w:val="18"/>
                  <w:lang w:val="en-GB"/>
                </w:rPr>
                <w:t>, NTT Docomo (supported by default)</w:t>
              </w:r>
            </w:ins>
            <w:r w:rsidR="00AF0799">
              <w:rPr>
                <w:sz w:val="18"/>
                <w:szCs w:val="18"/>
                <w:lang w:val="en-GB"/>
              </w:rPr>
              <w:t>, Fraunhofer IIS/HHI (supported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lastRenderedPageBreak/>
              <w:t>Concern:</w:t>
            </w:r>
            <w:ins w:id="44" w:author="Claes Tidestav" w:date="2022-02-16T11:02:00Z">
              <w:r w:rsidR="00E53611">
                <w:rPr>
                  <w:b/>
                  <w:sz w:val="18"/>
                  <w:szCs w:val="18"/>
                  <w:lang w:val="en-GB"/>
                </w:rPr>
                <w:t xml:space="preserve"> </w:t>
              </w:r>
              <w:r w:rsidR="00E53611">
                <w:rPr>
                  <w:bCs/>
                  <w:sz w:val="18"/>
                  <w:szCs w:val="18"/>
                  <w:lang w:val="en-GB"/>
                </w:rPr>
                <w:t>Ericssion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lastRenderedPageBreak/>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7C640FE"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ins w:id="45" w:author="Emad" w:date="2022-02-16T09:04:00Z">
              <w:r w:rsidR="009961EC">
                <w:rPr>
                  <w:bCs/>
                  <w:sz w:val="18"/>
                  <w:szCs w:val="18"/>
                </w:rPr>
                <w:t>, Samsung</w:t>
              </w:r>
            </w:ins>
            <w:ins w:id="46" w:author="Yan Zhou" w:date="2022-02-16T15:49:00Z">
              <w:r w:rsidR="00A73E16">
                <w:rPr>
                  <w:bCs/>
                  <w:sz w:val="18"/>
                  <w:szCs w:val="18"/>
                </w:rPr>
                <w:t>, Qualcomm</w:t>
              </w:r>
            </w:ins>
            <w:ins w:id="47" w:author="Yuki Matsumura" w:date="2022-02-17T16:27:00Z">
              <w:r w:rsidR="00EA209B">
                <w:rPr>
                  <w:sz w:val="18"/>
                  <w:szCs w:val="18"/>
                  <w:lang w:val="en-GB"/>
                </w:rPr>
                <w:t>, NTT Docomo</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48"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宋体"/>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49"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QCLed with an SSB </w:t>
            </w:r>
            <w:ins w:id="50"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51"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lastRenderedPageBreak/>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52" w:author="RAN2116bis" w:date="2022-01-26T11:03:00Z"/>
              </w:rPr>
            </w:pPr>
            <w:ins w:id="53" w:author="RAN2116bis" w:date="2022-01-26T11:03:00Z">
              <w:r>
                <w:t>DLorJoint-TCIState-r17 ::=                SEQUENCE {</w:t>
              </w:r>
            </w:ins>
          </w:p>
          <w:p w14:paraId="280F247F" w14:textId="77777777" w:rsidR="00E53611" w:rsidRDefault="00E53611" w:rsidP="00E53611">
            <w:pPr>
              <w:pStyle w:val="PL"/>
              <w:rPr>
                <w:ins w:id="54" w:author="RAN2116bis" w:date="2022-01-26T11:03:00Z"/>
              </w:rPr>
            </w:pPr>
            <w:ins w:id="55" w:author="RAN2116bis" w:date="2022-01-26T11:03:00Z">
              <w:r>
                <w:t xml:space="preserve">     tci-StateUnifiedId-r17                   DLorJoint-TCIState-Id-r17,</w:t>
              </w:r>
            </w:ins>
          </w:p>
          <w:p w14:paraId="67F7F094" w14:textId="77777777" w:rsidR="00E53611" w:rsidRDefault="00E53611" w:rsidP="00E53611">
            <w:pPr>
              <w:pStyle w:val="PL"/>
              <w:rPr>
                <w:ins w:id="56" w:author="RAN2116bis" w:date="2022-01-26T11:03:00Z"/>
              </w:rPr>
            </w:pPr>
            <w:ins w:id="57" w:author="RAN2116bis" w:date="2022-01-26T11:03:00Z">
              <w:r>
                <w:t xml:space="preserve">     tci-StateType-r17                        ENUMERATED {DLOnly, JointULDL},</w:t>
              </w:r>
            </w:ins>
          </w:p>
          <w:p w14:paraId="2DD552CE" w14:textId="77777777" w:rsidR="00E53611" w:rsidRPr="009C7017" w:rsidRDefault="00E53611" w:rsidP="00E53611">
            <w:pPr>
              <w:pStyle w:val="PL"/>
              <w:rPr>
                <w:ins w:id="58" w:author="RAN2116bis" w:date="2022-01-26T11:03:00Z"/>
              </w:rPr>
            </w:pPr>
            <w:ins w:id="59"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60" w:author="RAN2116bis" w:date="2022-01-26T11:03:00Z"/>
                <w:color w:val="808080"/>
              </w:rPr>
            </w:pPr>
            <w:ins w:id="61"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62" w:author="RAN2116bis" w:date="2022-01-26T11:03:00Z"/>
              </w:rPr>
            </w:pPr>
            <w:ins w:id="63"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64"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5"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66"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7"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68" w:author="Claes Tidestav" w:date="2022-02-16T08:34:00Z">
              <w:r>
                <w:rPr>
                  <w:i/>
                  <w:iCs/>
                  <w:color w:val="FF0000"/>
                  <w:sz w:val="18"/>
                  <w:szCs w:val="18"/>
                  <w:u w:val="single"/>
                  <w:lang w:val="en-GB" w:eastAsia="zh-CN"/>
                </w:rPr>
                <w:t>r17</w:t>
              </w:r>
            </w:ins>
            <w:del w:id="69"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0"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1"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72"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3"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74" w:author="Claes Tidestav" w:date="2022-02-16T08:34:00Z">
              <w:r>
                <w:rPr>
                  <w:i/>
                  <w:iCs/>
                  <w:color w:val="FF0000"/>
                  <w:sz w:val="18"/>
                  <w:szCs w:val="18"/>
                  <w:u w:val="single"/>
                  <w:lang w:val="en-GB" w:eastAsia="zh-CN"/>
                </w:rPr>
                <w:t>r17</w:t>
              </w:r>
            </w:ins>
            <w:del w:id="75"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76"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w:t>
            </w:r>
            <w:r>
              <w:rPr>
                <w:sz w:val="18"/>
                <w:szCs w:val="18"/>
                <w:lang w:eastAsia="zh-CN"/>
              </w:rPr>
              <w:lastRenderedPageBreak/>
              <w:t>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w:t>
            </w:r>
            <w:r w:rsidR="0092692C">
              <w:rPr>
                <w:sz w:val="18"/>
                <w:szCs w:val="18"/>
                <w:lang w:eastAsia="zh-CN"/>
              </w:rPr>
              <w:lastRenderedPageBreak/>
              <w:t>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r>
              <w:rPr>
                <w:rFonts w:eastAsia="宋体"/>
                <w:sz w:val="18"/>
                <w:szCs w:val="18"/>
                <w:lang w:eastAsia="zh-CN"/>
              </w:rPr>
              <w:t xml:space="preserve">So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However, the Proposal 1.D implies the USS of CORESET 0 can still not follow the indicated unified TCI based on gNB instruction.</w:t>
            </w:r>
            <w:r w:rsidR="00D7315B">
              <w:rPr>
                <w:rFonts w:eastAsia="宋体"/>
                <w:sz w:val="18"/>
                <w:szCs w:val="18"/>
                <w:lang w:eastAsia="zh-CN"/>
              </w:rPr>
              <w:t xml:space="preserve"> So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r>
              <w:rPr>
                <w:rFonts w:eastAsia="宋体"/>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w:t>
            </w:r>
            <w:r>
              <w:rPr>
                <w:rFonts w:eastAsia="MS Mincho"/>
                <w:bCs/>
                <w:sz w:val="18"/>
                <w:szCs w:val="18"/>
                <w:lang w:eastAsia="ja-JP"/>
              </w:rPr>
              <w:lastRenderedPageBreak/>
              <w:t xml:space="preserve">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xml:space="preserve">”, we also think it can be further clarified. For example, if UE only support one active TCI state, the UE doesn’t monitor PDCCH in CSS of the CORESET. And if UE can support more than </w:t>
            </w:r>
            <w:r>
              <w:rPr>
                <w:bCs/>
                <w:sz w:val="18"/>
                <w:szCs w:val="18"/>
                <w:lang w:eastAsia="zh-CN"/>
              </w:rPr>
              <w:lastRenderedPageBreak/>
              <w:t>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rFonts w:hint="eastAsia"/>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EA209B"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EA209B" w:rsidRPr="00A961B5"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EA209B" w:rsidRPr="00A961B5" w:rsidRDefault="00EA209B" w:rsidP="00EA209B">
            <w:pPr>
              <w:snapToGrid w:val="0"/>
              <w:rPr>
                <w:bCs/>
                <w:sz w:val="18"/>
                <w:szCs w:val="18"/>
                <w:lang w:eastAsia="zh-CN"/>
              </w:rPr>
            </w:pP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A209B" w:rsidRDefault="00EA209B" w:rsidP="00EA209B">
            <w:pPr>
              <w:snapToGrid w:val="0"/>
              <w:rPr>
                <w:color w:val="000000" w:themeColor="text1"/>
                <w:sz w:val="18"/>
                <w:szCs w:val="18"/>
                <w:lang w:eastAsia="zh-CN"/>
              </w:rPr>
            </w:pPr>
          </w:p>
        </w:tc>
      </w:tr>
      <w:tr w:rsidR="00EA209B"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A209B" w:rsidRPr="0076560F" w:rsidRDefault="00EA209B" w:rsidP="00EA209B">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77"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43665337" w:rsidR="00B417A4" w:rsidRDefault="00B417A4" w:rsidP="00B417A4">
            <w:pPr>
              <w:snapToGrid w:val="0"/>
              <w:rPr>
                <w:sz w:val="18"/>
                <w:szCs w:val="18"/>
              </w:rPr>
            </w:pPr>
            <w:r w:rsidRPr="00051246">
              <w:rPr>
                <w:b/>
                <w:sz w:val="18"/>
                <w:szCs w:val="18"/>
              </w:rPr>
              <w:t>PCIs associated with SSBs in a set</w:t>
            </w:r>
            <w:r>
              <w:rPr>
                <w:sz w:val="18"/>
                <w:szCs w:val="18"/>
              </w:rPr>
              <w:t>: Huawei/HiSi</w:t>
            </w:r>
            <w:r w:rsidR="000540A2">
              <w:rPr>
                <w:sz w:val="18"/>
                <w:szCs w:val="18"/>
              </w:rPr>
              <w:t xml:space="preserve">, </w:t>
            </w:r>
            <w:ins w:id="78" w:author="Darcy Tsai" w:date="2022-02-16T11:54:00Z">
              <w:r w:rsidR="000540A2">
                <w:rPr>
                  <w:sz w:val="18"/>
                  <w:szCs w:val="18"/>
                </w:rPr>
                <w:t>MTK</w:t>
              </w:r>
            </w:ins>
            <w:r w:rsidR="006E7BEF">
              <w:rPr>
                <w:sz w:val="18"/>
                <w:szCs w:val="18"/>
              </w:rPr>
              <w:t xml:space="preserve"> </w:t>
            </w:r>
            <w:ins w:id="79" w:author="Darcy Tsai" w:date="2022-02-16T11:54:00Z">
              <w:r w:rsidR="000540A2">
                <w:rPr>
                  <w:sz w:val="18"/>
                  <w:szCs w:val="18"/>
                </w:rPr>
                <w:t>(already agreed)</w:t>
              </w:r>
            </w:ins>
            <w:ins w:id="80" w:author="Yuki Matsumura" w:date="2022-02-17T16:28:00Z">
              <w:r w:rsidR="00EA209B">
                <w:rPr>
                  <w:sz w:val="18"/>
                  <w:szCs w:val="18"/>
                </w:rPr>
                <w:t>, NTT Docomo (already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81"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15C77A40"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82" w:author="Emad" w:date="2022-02-16T09:05:00Z">
              <w:r w:rsidR="009961EC">
                <w:rPr>
                  <w:sz w:val="18"/>
                  <w:szCs w:val="18"/>
                </w:rPr>
                <w:t>, Samsung</w:t>
              </w:r>
            </w:ins>
            <w:ins w:id="83" w:author="Yuki Matsumura" w:date="2022-02-17T16:29:00Z">
              <w:r w:rsidR="00EA209B">
                <w:rPr>
                  <w:sz w:val="18"/>
                  <w:szCs w:val="18"/>
                </w:rPr>
                <w:t>, NTT Docomo</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366CCC73"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84" w:author="Yan Zhou" w:date="2022-02-16T15:50:00Z">
              <w:r w:rsidR="00C85DEF">
                <w:rPr>
                  <w:sz w:val="18"/>
                  <w:szCs w:val="18"/>
                </w:rPr>
                <w:t>, Qualcomm</w:t>
              </w:r>
            </w:ins>
            <w:ins w:id="85" w:author="Yuki Matsumura" w:date="2022-02-17T16:29:00Z">
              <w:r w:rsidR="00EA209B">
                <w:rPr>
                  <w:sz w:val="18"/>
                  <w:szCs w:val="18"/>
                </w:rPr>
                <w:t>, NTT Docomo</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lastRenderedPageBreak/>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ins w:id="86" w:author="Yan Zhou" w:date="2022-02-16T15:50:00Z">
              <w:r w:rsidR="00621A3A">
                <w:rPr>
                  <w:color w:val="3333FF"/>
                  <w:sz w:val="18"/>
                  <w:szCs w:val="18"/>
                  <w:lang w:eastAsia="zh-CN"/>
                </w:rPr>
                <w:t>, Qualcomm</w:t>
              </w:r>
            </w:ins>
          </w:p>
          <w:p w14:paraId="593E2776" w14:textId="57822BCF"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ins w:id="87" w:author="高毓恺" w:date="2022-02-18T10:41:00Z">
              <w:r w:rsidR="00C64FBA">
                <w:rPr>
                  <w:color w:val="3333FF"/>
                  <w:sz w:val="18"/>
                  <w:szCs w:val="18"/>
                  <w:lang w:eastAsia="zh-CN"/>
                </w:rPr>
                <w:t>, NEC</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ins w:id="88"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89" w:author="Darcy Tsai" w:date="2022-02-16T11:58:00Z">
              <w:r w:rsidR="000540A2">
                <w:rPr>
                  <w:sz w:val="18"/>
                  <w:szCs w:val="18"/>
                </w:rPr>
                <w:t xml:space="preserve">(also </w:t>
              </w:r>
            </w:ins>
            <w:ins w:id="90" w:author="Darcy Tsai" w:date="2022-02-16T11:59:00Z">
              <w:r w:rsidR="000540A2">
                <w:rPr>
                  <w:sz w:val="18"/>
                  <w:szCs w:val="18"/>
                </w:rPr>
                <w:t>for non-CA case</w:t>
              </w:r>
            </w:ins>
            <w:ins w:id="91"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ins w:id="92"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93"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51608E1"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94" w:author="Claes Tidestav" w:date="2022-02-16T11:07:00Z">
              <w:r w:rsidR="00E53611">
                <w:rPr>
                  <w:sz w:val="18"/>
                  <w:szCs w:val="20"/>
                  <w:lang w:val="en-GB"/>
                </w:rPr>
                <w:t>, Ericsson (the UE rejects the RRC configuration)</w:t>
              </w:r>
            </w:ins>
            <w:ins w:id="95" w:author="Yuki Matsumura" w:date="2022-02-17T16:30:00Z">
              <w:r w:rsidR="00EA209B">
                <w:rPr>
                  <w:sz w:val="18"/>
                  <w:szCs w:val="20"/>
                  <w:lang w:val="en-GB"/>
                </w:rPr>
                <w:t>, NTT Docomo</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29E29FFB"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96" w:author="Yan Zhou" w:date="2022-02-16T15:51:00Z">
              <w:r w:rsidR="00A67B4C">
                <w:rPr>
                  <w:sz w:val="18"/>
                  <w:szCs w:val="20"/>
                  <w:lang w:val="en-GB"/>
                </w:rPr>
                <w:t>, Qualcomm</w:t>
              </w:r>
            </w:ins>
            <w:ins w:id="97" w:author="Yuki Matsumura" w:date="2022-02-17T16:31:00Z">
              <w:r w:rsidR="00EA209B">
                <w:rPr>
                  <w:sz w:val="18"/>
                  <w:szCs w:val="20"/>
                  <w:lang w:val="en-GB"/>
                </w:rPr>
                <w:t>, NTT Docomo</w:t>
              </w:r>
            </w:ins>
            <w:ins w:id="98" w:author="高毓恺" w:date="2022-02-18T10:41:00Z">
              <w:r w:rsidR="00B971C0">
                <w:rPr>
                  <w:sz w:val="18"/>
                  <w:szCs w:val="20"/>
                  <w:lang w:val="en-GB"/>
                </w:rPr>
                <w:t>, NEC</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99"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lastRenderedPageBreak/>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100"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215B43DB"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101" w:author="Claes Tidestav" w:date="2022-02-16T11:08:00Z">
              <w:r w:rsidR="00E53611">
                <w:rPr>
                  <w:sz w:val="18"/>
                  <w:szCs w:val="20"/>
                  <w:lang w:val="en-GB"/>
                </w:rPr>
                <w:t>, Ericsson</w:t>
              </w:r>
            </w:ins>
            <w:ins w:id="102" w:author="Yuki Matsumura" w:date="2022-02-17T16:31:00Z">
              <w:r w:rsidR="00EA209B">
                <w:rPr>
                  <w:sz w:val="18"/>
                  <w:szCs w:val="20"/>
                  <w:lang w:val="en-GB"/>
                </w:rPr>
                <w:t>, NTT Docomo</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103"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57711B12"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104" w:author="Claes Tidestav" w:date="2022-02-16T11:08:00Z">
              <w:r w:rsidR="00E53611">
                <w:rPr>
                  <w:sz w:val="18"/>
                  <w:szCs w:val="20"/>
                  <w:lang w:val="en-GB"/>
                </w:rPr>
                <w:t>Ericsson</w:t>
              </w:r>
            </w:ins>
            <w:ins w:id="105" w:author="Yuki Matsumura" w:date="2022-02-17T16:31:00Z">
              <w:r w:rsidR="00EA209B">
                <w:rPr>
                  <w:sz w:val="18"/>
                  <w:szCs w:val="20"/>
                  <w:lang w:val="en-GB"/>
                </w:rPr>
                <w:t>, NTT Docomo</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106"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ins w:id="107" w:author="Claes Tidestav" w:date="2022-02-16T11:08:00Z">
              <w:r w:rsidR="00E53611">
                <w:rPr>
                  <w:sz w:val="18"/>
                  <w:szCs w:val="20"/>
                </w:rPr>
                <w:t>Ericssson (not essential)</w:t>
              </w:r>
            </w:ins>
            <w:ins w:id="108"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09"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10"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11"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12" w:author="Darcy Tsai" w:date="2022-02-16T12:11:00Z">
              <w:r>
                <w:rPr>
                  <w:sz w:val="18"/>
                  <w:lang w:eastAsia="zh-CN"/>
                </w:rPr>
                <w:t>(s)</w:t>
              </w:r>
            </w:ins>
            <w:r w:rsidRPr="004F5B24">
              <w:rPr>
                <w:sz w:val="18"/>
                <w:lang w:eastAsia="zh-CN"/>
              </w:rPr>
              <w:t xml:space="preserve"> for common TCI state ID update</w:t>
            </w:r>
            <w:ins w:id="113" w:author="Darcy Tsai" w:date="2022-02-16T10:55:00Z">
              <w:r>
                <w:rPr>
                  <w:sz w:val="18"/>
                  <w:lang w:eastAsia="zh-CN"/>
                </w:rPr>
                <w:t xml:space="preserve"> and activation</w:t>
              </w:r>
            </w:ins>
            <w:r w:rsidRPr="004F5B24">
              <w:rPr>
                <w:sz w:val="18"/>
                <w:lang w:eastAsia="zh-CN"/>
              </w:rPr>
              <w:t>, introduce new RRC parameter(s) to configure the CC list</w:t>
            </w:r>
            <w:ins w:id="114" w:author="Darcy Tsai" w:date="2022-02-16T12:12:00Z">
              <w:r>
                <w:rPr>
                  <w:sz w:val="18"/>
                  <w:lang w:eastAsia="zh-CN"/>
                </w:rPr>
                <w:t>(s)</w:t>
              </w:r>
            </w:ins>
          </w:p>
          <w:p w14:paraId="77470EC0" w14:textId="77777777" w:rsidR="000540A2" w:rsidRPr="006B5ABB" w:rsidRDefault="000540A2" w:rsidP="000540A2">
            <w:pPr>
              <w:pStyle w:val="af0"/>
              <w:numPr>
                <w:ilvl w:val="0"/>
                <w:numId w:val="26"/>
              </w:numPr>
              <w:suppressAutoHyphens/>
              <w:autoSpaceDN w:val="0"/>
              <w:snapToGrid w:val="0"/>
              <w:textAlignment w:val="baseline"/>
              <w:rPr>
                <w:ins w:id="115" w:author="Darcy Tsai" w:date="2022-02-16T12:12:00Z"/>
                <w:sz w:val="18"/>
                <w:szCs w:val="18"/>
              </w:rPr>
            </w:pPr>
            <w:ins w:id="116"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17"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18"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lastRenderedPageBreak/>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lastRenderedPageBreak/>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3D0E7D02" w:rsidR="004A012A" w:rsidRDefault="004A012A" w:rsidP="004F4E12">
            <w:pPr>
              <w:snapToGrid w:val="0"/>
              <w:rPr>
                <w:color w:val="000000" w:themeColor="text1"/>
                <w:sz w:val="18"/>
                <w:szCs w:val="18"/>
                <w:lang w:eastAsia="zh-CN"/>
              </w:rPr>
            </w:pPr>
            <w:r>
              <w:rPr>
                <w:color w:val="000000" w:themeColor="text1"/>
                <w:sz w:val="18"/>
                <w:szCs w:val="18"/>
                <w:lang w:eastAsia="zh-CN"/>
              </w:rPr>
              <w:t>3.7:  sympathize Ericsson’s concern: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EA209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EA209B" w:rsidRPr="004861BB" w:rsidRDefault="00EA209B" w:rsidP="00EA209B">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EA209B" w:rsidRPr="004861BB" w:rsidRDefault="00EA209B" w:rsidP="00EA209B">
            <w:pPr>
              <w:snapToGrid w:val="0"/>
              <w:rPr>
                <w:rFonts w:eastAsia="MS Mincho"/>
                <w:bCs/>
                <w:color w:val="000000" w:themeColor="text1"/>
                <w:sz w:val="18"/>
                <w:szCs w:val="18"/>
                <w:lang w:eastAsia="ja-JP"/>
              </w:rPr>
            </w:pP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EA209B" w:rsidRPr="00477899" w:rsidRDefault="00EA209B" w:rsidP="00EA209B">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EA209B" w:rsidRPr="00477899" w:rsidRDefault="00EA209B" w:rsidP="00EA209B">
            <w:pPr>
              <w:snapToGrid w:val="0"/>
              <w:rPr>
                <w:rFonts w:eastAsia="PMingLiU"/>
                <w:bCs/>
                <w:color w:val="000000" w:themeColor="text1"/>
                <w:sz w:val="18"/>
                <w:szCs w:val="18"/>
                <w:lang w:eastAsia="zh-TW"/>
              </w:rPr>
            </w:pPr>
          </w:p>
        </w:tc>
      </w:tr>
      <w:tr w:rsidR="00EA209B"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EA209B" w:rsidRPr="00FD1F10" w:rsidRDefault="00EA209B" w:rsidP="00EA209B">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EA209B" w:rsidRDefault="00EA209B" w:rsidP="00EA209B">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bookmarkStart w:id="119" w:name="_GoBack"/>
      <w:bookmarkEnd w:id="119"/>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51CC68D2"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393D55">
              <w:rPr>
                <w:bCs/>
                <w:kern w:val="3"/>
                <w:sz w:val="18"/>
                <w:szCs w:val="20"/>
              </w:rPr>
              <w:t>, Fraunhofer IIS/HHI</w:t>
            </w:r>
            <w:r w:rsidR="00AC47CD">
              <w:rPr>
                <w:bCs/>
                <w:kern w:val="3"/>
                <w:sz w:val="18"/>
                <w:szCs w:val="20"/>
              </w:rPr>
              <w:t>, NTT Docomo</w:t>
            </w:r>
            <w:r w:rsidR="00BD39D1">
              <w:rPr>
                <w:bCs/>
                <w:kern w:val="3"/>
                <w:sz w:val="18"/>
                <w:szCs w:val="20"/>
              </w:rPr>
              <w:t>, NEC</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120"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21"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21"/>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7A091C23"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C7755B">
              <w:rPr>
                <w:bCs/>
                <w:kern w:val="3"/>
                <w:sz w:val="18"/>
                <w:szCs w:val="20"/>
              </w:rPr>
              <w:t>, NTT Docomo</w:t>
            </w:r>
            <w:r w:rsidR="00BD39D1">
              <w:rPr>
                <w:bCs/>
                <w:kern w:val="3"/>
                <w:sz w:val="18"/>
                <w:szCs w:val="20"/>
              </w:rPr>
              <w:t>, NEC</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22"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E3B4ECF"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23" w:author="Claes Tidestav" w:date="2022-02-16T11:11:00Z">
              <w:r w:rsidR="00E44B53">
                <w:rPr>
                  <w:bCs/>
                  <w:kern w:val="3"/>
                  <w:sz w:val="18"/>
                  <w:szCs w:val="20"/>
                </w:rPr>
                <w:t>, Ericsson</w:t>
              </w:r>
            </w:ins>
            <w:ins w:id="124"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114CF7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25" w:author="Claes Tidestav" w:date="2022-02-16T11:11:00Z">
              <w:r w:rsidR="00E44B53">
                <w:rPr>
                  <w:bCs/>
                  <w:kern w:val="3"/>
                  <w:sz w:val="18"/>
                  <w:szCs w:val="20"/>
                </w:rPr>
                <w:t>, Ericsson</w:t>
              </w:r>
            </w:ins>
            <w:ins w:id="126" w:author="Yan Zhou" w:date="2022-02-16T15:53:00Z">
              <w:r w:rsidR="00B33671">
                <w:rPr>
                  <w:bCs/>
                  <w:kern w:val="3"/>
                  <w:sz w:val="18"/>
                  <w:szCs w:val="20"/>
                </w:rPr>
                <w:t>, Qualcomm</w:t>
              </w:r>
            </w:ins>
            <w:r w:rsidR="00C7755B">
              <w:rPr>
                <w:bCs/>
                <w:kern w:val="3"/>
                <w:sz w:val="18"/>
                <w:szCs w:val="20"/>
              </w:rPr>
              <w:t>, NTT Docomo</w:t>
            </w:r>
          </w:p>
          <w:p w14:paraId="4C468221" w14:textId="77777777" w:rsidR="004736E2" w:rsidRPr="006B100C" w:rsidRDefault="004736E2" w:rsidP="004736E2">
            <w:pPr>
              <w:rPr>
                <w:bCs/>
                <w:kern w:val="3"/>
                <w:sz w:val="18"/>
                <w:szCs w:val="20"/>
              </w:rPr>
            </w:pPr>
          </w:p>
          <w:p w14:paraId="47FB11E4" w14:textId="1620CFE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393D55">
              <w:rPr>
                <w:bCs/>
                <w:kern w:val="3"/>
                <w:sz w:val="18"/>
                <w:szCs w:val="20"/>
              </w:rPr>
              <w:t>, Fraunhofer IIS/HHI</w:t>
            </w:r>
            <w:r w:rsidR="00BD39D1">
              <w:rPr>
                <w:bCs/>
                <w:kern w:val="3"/>
                <w:sz w:val="18"/>
                <w:szCs w:val="20"/>
              </w:rPr>
              <w:t>, NEC</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27"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27"/>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917C32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28" w:author="Claes Tidestav" w:date="2022-02-16T11:11:00Z">
              <w:r w:rsidR="00E44B53">
                <w:rPr>
                  <w:bCs/>
                  <w:kern w:val="3"/>
                  <w:sz w:val="18"/>
                  <w:szCs w:val="20"/>
                </w:rPr>
                <w:t>, Ericsson</w:t>
              </w:r>
            </w:ins>
            <w:ins w:id="129"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bCs/>
                <w:kern w:val="3"/>
                <w:sz w:val="18"/>
                <w:szCs w:val="20"/>
              </w:rPr>
              <w:t>, NEC</w:t>
            </w:r>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04B551C"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30" w:author="Darcy Tsai" w:date="2022-02-16T12:27:00Z">
              <w:r w:rsidR="006E7BEF">
                <w:rPr>
                  <w:bCs/>
                  <w:kern w:val="3"/>
                  <w:sz w:val="18"/>
                  <w:szCs w:val="20"/>
                </w:rPr>
                <w:t>MTK (Alt1)</w:t>
              </w:r>
            </w:ins>
            <w:ins w:id="131" w:author="Yan Zhou" w:date="2022-02-16T15:53:00Z">
              <w:r w:rsidR="00B33671">
                <w:rPr>
                  <w:bCs/>
                  <w:kern w:val="3"/>
                  <w:sz w:val="18"/>
                  <w:szCs w:val="20"/>
                </w:rPr>
                <w:t xml:space="preserve">, Qualcomm </w:t>
              </w:r>
            </w:ins>
            <w:ins w:id="132" w:author="Yan Zhou" w:date="2022-02-16T15:54:00Z">
              <w:r w:rsidR="00B33671">
                <w:rPr>
                  <w:bCs/>
                  <w:kern w:val="3"/>
                  <w:sz w:val="18"/>
                  <w:szCs w:val="20"/>
                </w:rPr>
                <w:t>(Alt5, use SRS resource set indicator)</w:t>
              </w:r>
            </w:ins>
            <w:r w:rsidR="00347E8D">
              <w:rPr>
                <w:bCs/>
                <w:kern w:val="3"/>
                <w:sz w:val="18"/>
                <w:szCs w:val="20"/>
              </w:rPr>
              <w:t>, NTT Docomo</w:t>
            </w:r>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33"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lastRenderedPageBreak/>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79CD3AF5"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ins w:id="134" w:author="Darcy Tsai" w:date="2022-02-16T12:29:00Z">
              <w:r w:rsidR="006E7BEF">
                <w:rPr>
                  <w:bCs/>
                  <w:kern w:val="3"/>
                  <w:sz w:val="18"/>
                  <w:szCs w:val="20"/>
                </w:rPr>
                <w:t>MTK (Alt1, no spec impact)</w:t>
              </w:r>
            </w:ins>
            <w:r w:rsidR="00AE2E69">
              <w:rPr>
                <w:bCs/>
                <w:kern w:val="3"/>
                <w:sz w:val="18"/>
                <w:szCs w:val="20"/>
              </w:rPr>
              <w:t xml:space="preserve"> , Nokia (Alt-1)</w:t>
            </w:r>
            <w:ins w:id="135" w:author="Yan Zhou" w:date="2022-02-16T15:54:00Z">
              <w:r w:rsidR="00297399">
                <w:rPr>
                  <w:bCs/>
                  <w:kern w:val="3"/>
                  <w:sz w:val="18"/>
                  <w:szCs w:val="20"/>
                </w:rPr>
                <w:t>, Qualcomm (Alt2)</w:t>
              </w:r>
            </w:ins>
            <w:r w:rsidR="0011734E">
              <w:rPr>
                <w:bCs/>
                <w:kern w:val="3"/>
                <w:sz w:val="18"/>
                <w:szCs w:val="20"/>
              </w:rPr>
              <w:t>, NTT Docomo (Alt2)</w:t>
            </w:r>
            <w:r w:rsidR="00BD39D1">
              <w:rPr>
                <w:bCs/>
                <w:kern w:val="3"/>
                <w:sz w:val="18"/>
                <w:szCs w:val="20"/>
              </w:rPr>
              <w:t>, NEC (Alt2)</w:t>
            </w:r>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36" w:author="Claes Tidestav" w:date="2022-02-16T11:11:00Z">
              <w:r w:rsidR="00E44B53">
                <w:rPr>
                  <w:bCs/>
                  <w:kern w:val="3"/>
                  <w:sz w:val="18"/>
                  <w:szCs w:val="20"/>
                  <w:lang w:eastAsia="zh-CN"/>
                </w:rPr>
                <w:t>, E</w:t>
              </w:r>
            </w:ins>
            <w:ins w:id="137"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lastRenderedPageBreak/>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lastRenderedPageBreak/>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610E99"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610E99"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610E99"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610E99"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610E99"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610E99"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610E99"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610E99"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610E99"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610E99"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610E99"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610E99"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610E99"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610E99"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610E99"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610E99"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610E99"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610E99"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610E99"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610E99"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610E99"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610E99"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610E99"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FDC54" w14:textId="77777777" w:rsidR="00B7736B" w:rsidRDefault="00B7736B" w:rsidP="007458B4">
      <w:r>
        <w:separator/>
      </w:r>
    </w:p>
  </w:endnote>
  <w:endnote w:type="continuationSeparator" w:id="0">
    <w:p w14:paraId="08D34B69" w14:textId="77777777" w:rsidR="00B7736B" w:rsidRDefault="00B7736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F9C53" w14:textId="77777777" w:rsidR="00B7736B" w:rsidRDefault="00B7736B" w:rsidP="007458B4">
      <w:r>
        <w:separator/>
      </w:r>
    </w:p>
  </w:footnote>
  <w:footnote w:type="continuationSeparator" w:id="0">
    <w:p w14:paraId="32B1CA01" w14:textId="77777777" w:rsidR="00B7736B" w:rsidRDefault="00B7736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30"/>
  </w:num>
  <w:num w:numId="14">
    <w:abstractNumId w:val="13"/>
  </w:num>
  <w:num w:numId="15">
    <w:abstractNumId w:val="22"/>
  </w:num>
  <w:num w:numId="16">
    <w:abstractNumId w:val="28"/>
  </w:num>
  <w:num w:numId="17">
    <w:abstractNumId w:val="12"/>
  </w:num>
  <w:num w:numId="18">
    <w:abstractNumId w:val="27"/>
  </w:num>
  <w:num w:numId="19">
    <w:abstractNumId w:val="10"/>
  </w:num>
  <w:num w:numId="20">
    <w:abstractNumId w:val="21"/>
  </w:num>
  <w:num w:numId="21">
    <w:abstractNumId w:val="20"/>
  </w:num>
  <w:num w:numId="22">
    <w:abstractNumId w:val="26"/>
  </w:num>
  <w:num w:numId="23">
    <w:abstractNumId w:val="14"/>
  </w:num>
  <w:num w:numId="24">
    <w:abstractNumId w:val="29"/>
  </w:num>
  <w:num w:numId="25">
    <w:abstractNumId w:val="23"/>
  </w:num>
  <w:num w:numId="26">
    <w:abstractNumId w:val="18"/>
  </w:num>
  <w:num w:numId="27">
    <w:abstractNumId w:val="15"/>
  </w:num>
  <w:num w:numId="28">
    <w:abstractNumId w:val="24"/>
  </w:num>
  <w:num w:numId="29">
    <w:abstractNumId w:val="25"/>
  </w:num>
  <w:num w:numId="30">
    <w:abstractNumId w:val="19"/>
  </w:num>
  <w:num w:numId="31">
    <w:abstractNumId w:val="31"/>
  </w:num>
  <w:num w:numId="32">
    <w:abstractNumId w:val="32"/>
  </w:num>
  <w:num w:numId="33">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None" w15:userId="Claes Tidestav"/>
  </w15:person>
  <w15:person w15:author="Yan Zhou">
    <w15:presenceInfo w15:providerId="AD" w15:userId="S::yanzhou@qti.qualcomm.com::b34e7faa-9289-4c9b-82d4-a6f73ea0bb68"/>
  </w15:person>
  <w15:person w15:author="Yuki Matsumura">
    <w15:presenceInfo w15:providerId="None" w15:userId="Yuki Matsumura"/>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4998"/>
    <w:rsid w:val="00015488"/>
    <w:rsid w:val="00023A26"/>
    <w:rsid w:val="00023C80"/>
    <w:rsid w:val="0002557F"/>
    <w:rsid w:val="0003060C"/>
    <w:rsid w:val="00031729"/>
    <w:rsid w:val="0003223A"/>
    <w:rsid w:val="000343FA"/>
    <w:rsid w:val="00034E7E"/>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E32"/>
    <w:rsid w:val="00367934"/>
    <w:rsid w:val="00367C9E"/>
    <w:rsid w:val="0037359D"/>
    <w:rsid w:val="003745D1"/>
    <w:rsid w:val="003747D4"/>
    <w:rsid w:val="00374ED9"/>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3D55"/>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11EF"/>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217F"/>
    <w:rsid w:val="00693264"/>
    <w:rsid w:val="0069381A"/>
    <w:rsid w:val="006964F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CF5"/>
    <w:rsid w:val="008001DD"/>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2B82"/>
    <w:rsid w:val="008848F8"/>
    <w:rsid w:val="008869E5"/>
    <w:rsid w:val="00886B57"/>
    <w:rsid w:val="0089105B"/>
    <w:rsid w:val="00891B7A"/>
    <w:rsid w:val="0089399E"/>
    <w:rsid w:val="00893E6D"/>
    <w:rsid w:val="0089407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6624"/>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2BD"/>
    <w:rsid w:val="009C0CBB"/>
    <w:rsid w:val="009C41FA"/>
    <w:rsid w:val="009C4A30"/>
    <w:rsid w:val="009C5431"/>
    <w:rsid w:val="009C592B"/>
    <w:rsid w:val="009C598C"/>
    <w:rsid w:val="009C7F08"/>
    <w:rsid w:val="009D00B9"/>
    <w:rsid w:val="009D554A"/>
    <w:rsid w:val="009D602D"/>
    <w:rsid w:val="009D753D"/>
    <w:rsid w:val="009D78AF"/>
    <w:rsid w:val="009D7F61"/>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99"/>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EE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56E"/>
    <w:rsid w:val="00B769F7"/>
    <w:rsid w:val="00B7736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954"/>
    <w:rsid w:val="00BB061A"/>
    <w:rsid w:val="00BB09E3"/>
    <w:rsid w:val="00BB134C"/>
    <w:rsid w:val="00BB1637"/>
    <w:rsid w:val="00BB1F9F"/>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39D1"/>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57"/>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e">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23</Pages>
  <Words>11958</Words>
  <Characters>68164</Characters>
  <Application>Microsoft Office Word</Application>
  <DocSecurity>0</DocSecurity>
  <Lines>568</Lines>
  <Paragraphs>159</Paragraphs>
  <ScaleCrop>false</ScaleCrop>
  <HeadingPairs>
    <vt:vector size="8" baseType="variant">
      <vt:variant>
        <vt:lpstr>Titel</vt:lpstr>
      </vt:variant>
      <vt:variant>
        <vt:i4>1</vt:i4>
      </vt:variant>
      <vt:variant>
        <vt:lpstr>タイトル</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79963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高毓恺</cp:lastModifiedBy>
  <cp:revision>16</cp:revision>
  <cp:lastPrinted>2021-10-06T09:28:00Z</cp:lastPrinted>
  <dcterms:created xsi:type="dcterms:W3CDTF">2022-02-18T01:57:00Z</dcterms:created>
  <dcterms:modified xsi:type="dcterms:W3CDTF">2022-02-18T02:46:00Z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