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82126"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r>
        <w:rPr>
          <w:b/>
          <w:kern w:val="2"/>
          <w:lang w:eastAsia="zh-CN"/>
        </w:rPr>
        <w:t>e-Meeting</w:t>
      </w:r>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HiSilicon</w:t>
      </w:r>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Heading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MS Mincho"/>
          <w:lang w:eastAsia="ja-JP"/>
        </w:rPr>
      </w:pPr>
      <w:r>
        <w:rPr>
          <w:rFonts w:eastAsia="MS Mincho"/>
          <w:lang w:eastAsia="ja-JP"/>
        </w:rPr>
        <w:t>In [1], it is observed, perhaps also well-understood as explicitly captured in specifications that, a</w:t>
      </w:r>
      <w:r w:rsidRPr="000259B4">
        <w:rPr>
          <w:rFonts w:eastAsia="MS Mincho"/>
          <w:lang w:eastAsia="ja-JP"/>
        </w:rPr>
        <w:t xml:space="preserve"> UE on BWP#0 </w:t>
      </w:r>
      <w:r>
        <w:rPr>
          <w:rFonts w:eastAsia="MS Mincho"/>
          <w:lang w:eastAsia="ja-JP"/>
        </w:rPr>
        <w:t xml:space="preserve">with option 1 </w:t>
      </w:r>
      <w:r w:rsidRPr="000259B4">
        <w:rPr>
          <w:rFonts w:eastAsia="MS Mincho"/>
          <w:lang w:eastAsia="ja-JP"/>
        </w:rPr>
        <w:t>can only be used for limited manner with common configurations, e.g. random access, and can only be switched from that by RRC reconfiguration</w:t>
      </w:r>
      <w:r>
        <w:rPr>
          <w:rFonts w:eastAsia="MS Mincho"/>
          <w:lang w:eastAsia="ja-JP"/>
        </w:rPr>
        <w:t>, once it is switched onto this BWP#0</w:t>
      </w:r>
      <w:r w:rsidRPr="000259B4">
        <w:rPr>
          <w:rFonts w:eastAsia="MS Mincho"/>
          <w:lang w:eastAsia="ja-JP"/>
        </w:rPr>
        <w:t>.</w:t>
      </w:r>
      <w:r w:rsidR="00EF7E04">
        <w:rPr>
          <w:rFonts w:eastAsia="MS Mincho"/>
          <w:lang w:eastAsia="ja-JP"/>
        </w:rPr>
        <w:t xml:space="preserve"> </w:t>
      </w:r>
    </w:p>
    <w:p w14:paraId="013803A0" w14:textId="77777777" w:rsidR="00EF7E04" w:rsidRDefault="00EF7E04" w:rsidP="00C12BC1">
      <w:pPr>
        <w:rPr>
          <w:rFonts w:eastAsia="MS Mincho"/>
          <w:lang w:eastAsia="ja-JP"/>
        </w:rPr>
      </w:pPr>
      <w:r>
        <w:rPr>
          <w:rFonts w:eastAsia="MS Mincho"/>
          <w:lang w:eastAsia="ja-JP"/>
        </w:rPr>
        <w:t>When a BWP is switched via DCI indication onto the BWP#0 with configuration option 1, if false alarm occurs and a UE switched to BWP#0 mistakenly, there could be misunderstanding between a UE and gNB when the default BWP is not configured. The above configurations can be typical in e.g. URLLC-like services thus the impact can be significant.</w:t>
      </w:r>
    </w:p>
    <w:p w14:paraId="013803A1" w14:textId="77777777" w:rsidR="00EF7E04" w:rsidRDefault="00EF7E04" w:rsidP="00EF7E04">
      <w:pPr>
        <w:rPr>
          <w:rFonts w:eastAsia="MS Mincho"/>
          <w:lang w:eastAsia="ja-JP"/>
        </w:rPr>
      </w:pPr>
      <w:r>
        <w:rPr>
          <w:rFonts w:eastAsia="MS Mincho"/>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[108-e-NR-CRs-16] Issue#21 Clarification on the initial BWP switching – ???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tdoc: </w:t>
      </w:r>
      <w:hyperlink r:id="rId8" w:history="1">
        <w:r>
          <w:rPr>
            <w:rStyle w:val="Hyperlink"/>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MS Mincho"/>
          <w:lang w:eastAsia="ja-JP"/>
        </w:rPr>
      </w:pPr>
    </w:p>
    <w:p w14:paraId="013803A6" w14:textId="77777777" w:rsidR="000259B4" w:rsidRPr="00CF195E" w:rsidRDefault="000259B4" w:rsidP="00C12BC1">
      <w:pPr>
        <w:rPr>
          <w:rFonts w:eastAsia="MS Mincho"/>
          <w:lang w:eastAsia="ja-JP"/>
        </w:rPr>
      </w:pPr>
      <w:r>
        <w:rPr>
          <w:rFonts w:eastAsia="MS Mincho"/>
          <w:lang w:eastAsia="ja-JP"/>
        </w:rPr>
        <w:t>Some technical understanding of the issue would be helpful. Therefore, the discussion is comprised of two aspects</w:t>
      </w:r>
      <w:r w:rsidR="00AA0E69">
        <w:rPr>
          <w:rFonts w:eastAsia="MS Mincho"/>
          <w:lang w:eastAsia="ja-JP"/>
        </w:rPr>
        <w:t xml:space="preserve"> also considering companies input from preparation phase</w:t>
      </w:r>
      <w:r>
        <w:rPr>
          <w:rFonts w:eastAsia="MS Mincho"/>
          <w:lang w:eastAsia="ja-JP"/>
        </w:rPr>
        <w:t>: is there any use case to use DCI based BWP switching to switch another BWP to the BWP#0 with configuration option 1, and is it possible to mitigate/overcome the issue with minimized/no specification impact and impact</w:t>
      </w:r>
      <w:r w:rsidR="00EF7E04">
        <w:rPr>
          <w:rFonts w:eastAsia="MS Mincho"/>
          <w:lang w:eastAsia="ja-JP"/>
        </w:rPr>
        <w:t xml:space="preserve"> on the real site implementations</w:t>
      </w:r>
      <w:r>
        <w:rPr>
          <w:rFonts w:eastAsia="MS Mincho"/>
          <w:lang w:eastAsia="ja-JP"/>
        </w:rPr>
        <w:t>.</w:t>
      </w:r>
    </w:p>
    <w:p w14:paraId="013803A7" w14:textId="77777777" w:rsidR="009A3A86" w:rsidRPr="00CF195E" w:rsidRDefault="00956E05" w:rsidP="00CF195E">
      <w:pPr>
        <w:pStyle w:val="Heading1"/>
      </w:pPr>
      <w:bookmarkStart w:id="2" w:name="_Ref129681832"/>
      <w:r>
        <w:t>Discussion</w:t>
      </w:r>
      <w:r w:rsidR="00EF7E04">
        <w:t xml:space="preserve"> Point 1</w:t>
      </w:r>
      <w:r>
        <w:t xml:space="preserve"> </w:t>
      </w:r>
    </w:p>
    <w:p w14:paraId="013803A8" w14:textId="77777777" w:rsidR="00AD11CD" w:rsidRPr="00FD5300" w:rsidRDefault="004806C4" w:rsidP="00FD5300">
      <w:pPr>
        <w:pStyle w:val="ListParagraph"/>
        <w:numPr>
          <w:ilvl w:val="0"/>
          <w:numId w:val="33"/>
        </w:numPr>
        <w:rPr>
          <w:rFonts w:eastAsia="MS Mincho"/>
          <w:b/>
          <w:lang w:eastAsia="ja-JP"/>
        </w:rPr>
      </w:pPr>
      <w:r>
        <w:rPr>
          <w:rFonts w:eastAsia="MS Mincho"/>
          <w:b/>
          <w:lang w:eastAsia="ja-JP"/>
        </w:rPr>
        <w:t xml:space="preserve">Is there any </w:t>
      </w:r>
      <w:r w:rsidR="00EF7E04" w:rsidRPr="00FD5300">
        <w:rPr>
          <w:rFonts w:eastAsia="MS Mincho"/>
          <w:b/>
          <w:lang w:eastAsia="ja-JP"/>
        </w:rPr>
        <w:t>potential use case or motivation for gNB to use DCI indic</w:t>
      </w:r>
      <w:r w:rsidR="00AA0E69" w:rsidRPr="00FD5300">
        <w:rPr>
          <w:rFonts w:eastAsia="MS Mincho"/>
          <w:b/>
          <w:lang w:eastAsia="ja-JP"/>
        </w:rPr>
        <w:t>ating</w:t>
      </w:r>
      <w:r w:rsidR="00EF7E04" w:rsidRPr="00FD5300">
        <w:rPr>
          <w:rFonts w:eastAsia="MS Mincho"/>
          <w:b/>
          <w:lang w:eastAsia="ja-JP"/>
        </w:rPr>
        <w:t xml:space="preserve"> a UE </w:t>
      </w:r>
      <w:r w:rsidR="00AA0E69" w:rsidRPr="00FD5300">
        <w:rPr>
          <w:rFonts w:eastAsia="MS Mincho"/>
          <w:b/>
          <w:lang w:eastAsia="ja-JP"/>
        </w:rPr>
        <w:t xml:space="preserve">to </w:t>
      </w:r>
      <w:r w:rsidR="00EF7E04" w:rsidRPr="00FD5300">
        <w:rPr>
          <w:rFonts w:eastAsia="MS Mincho"/>
          <w:b/>
          <w:lang w:eastAsia="ja-JP"/>
        </w:rPr>
        <w:t xml:space="preserve">perform BWP switching onto BWP#0 configuration option 1? </w:t>
      </w:r>
      <w:r w:rsidR="00BE6DFE" w:rsidRPr="00FD5300">
        <w:rPr>
          <w:rFonts w:eastAsia="MS Mincho"/>
          <w:b/>
          <w:lang w:eastAsia="ja-JP"/>
        </w:rPr>
        <w:t xml:space="preserve"> </w:t>
      </w:r>
    </w:p>
    <w:p w14:paraId="013803A9" w14:textId="77777777" w:rsidR="00A84E27" w:rsidRDefault="00AA0E69" w:rsidP="0037552D">
      <w:pPr>
        <w:rPr>
          <w:rFonts w:eastAsiaTheme="minorEastAsia"/>
          <w:lang w:eastAsia="zh-CN"/>
        </w:rPr>
      </w:pPr>
      <w:r>
        <w:rPr>
          <w:rFonts w:eastAsia="MS Mincho"/>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gNB can use non-fallback DCI to fast resume the UE to a target BWP thus the impact on services can be minimized. When it comes to BWP#0 with option 1, since DCI based BWP switch cannot be used, it has to rely on gNB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gNB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TableGrid"/>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Huawei, HiSilicon</w:t>
            </w:r>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purpose to introduce DCI-based BWP switching is changing the BWP quickly </w:t>
            </w:r>
            <w:r>
              <w:rPr>
                <w:rFonts w:eastAsiaTheme="minorEastAsia"/>
                <w:lang w:eastAsia="zh-CN"/>
              </w:rPr>
              <w:lastRenderedPageBreak/>
              <w:t xml:space="preserve">and have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gNB decide to do so. Anyway, it is up to gNB’s choice. </w:t>
            </w:r>
          </w:p>
        </w:tc>
      </w:tr>
      <w:tr w:rsidR="006A2F08" w14:paraId="51D2BCA1" w14:textId="77777777" w:rsidTr="004806C4">
        <w:tc>
          <w:tcPr>
            <w:tcW w:w="1696" w:type="dxa"/>
          </w:tcPr>
          <w:p w14:paraId="0A188685" w14:textId="1CB29AC7"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69ED5B41" w14:textId="5E070CC8" w:rsidR="006A2F08" w:rsidRPr="006A2F08" w:rsidRDefault="006A2F08" w:rsidP="006A2F08">
            <w:pPr>
              <w:rPr>
                <w:rFonts w:eastAsiaTheme="minorEastAsia"/>
                <w:lang w:eastAsia="zh-CN"/>
              </w:rPr>
            </w:pPr>
            <w:r w:rsidRPr="006A2F08">
              <w:rPr>
                <w:rFonts w:eastAsia="Malgun Gothic"/>
                <w:lang w:eastAsia="ko-KR"/>
              </w:rPr>
              <w:t xml:space="preserve">It’s up to gNB’s implementation. As mentioned by ZTE, BWP#0 might be used for power saving purpose or other purpose. </w:t>
            </w:r>
          </w:p>
        </w:tc>
      </w:tr>
      <w:tr w:rsidR="00A010DF" w14:paraId="529D15D0" w14:textId="77777777" w:rsidTr="004806C4">
        <w:tc>
          <w:tcPr>
            <w:tcW w:w="1696" w:type="dxa"/>
          </w:tcPr>
          <w:p w14:paraId="60ABEE19" w14:textId="3B5B9C73" w:rsidR="00A010DF" w:rsidRPr="006A2F08" w:rsidRDefault="00A010DF" w:rsidP="006A2F08">
            <w:pPr>
              <w:rPr>
                <w:rFonts w:eastAsia="Malgun Gothic"/>
                <w:lang w:eastAsia="ko-KR"/>
              </w:rPr>
            </w:pPr>
            <w:r>
              <w:rPr>
                <w:rFonts w:eastAsia="Malgun Gothic"/>
                <w:lang w:eastAsia="ko-KR"/>
              </w:rPr>
              <w:t>Intel</w:t>
            </w:r>
          </w:p>
        </w:tc>
        <w:tc>
          <w:tcPr>
            <w:tcW w:w="7611" w:type="dxa"/>
          </w:tcPr>
          <w:p w14:paraId="3EDA2A7F" w14:textId="0C3348E5" w:rsidR="00A010DF" w:rsidRPr="006A2F08" w:rsidRDefault="00D8085C" w:rsidP="006A2F08">
            <w:pPr>
              <w:rPr>
                <w:rFonts w:eastAsia="Malgun Gothic"/>
                <w:lang w:eastAsia="ko-KR"/>
              </w:rPr>
            </w:pPr>
            <w:r>
              <w:rPr>
                <w:rFonts w:eastAsia="Malgun Gothic"/>
                <w:lang w:eastAsia="ko-KR"/>
              </w:rPr>
              <w:t xml:space="preserve">This configuration is currently allowed by specs and whether to use it is up to gNB implementation. </w:t>
            </w:r>
            <w:r w:rsidR="005A14C8">
              <w:rPr>
                <w:rFonts w:eastAsia="Malgun Gothic"/>
                <w:lang w:eastAsia="ko-KR"/>
              </w:rPr>
              <w:t>Typical use-case for DCI-based BWP switching is the obvious one – UE power savings in adaptation to traffic conditions</w:t>
            </w:r>
            <w:r w:rsidR="009F6AD0">
              <w:rPr>
                <w:rFonts w:eastAsia="Malgun Gothic"/>
                <w:lang w:eastAsia="ko-KR"/>
              </w:rPr>
              <w:t>, and is also applicable regardless of BWP#0 configuration options 1 or 2.</w:t>
            </w:r>
          </w:p>
        </w:tc>
      </w:tr>
      <w:tr w:rsidR="00DA3BA9" w14:paraId="674D465B" w14:textId="77777777" w:rsidTr="004806C4">
        <w:tc>
          <w:tcPr>
            <w:tcW w:w="1696" w:type="dxa"/>
          </w:tcPr>
          <w:p w14:paraId="4E893DCB" w14:textId="1A910D25"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02147EB3" w14:textId="49B20721" w:rsidR="00DA3BA9" w:rsidRPr="00DA3BA9" w:rsidRDefault="00DA3BA9" w:rsidP="006A2F08">
            <w:pPr>
              <w:rPr>
                <w:rFonts w:eastAsiaTheme="minorEastAsia"/>
                <w:lang w:eastAsia="zh-CN"/>
              </w:rPr>
            </w:pPr>
            <w:r>
              <w:rPr>
                <w:rFonts w:eastAsiaTheme="minorEastAsia" w:hint="eastAsia"/>
                <w:lang w:eastAsia="zh-CN"/>
              </w:rPr>
              <w:t>We agree with the comments above that it is not precluded and can be up to gNB implementation.</w:t>
            </w:r>
          </w:p>
        </w:tc>
      </w:tr>
      <w:tr w:rsidR="00292723" w14:paraId="2D654AC9" w14:textId="77777777" w:rsidTr="004806C4">
        <w:tc>
          <w:tcPr>
            <w:tcW w:w="1696" w:type="dxa"/>
          </w:tcPr>
          <w:p w14:paraId="147CAD33" w14:textId="72B84F15" w:rsidR="00292723" w:rsidRDefault="00292723" w:rsidP="00292723">
            <w:pPr>
              <w:rPr>
                <w:rFonts w:eastAsiaTheme="minorEastAsia"/>
                <w:lang w:eastAsia="zh-CN"/>
              </w:rPr>
            </w:pPr>
            <w:r>
              <w:rPr>
                <w:rFonts w:eastAsia="Malgun Gothic"/>
                <w:lang w:eastAsia="ko-KR"/>
              </w:rPr>
              <w:t>NTT DOCOMO</w:t>
            </w:r>
          </w:p>
        </w:tc>
        <w:tc>
          <w:tcPr>
            <w:tcW w:w="7611" w:type="dxa"/>
          </w:tcPr>
          <w:p w14:paraId="0E0D4038" w14:textId="23BED097" w:rsidR="00292723" w:rsidRDefault="00292723" w:rsidP="00292723">
            <w:pPr>
              <w:rPr>
                <w:rFonts w:eastAsiaTheme="minorEastAsia"/>
                <w:lang w:eastAsia="zh-CN"/>
              </w:rPr>
            </w:pPr>
            <w:r w:rsidRPr="007148C6">
              <w:rPr>
                <w:rFonts w:eastAsia="Malgun Gothic"/>
                <w:lang w:eastAsia="ko-KR"/>
              </w:rPr>
              <w:t>We don't see the specific use case, although the case is supported by current UEs.</w:t>
            </w:r>
          </w:p>
        </w:tc>
      </w:tr>
      <w:tr w:rsidR="00FC0BDB" w14:paraId="260EEEB8" w14:textId="77777777" w:rsidTr="00FC0BDB">
        <w:tc>
          <w:tcPr>
            <w:tcW w:w="1696" w:type="dxa"/>
          </w:tcPr>
          <w:p w14:paraId="60A1B6FA" w14:textId="77777777" w:rsidR="00FC0BDB" w:rsidRDefault="00FC0BDB" w:rsidP="009E7C1B">
            <w:r>
              <w:t>Huawei, HiSilicon2</w:t>
            </w:r>
          </w:p>
        </w:tc>
        <w:tc>
          <w:tcPr>
            <w:tcW w:w="7611" w:type="dxa"/>
          </w:tcPr>
          <w:p w14:paraId="36F58357" w14:textId="77777777" w:rsidR="00FC0BDB" w:rsidRDefault="00FC0BDB" w:rsidP="009E7C1B">
            <w:pPr>
              <w:rPr>
                <w:rFonts w:ascii="Calibri" w:hAnsi="Calibri" w:cs="Calibri"/>
              </w:rPr>
            </w:pPr>
            <w:r>
              <w:t>@ZTE, Intel</w:t>
            </w:r>
          </w:p>
          <w:p w14:paraId="03BC7760" w14:textId="77777777" w:rsidR="00FC0BDB" w:rsidRDefault="00FC0BDB" w:rsidP="009E7C1B">
            <w:r>
              <w:t>Using DCI based BWP switching for UE power saving is one possibility in general. However, for BWP#0 with configuration option 1 since the UE cannot switch back by DCI, RRC reconfiguration is needed anyway. Then wouldn’t the UE goes into inactive state or idle state directly is a better choice for gNB, which can provide the same functions (e.g. random access) as the UE stays on BWP#0 with Opt1 but save more power? Why gNB would use DCI to indicate the BWP switch in this special case and then use RRC to further resume the UE, with limited benefits?</w:t>
            </w:r>
          </w:p>
          <w:p w14:paraId="703C5E63" w14:textId="77777777" w:rsidR="00FC0BDB" w:rsidRDefault="00FC0BDB" w:rsidP="009E7C1B">
            <w:r>
              <w:t>@Qualcomm</w:t>
            </w:r>
          </w:p>
          <w:p w14:paraId="56FDE4DD" w14:textId="77777777" w:rsidR="00FC0BDB" w:rsidRDefault="00FC0BDB" w:rsidP="009E7C1B">
            <w:r>
              <w:t>The response does not seem to correctly answer the question (use case) and it is even not correct to say: DCI is applicable for switching between BWP#0 and non-zero BWP, since it cannot be used for switching back from the latter to the former.</w:t>
            </w:r>
          </w:p>
          <w:p w14:paraId="6541D783" w14:textId="77777777" w:rsidR="00FC0BDB" w:rsidRDefault="00FC0BDB" w:rsidP="009E7C1B"/>
          <w:p w14:paraId="29F5A5A4" w14:textId="77777777" w:rsidR="00FC0BDB" w:rsidRDefault="00FC0BDB" w:rsidP="009E7C1B">
            <w:r>
              <w:t>@Ericsson, vivo</w:t>
            </w:r>
          </w:p>
          <w:p w14:paraId="4FE05161" w14:textId="77777777" w:rsidR="00FC0BDB" w:rsidRDefault="00FC0BDB" w:rsidP="009E7C1B">
            <w:r>
              <w:t>Thanks. It is right and we are also seeking for an approach with minimized impact on existing devices.</w:t>
            </w:r>
          </w:p>
          <w:p w14:paraId="6B9ED70B" w14:textId="77777777" w:rsidR="00FC0BDB" w:rsidRDefault="00FC0BDB" w:rsidP="009E7C1B">
            <w:bookmarkStart w:id="3" w:name="_GoBack"/>
            <w:bookmarkEnd w:id="3"/>
          </w:p>
          <w:p w14:paraId="47ACB4E9" w14:textId="77777777" w:rsidR="00FC0BDB" w:rsidRDefault="00FC0BDB" w:rsidP="009E7C1B">
            <w:r>
              <w:t>@Samsung</w:t>
            </w:r>
          </w:p>
          <w:p w14:paraId="47A5287C" w14:textId="77777777" w:rsidR="00FC0BDB" w:rsidRDefault="00FC0BDB" w:rsidP="009E7C1B">
            <w:r>
              <w:lastRenderedPageBreak/>
              <w:t>What is exactly the other purpose?</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MS Mincho"/>
          <w:lang w:eastAsia="ja-JP"/>
        </w:rPr>
      </w:pPr>
    </w:p>
    <w:p w14:paraId="013803B8" w14:textId="77777777" w:rsidR="00EF7E04" w:rsidRPr="00CF195E" w:rsidRDefault="00EF7E04" w:rsidP="00EF7E04">
      <w:pPr>
        <w:pStyle w:val="Heading1"/>
      </w:pPr>
      <w:r>
        <w:t xml:space="preserve">Discussion Point 2 </w:t>
      </w:r>
    </w:p>
    <w:p w14:paraId="013803B9" w14:textId="77777777" w:rsidR="00EF7E04" w:rsidRPr="00FD5300" w:rsidRDefault="00EF7E04" w:rsidP="00FD5300">
      <w:pPr>
        <w:pStyle w:val="ListParagraph"/>
        <w:numPr>
          <w:ilvl w:val="0"/>
          <w:numId w:val="33"/>
        </w:numPr>
        <w:rPr>
          <w:rFonts w:eastAsia="MS Mincho"/>
          <w:b/>
          <w:lang w:eastAsia="ja-JP"/>
        </w:rPr>
      </w:pPr>
      <w:r w:rsidRPr="00FD5300">
        <w:rPr>
          <w:rFonts w:eastAsia="MS Mincho"/>
          <w:b/>
          <w:lang w:eastAsia="ja-JP"/>
        </w:rPr>
        <w:t>Is it possible to have minimized</w:t>
      </w:r>
      <w:r w:rsidR="00AA0E69" w:rsidRPr="00FD5300">
        <w:rPr>
          <w:rFonts w:eastAsia="MS Mincho"/>
          <w:b/>
          <w:lang w:eastAsia="ja-JP"/>
        </w:rPr>
        <w:t>/no</w:t>
      </w:r>
      <w:r w:rsidRPr="00FD5300">
        <w:rPr>
          <w:rFonts w:eastAsia="MS Mincho"/>
          <w:b/>
          <w:lang w:eastAsia="ja-JP"/>
        </w:rPr>
        <w:t xml:space="preserve"> specification/implementation impact to avoid the issue </w:t>
      </w:r>
      <w:r w:rsidR="00AA0E69" w:rsidRPr="00FD5300">
        <w:rPr>
          <w:rFonts w:eastAsia="MS Mincho"/>
          <w:b/>
          <w:lang w:eastAsia="ja-JP"/>
        </w:rPr>
        <w:t>as identified in [1]</w:t>
      </w:r>
      <w:r w:rsidRPr="00FD5300">
        <w:rPr>
          <w:rFonts w:eastAsia="MS Mincho"/>
          <w:b/>
          <w:lang w:eastAsia="ja-JP"/>
        </w:rPr>
        <w:t xml:space="preserve">?  </w:t>
      </w:r>
    </w:p>
    <w:p w14:paraId="013803BA" w14:textId="77777777" w:rsidR="005E22AC" w:rsidRDefault="00AA0E69" w:rsidP="00EF7E04">
      <w:pPr>
        <w:rPr>
          <w:rFonts w:eastAsia="MS Mincho"/>
          <w:lang w:eastAsia="ja-JP"/>
        </w:rPr>
      </w:pPr>
      <w:r>
        <w:rPr>
          <w:rFonts w:eastAsia="MS Mincho"/>
          <w:lang w:eastAsia="ja-JP"/>
        </w:rPr>
        <w:t xml:space="preserve">During the preparation phase discussion, there are several companies mentioning that there would be gNB implementation approaches to resolve this, e.g. configuring a default BWP or using BWP#0 configuration option 2. However, it is moderator understanding that these </w:t>
      </w:r>
      <w:r w:rsidR="004806C4">
        <w:rPr>
          <w:rFonts w:eastAsia="MS Mincho"/>
          <w:lang w:eastAsia="ja-JP"/>
        </w:rPr>
        <w:t xml:space="preserve">mentioned counter-configurations </w:t>
      </w:r>
      <w:r>
        <w:rPr>
          <w:rFonts w:eastAsia="MS Mincho"/>
          <w:lang w:eastAsia="ja-JP"/>
        </w:rPr>
        <w:t xml:space="preserve">will actually impose an even restricted configuration to gNB, compared with the proposal </w:t>
      </w:r>
      <w:r w:rsidRPr="00AA0E69">
        <w:rPr>
          <w:rFonts w:eastAsia="MS Mincho"/>
          <w:lang w:eastAsia="ja-JP"/>
        </w:rPr>
        <w:t>in [1]</w:t>
      </w:r>
      <w:r>
        <w:rPr>
          <w:rFonts w:eastAsia="MS Mincho"/>
          <w:lang w:eastAsia="ja-JP"/>
        </w:rPr>
        <w:t xml:space="preserve"> (i.e.,</w:t>
      </w:r>
      <w:r w:rsidRPr="00AA0E69">
        <w:rPr>
          <w:rFonts w:eastAsia="MS Mincho"/>
          <w:lang w:eastAsia="ja-JP"/>
        </w:rPr>
        <w:t xml:space="preserve"> to conclude that when </w:t>
      </w:r>
      <w:r w:rsidRPr="00AA0E69">
        <w:rPr>
          <w:rFonts w:eastAsia="MS Mincho"/>
          <w:i/>
          <w:lang w:eastAsia="ja-JP"/>
        </w:rPr>
        <w:t>bwp-InactivityTimer</w:t>
      </w:r>
      <w:r w:rsidRPr="00AA0E69">
        <w:rPr>
          <w:rFonts w:eastAsia="MS Mincho"/>
          <w:lang w:eastAsia="ja-JP"/>
        </w:rPr>
        <w:t xml:space="preserve"> is not configured by gNB, a UE does not expect to receive a DCI format to switch from a BWP to BWP#0 with option 1</w:t>
      </w:r>
      <w:r>
        <w:rPr>
          <w:rFonts w:eastAsia="MS Mincho"/>
          <w:lang w:eastAsia="ja-JP"/>
        </w:rPr>
        <w:t>)</w:t>
      </w:r>
      <w:r w:rsidRPr="00AA0E69">
        <w:rPr>
          <w:rFonts w:eastAsia="MS Mincho"/>
          <w:lang w:eastAsia="ja-JP"/>
        </w:rPr>
        <w:t>.</w:t>
      </w:r>
      <w:r>
        <w:rPr>
          <w:rFonts w:eastAsia="MS Mincho"/>
          <w:lang w:eastAsia="ja-JP"/>
        </w:rPr>
        <w:t xml:space="preserve"> </w:t>
      </w:r>
      <w:r w:rsidR="004806C4">
        <w:rPr>
          <w:rFonts w:eastAsia="MS Mincho"/>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MS Mincho"/>
          <w:lang w:eastAsia="ja-JP"/>
        </w:rPr>
      </w:pPr>
      <w:r>
        <w:rPr>
          <w:rFonts w:eastAsia="MS Mincho"/>
          <w:lang w:eastAsia="ja-JP"/>
        </w:rPr>
        <w:t xml:space="preserve">It is also moderator understanding that if there is no clear motivation/use case based on the discussion point 1, </w:t>
      </w:r>
      <w:r w:rsidR="004806C4">
        <w:rPr>
          <w:rFonts w:eastAsia="MS Mincho"/>
          <w:lang w:eastAsia="ja-JP"/>
        </w:rPr>
        <w:t>the proposal in [1]</w:t>
      </w:r>
      <w:r>
        <w:rPr>
          <w:rFonts w:eastAsia="MS Mincho"/>
          <w:lang w:eastAsia="ja-JP"/>
        </w:rPr>
        <w:t xml:space="preserve"> </w:t>
      </w:r>
      <w:r w:rsidR="004806C4">
        <w:rPr>
          <w:rFonts w:eastAsia="MS Mincho"/>
          <w:lang w:eastAsia="ja-JP"/>
        </w:rPr>
        <w:t>could</w:t>
      </w:r>
      <w:r>
        <w:rPr>
          <w:rFonts w:eastAsia="MS Mincho"/>
          <w:lang w:eastAsia="ja-JP"/>
        </w:rPr>
        <w:t xml:space="preserve"> be </w:t>
      </w:r>
      <w:r w:rsidR="004806C4">
        <w:rPr>
          <w:rFonts w:eastAsia="MS Mincho"/>
          <w:lang w:eastAsia="ja-JP"/>
        </w:rPr>
        <w:t>the</w:t>
      </w:r>
      <w:r>
        <w:rPr>
          <w:rFonts w:eastAsia="MS Mincho"/>
          <w:lang w:eastAsia="ja-JP"/>
        </w:rPr>
        <w:t xml:space="preserve"> simplest outcome without specification changes and real sites implementation impact.</w:t>
      </w:r>
      <w:r w:rsidR="004806C4">
        <w:rPr>
          <w:rFonts w:eastAsia="MS Mincho"/>
          <w:lang w:eastAsia="ja-JP"/>
        </w:rPr>
        <w:t xml:space="preserve"> However, with more discussion based on the above, there </w:t>
      </w:r>
      <w:r w:rsidR="005E22AC">
        <w:rPr>
          <w:rFonts w:eastAsia="MS Mincho"/>
          <w:lang w:eastAsia="ja-JP"/>
        </w:rPr>
        <w:t>could</w:t>
      </w:r>
      <w:r w:rsidR="004806C4">
        <w:rPr>
          <w:rFonts w:eastAsia="MS Mincho"/>
          <w:lang w:eastAsia="ja-JP"/>
        </w:rPr>
        <w:t xml:space="preserve"> be other potential conclusion</w:t>
      </w:r>
      <w:r w:rsidR="005E22AC">
        <w:rPr>
          <w:rFonts w:eastAsia="MS Mincho"/>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TableGrid"/>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rom our perspective, the current specification works well. BWP switching to BWP#0 is the same as other BWP switching. From UE perspective, it seems no 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has to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t>Huawei, HiSilicon</w:t>
            </w:r>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gNB implementation will make the situation and gNB configuration more complex. To avoid the service interruption due to switching to BWP#0 with option 1, gNB has to be mandated to configure a default 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UE-gNB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default BWP) 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r w:rsidR="00EF1D96" w:rsidRPr="00AA0E69">
              <w:rPr>
                <w:rFonts w:eastAsia="MS Mincho"/>
                <w:i/>
                <w:lang w:eastAsia="ja-JP"/>
              </w:rPr>
              <w:t>bwp-InactivityTimer</w:t>
            </w:r>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r w:rsidRPr="00BE4FFB">
              <w:rPr>
                <w:b/>
                <w:bCs/>
                <w:i/>
                <w:iCs/>
                <w:lang w:val="en-GB" w:eastAsia="ja-JP"/>
              </w:rPr>
              <w:t>bwp-InactivityTimer</w:t>
            </w:r>
            <w:r w:rsidRPr="00BE4FFB">
              <w:rPr>
                <w:b/>
                <w:bCs/>
                <w:lang w:val="en-GB"/>
              </w:rPr>
              <w:t>” with a short value</w:t>
            </w:r>
            <w:r>
              <w:rPr>
                <w:lang w:val="en-GB"/>
              </w:rPr>
              <w:t xml:space="preserve"> and set the “</w:t>
            </w:r>
            <w:r w:rsidRPr="00BE4FFB">
              <w:rPr>
                <w:b/>
                <w:bCs/>
                <w:i/>
                <w:iCs/>
                <w:lang w:val="en-GB" w:eastAsia="ja-JP"/>
              </w:rPr>
              <w:t>defaultDownlinkBWP-Id</w:t>
            </w:r>
            <w:r w:rsidRPr="00BE4FFB">
              <w:rPr>
                <w:b/>
                <w:bCs/>
                <w:lang w:val="en-GB"/>
              </w:rPr>
              <w:t>” to BWP#1</w:t>
            </w:r>
            <w:r>
              <w:rPr>
                <w:lang w:val="en-GB"/>
              </w:rPr>
              <w:t>. Then the UE should move back to BWP#1 quickly upon those false alarms. So, the issue doesn’t seem to be essential</w:t>
            </w:r>
            <w:r w:rsidR="00C56B9A">
              <w:rPr>
                <w:lang w:val="en-GB"/>
              </w:rPr>
              <w:t>, the spec works well</w:t>
            </w:r>
            <w:r>
              <w:rPr>
                <w:lang w:val="en-GB"/>
              </w:rPr>
              <w:t xml:space="preserve">. We don’t </w:t>
            </w:r>
            <w:r w:rsidR="00C56B9A">
              <w:rPr>
                <w:lang w:val="en-GB"/>
              </w:rPr>
              <w:t xml:space="preserve">see </w:t>
            </w:r>
            <w:r w:rsidR="00C56B9A">
              <w:rPr>
                <w:lang w:val="en-GB"/>
              </w:rPr>
              <w:lastRenderedPageBreak/>
              <w:t xml:space="preserve">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gNB can avoid such BWP switching by its configuration or scheduling decision, this should solve the issue already. The residue issue, caused by PDCCH false alarm, is corner case, and does not motivate a special handling in the specification. </w:t>
            </w:r>
          </w:p>
        </w:tc>
      </w:tr>
      <w:tr w:rsidR="006A2F08" w14:paraId="428283F1" w14:textId="77777777" w:rsidTr="00466752">
        <w:tc>
          <w:tcPr>
            <w:tcW w:w="1696" w:type="dxa"/>
          </w:tcPr>
          <w:p w14:paraId="09D9908C" w14:textId="512276BC"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7A8B066D" w14:textId="0A1E0BBC" w:rsidR="006A2F08" w:rsidRPr="006A2F08" w:rsidRDefault="006A2F08" w:rsidP="006A2F08">
            <w:pPr>
              <w:rPr>
                <w:rFonts w:eastAsiaTheme="minorEastAsia"/>
                <w:lang w:eastAsia="zh-CN"/>
              </w:rPr>
            </w:pPr>
            <w:r w:rsidRPr="006A2F08">
              <w:rPr>
                <w:rFonts w:eastAsia="Malgun Gothic" w:hint="eastAsia"/>
                <w:lang w:eastAsia="ko-KR"/>
              </w:rPr>
              <w:t xml:space="preserve">We are not supportive of the proposed </w:t>
            </w:r>
            <w:r>
              <w:rPr>
                <w:rFonts w:eastAsia="Malgun Gothic"/>
                <w:lang w:eastAsia="ko-KR"/>
              </w:rPr>
              <w:t>clarification</w:t>
            </w:r>
            <w:r w:rsidRPr="006A2F08">
              <w:rPr>
                <w:rFonts w:eastAsia="Malgun Gothic" w:hint="eastAsia"/>
                <w:lang w:eastAsia="ko-KR"/>
              </w:rPr>
              <w:t xml:space="preserve">. </w:t>
            </w:r>
            <w:r w:rsidRPr="006A2F08">
              <w:rPr>
                <w:rFonts w:eastAsia="Malgun Gothic"/>
                <w:lang w:eastAsia="ko-KR"/>
              </w:rPr>
              <w:t xml:space="preserve">First, we already have several ways on this </w:t>
            </w:r>
            <w:r>
              <w:rPr>
                <w:rFonts w:eastAsia="Malgun Gothic"/>
                <w:lang w:eastAsia="ko-KR"/>
              </w:rPr>
              <w:t>case</w:t>
            </w:r>
            <w:r w:rsidRPr="006A2F08">
              <w:rPr>
                <w:rFonts w:eastAsia="Malgun Gothic"/>
                <w:lang w:eastAsia="ko-KR"/>
              </w:rPr>
              <w:t xml:space="preserve">, for example, configure </w:t>
            </w:r>
            <w:r w:rsidRPr="006A2F08">
              <w:rPr>
                <w:rFonts w:eastAsia="Malgun Gothic"/>
                <w:i/>
                <w:lang w:eastAsia="ko-KR"/>
              </w:rPr>
              <w:t>bwp-InactivityTimer</w:t>
            </w:r>
            <w:r w:rsidRPr="006A2F08">
              <w:rPr>
                <w:rFonts w:eastAsia="Malgun Gothic"/>
                <w:lang w:eastAsia="ko-KR"/>
              </w:rPr>
              <w:t xml:space="preserve"> or</w:t>
            </w:r>
            <w:r w:rsidRPr="006A2F08">
              <w:rPr>
                <w:rFonts w:eastAsia="Malgun Gothic"/>
                <w:i/>
                <w:lang w:eastAsia="ko-KR"/>
              </w:rPr>
              <w:t xml:space="preserve"> </w:t>
            </w:r>
            <w:r w:rsidRPr="006A2F08">
              <w:rPr>
                <w:rFonts w:eastAsia="Malgun Gothic"/>
                <w:lang w:eastAsia="ko-KR"/>
              </w:rPr>
              <w:t>BWP#0 with</w:t>
            </w:r>
            <w:r w:rsidRPr="006A2F08">
              <w:rPr>
                <w:rFonts w:eastAsia="Malgun Gothic"/>
                <w:i/>
                <w:lang w:eastAsia="ko-KR"/>
              </w:rPr>
              <w:t xml:space="preserve"> </w:t>
            </w:r>
            <w:r w:rsidRPr="006A2F08">
              <w:rPr>
                <w:rFonts w:eastAsia="MS Mincho"/>
                <w:lang w:eastAsia="ja-JP"/>
              </w:rPr>
              <w:t>configuration option 2</w:t>
            </w:r>
            <w:r w:rsidRPr="006A2F08">
              <w:rPr>
                <w:rFonts w:eastAsia="Malgun Gothic"/>
                <w:i/>
                <w:lang w:eastAsia="ko-KR"/>
              </w:rPr>
              <w:t xml:space="preserve">. </w:t>
            </w:r>
            <w:r w:rsidRPr="006A2F08">
              <w:rPr>
                <w:rFonts w:eastAsia="Malgun Gothic"/>
                <w:lang w:eastAsia="ko-KR"/>
              </w:rPr>
              <w:t xml:space="preserve">Even though the </w:t>
            </w:r>
            <w:r>
              <w:rPr>
                <w:rFonts w:eastAsia="Malgun Gothic"/>
                <w:lang w:eastAsia="ko-KR"/>
              </w:rPr>
              <w:t>proposed conclusion is not agreed</w:t>
            </w:r>
            <w:r w:rsidRPr="006A2F08">
              <w:rPr>
                <w:rFonts w:eastAsia="Malgun Gothic"/>
                <w:lang w:eastAsia="ko-KR"/>
              </w:rPr>
              <w:t xml:space="preserve">, the gNB can use </w:t>
            </w:r>
            <w:r w:rsidRPr="006A2F08">
              <w:rPr>
                <w:rFonts w:eastAsia="Malgun Gothic"/>
                <w:i/>
                <w:lang w:eastAsia="ko-KR"/>
              </w:rPr>
              <w:t>RRC</w:t>
            </w:r>
            <w:r>
              <w:rPr>
                <w:rFonts w:eastAsia="Malgun Gothic"/>
                <w:i/>
                <w:lang w:eastAsia="ko-KR"/>
              </w:rPr>
              <w:t>R</w:t>
            </w:r>
            <w:r w:rsidRPr="006A2F08">
              <w:rPr>
                <w:rFonts w:eastAsia="Malgun Gothic"/>
                <w:i/>
                <w:lang w:eastAsia="ko-KR"/>
              </w:rPr>
              <w:t xml:space="preserve">econfiguration, </w:t>
            </w:r>
            <w:r w:rsidRPr="006A2F08">
              <w:rPr>
                <w:rFonts w:eastAsia="Malgun Gothic"/>
                <w:lang w:eastAsia="ko-KR"/>
              </w:rPr>
              <w:t xml:space="preserve">so that the current specification works well. Second, it is the case caused by PDCCH false alarm. Given the CRC length in NR, the </w:t>
            </w:r>
            <w:r>
              <w:rPr>
                <w:rFonts w:eastAsia="Malgun Gothic"/>
                <w:lang w:eastAsia="ko-KR"/>
              </w:rPr>
              <w:t>false alarm rate is quite small and the specification is not needed to handle every false alarm cases. -</w:t>
            </w:r>
          </w:p>
        </w:tc>
      </w:tr>
      <w:tr w:rsidR="009F6AD0" w14:paraId="27674308" w14:textId="77777777" w:rsidTr="00466752">
        <w:tc>
          <w:tcPr>
            <w:tcW w:w="1696" w:type="dxa"/>
          </w:tcPr>
          <w:p w14:paraId="45E3EE5D" w14:textId="27E78CEE" w:rsidR="009F6AD0" w:rsidRPr="006A2F08" w:rsidRDefault="009F6AD0" w:rsidP="006A2F08">
            <w:pPr>
              <w:rPr>
                <w:rFonts w:eastAsia="Malgun Gothic"/>
                <w:lang w:eastAsia="ko-KR"/>
              </w:rPr>
            </w:pPr>
            <w:r>
              <w:rPr>
                <w:rFonts w:eastAsia="Malgun Gothic"/>
                <w:lang w:eastAsia="ko-KR"/>
              </w:rPr>
              <w:t>Intel</w:t>
            </w:r>
          </w:p>
        </w:tc>
        <w:tc>
          <w:tcPr>
            <w:tcW w:w="7611" w:type="dxa"/>
          </w:tcPr>
          <w:p w14:paraId="20F5E47D" w14:textId="77777777" w:rsidR="00636A88" w:rsidRDefault="009F6AD0" w:rsidP="006A2F08">
            <w:pPr>
              <w:rPr>
                <w:rFonts w:eastAsia="Malgun Gothic"/>
                <w:lang w:eastAsia="ko-KR"/>
              </w:rPr>
            </w:pPr>
            <w:r>
              <w:rPr>
                <w:rFonts w:eastAsia="Malgun Gothic"/>
                <w:lang w:eastAsia="ko-KR"/>
              </w:rPr>
              <w:t xml:space="preserve">Agree with </w:t>
            </w:r>
            <w:r w:rsidR="00636A88">
              <w:rPr>
                <w:rFonts w:eastAsia="Malgun Gothic"/>
                <w:lang w:eastAsia="ko-KR"/>
              </w:rPr>
              <w:t>most</w:t>
            </w:r>
            <w:r>
              <w:rPr>
                <w:rFonts w:eastAsia="Malgun Gothic"/>
                <w:lang w:eastAsia="ko-KR"/>
              </w:rPr>
              <w:t xml:space="preserve"> views above that the existing specs are sufficiently clear already and there is nothing to clarify. </w:t>
            </w:r>
          </w:p>
          <w:p w14:paraId="543C4671" w14:textId="2168272E" w:rsidR="009F6AD0" w:rsidRPr="006A2F08" w:rsidRDefault="003D4E01" w:rsidP="006A2F08">
            <w:pPr>
              <w:rPr>
                <w:rFonts w:eastAsia="Malgun Gothic"/>
                <w:lang w:eastAsia="ko-KR"/>
              </w:rPr>
            </w:pPr>
            <w:r>
              <w:rPr>
                <w:rFonts w:eastAsia="Malgun Gothic"/>
                <w:lang w:eastAsia="ko-KR"/>
              </w:rPr>
              <w:t>The false error issue is a corner case to begin with</w:t>
            </w:r>
            <w:r w:rsidR="00636A88">
              <w:rPr>
                <w:rFonts w:eastAsia="Malgun Gothic"/>
                <w:lang w:eastAsia="ko-KR"/>
              </w:rPr>
              <w:t xml:space="preserve">. More </w:t>
            </w:r>
            <w:r>
              <w:rPr>
                <w:rFonts w:eastAsia="Malgun Gothic"/>
                <w:lang w:eastAsia="ko-KR"/>
              </w:rPr>
              <w:t>importantly, as mentioned by ZTE and others, it’d be the gNB’s responsibility to configure the features and any associated fallback mechanisms appropriately for a given UE</w:t>
            </w:r>
            <w:r w:rsidR="00C55226">
              <w:rPr>
                <w:rFonts w:eastAsia="Malgun Gothic"/>
                <w:lang w:eastAsia="ko-KR"/>
              </w:rPr>
              <w:t xml:space="preserve">’s link condition, traffic load, and QoS requirements. There are already multiple tools available to ensure </w:t>
            </w:r>
            <w:r w:rsidR="00636A88">
              <w:rPr>
                <w:rFonts w:eastAsia="Malgun Gothic"/>
                <w:lang w:eastAsia="ko-KR"/>
              </w:rPr>
              <w:t>fallback, and there is no need to c</w:t>
            </w:r>
            <w:r w:rsidR="002B2858">
              <w:rPr>
                <w:rFonts w:eastAsia="Malgun Gothic"/>
                <w:lang w:eastAsia="ko-KR"/>
              </w:rPr>
              <w:t>onclude on some additional restriction on something that should be left up to gNB discretion</w:t>
            </w:r>
            <w:r w:rsidR="00025BA8">
              <w:rPr>
                <w:rFonts w:eastAsia="Malgun Gothic"/>
                <w:lang w:eastAsia="ko-KR"/>
              </w:rPr>
              <w:t>/responsibility</w:t>
            </w:r>
            <w:r w:rsidR="002B2858">
              <w:rPr>
                <w:rFonts w:eastAsia="Malgun Gothic"/>
                <w:lang w:eastAsia="ko-KR"/>
              </w:rPr>
              <w:t>.</w:t>
            </w:r>
          </w:p>
        </w:tc>
      </w:tr>
      <w:tr w:rsidR="00DA3BA9" w14:paraId="5F001B92" w14:textId="77777777" w:rsidTr="00466752">
        <w:tc>
          <w:tcPr>
            <w:tcW w:w="1696" w:type="dxa"/>
          </w:tcPr>
          <w:p w14:paraId="488B445A" w14:textId="222E8D8D"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21CA0A76" w14:textId="6EF92812" w:rsidR="00DA3BA9" w:rsidRPr="00DA3BA9" w:rsidRDefault="00DA3BA9" w:rsidP="006A2F08">
            <w:pPr>
              <w:rPr>
                <w:rFonts w:eastAsiaTheme="minorEastAsia"/>
                <w:lang w:eastAsia="zh-CN"/>
              </w:rPr>
            </w:pPr>
            <w:r>
              <w:rPr>
                <w:rFonts w:eastAsiaTheme="minorEastAsia" w:hint="eastAsia"/>
                <w:lang w:eastAsia="zh-CN"/>
              </w:rPr>
              <w:t>Agree with the comments above that no additional spec change/clarification is needed.</w:t>
            </w:r>
          </w:p>
        </w:tc>
      </w:tr>
      <w:tr w:rsidR="00292723" w14:paraId="7CBD35DA" w14:textId="77777777" w:rsidTr="00466752">
        <w:tc>
          <w:tcPr>
            <w:tcW w:w="1696" w:type="dxa"/>
          </w:tcPr>
          <w:p w14:paraId="5958D358" w14:textId="28E4FBA7" w:rsidR="00292723" w:rsidRDefault="00292723" w:rsidP="00292723">
            <w:pPr>
              <w:rPr>
                <w:rFonts w:eastAsiaTheme="minorEastAsia"/>
                <w:lang w:eastAsia="zh-CN"/>
              </w:rPr>
            </w:pPr>
            <w:r>
              <w:rPr>
                <w:rFonts w:eastAsia="MS Mincho" w:hint="eastAsia"/>
                <w:lang w:eastAsia="ja-JP"/>
              </w:rPr>
              <w:t>N</w:t>
            </w:r>
            <w:r>
              <w:rPr>
                <w:rFonts w:eastAsia="MS Mincho"/>
                <w:lang w:eastAsia="ja-JP"/>
              </w:rPr>
              <w:t>TT DOCOMO</w:t>
            </w:r>
          </w:p>
        </w:tc>
        <w:tc>
          <w:tcPr>
            <w:tcW w:w="7611" w:type="dxa"/>
          </w:tcPr>
          <w:p w14:paraId="3FB0CD35" w14:textId="73970D1B" w:rsidR="00292723" w:rsidRDefault="00292723" w:rsidP="00292723">
            <w:pPr>
              <w:rPr>
                <w:rFonts w:eastAsiaTheme="minorEastAsia"/>
                <w:lang w:eastAsia="zh-CN"/>
              </w:rPr>
            </w:pPr>
            <w:r w:rsidRPr="007148C6">
              <w:rPr>
                <w:rFonts w:eastAsia="Malgun Gothic"/>
                <w:lang w:eastAsia="ko-KR"/>
              </w:rPr>
              <w:t>We see that configuring “bwp-InactivityTimer” and setting the “defaultDownlinkBWP-Id” to BWP#1” can be a potential solution with using current specification. On the other hands, we may also consider the case if these parameters are not supported by current implementation. In this case, we agree with [1] that there may be the potential issue. And if the proposed solution in [1] is specified, we think it can be generalized e.g., "When bwp-InactivityTimer is not configured by gNB, a UE does not expect to receive a DCI format to switch from a BWP to BWP without dedicated config" so that in any case with BWP without dedicated configuration the potential issue on switching can be avoided.</w:t>
            </w:r>
          </w:p>
        </w:tc>
      </w:tr>
    </w:tbl>
    <w:p w14:paraId="013803C8" w14:textId="77777777" w:rsidR="00313D39" w:rsidRPr="0097222C" w:rsidRDefault="00313D39" w:rsidP="0037552D">
      <w:pPr>
        <w:rPr>
          <w:rFonts w:eastAsia="MS Mincho"/>
          <w:b/>
          <w:i/>
          <w:lang w:eastAsia="ja-JP"/>
        </w:rPr>
      </w:pPr>
    </w:p>
    <w:p w14:paraId="013803C9" w14:textId="77777777" w:rsidR="00157FC3" w:rsidRPr="00CF195E" w:rsidRDefault="00747F48" w:rsidP="00CF195E">
      <w:pPr>
        <w:pStyle w:val="Heading1"/>
      </w:pPr>
      <w:r w:rsidRPr="00CF195E">
        <w:t>Conclusion</w:t>
      </w:r>
      <w:r w:rsidR="006B1FD5" w:rsidRPr="00CF195E">
        <w:t>s</w:t>
      </w:r>
    </w:p>
    <w:p w14:paraId="013803CA" w14:textId="77777777" w:rsidR="00F5562C" w:rsidRDefault="004806C4" w:rsidP="00F5562C">
      <w:pPr>
        <w:rPr>
          <w:kern w:val="2"/>
          <w:lang w:val="en-GB" w:eastAsia="zh-CN"/>
        </w:rPr>
      </w:pPr>
      <w:r>
        <w:rPr>
          <w:kern w:val="2"/>
          <w:lang w:val="en-GB" w:eastAsia="zh-CN"/>
        </w:rPr>
        <w:t>TBD.</w:t>
      </w:r>
    </w:p>
    <w:p w14:paraId="013803CB" w14:textId="77777777" w:rsidR="004806C4" w:rsidRPr="0097222C" w:rsidRDefault="004806C4" w:rsidP="00F5562C">
      <w:pPr>
        <w:rPr>
          <w:rFonts w:eastAsia="MS Mincho"/>
          <w:b/>
          <w:i/>
          <w:lang w:eastAsia="ja-JP"/>
        </w:rPr>
      </w:pPr>
    </w:p>
    <w:p w14:paraId="013803CC" w14:textId="77777777" w:rsidR="001D780E" w:rsidRPr="00CF195E" w:rsidRDefault="001D780E" w:rsidP="00CF195E">
      <w:pPr>
        <w:pStyle w:val="Heading1"/>
        <w:numPr>
          <w:ilvl w:val="0"/>
          <w:numId w:val="0"/>
        </w:numPr>
        <w:ind w:left="432" w:hanging="432"/>
      </w:pPr>
      <w:bookmarkStart w:id="4" w:name="_Ref124589665"/>
      <w:bookmarkStart w:id="5" w:name="_Ref71620620"/>
      <w:bookmarkStart w:id="6" w:name="_Ref124671424"/>
      <w:r w:rsidRPr="00CF195E">
        <w:t>References</w:t>
      </w:r>
    </w:p>
    <w:p w14:paraId="013803CD" w14:textId="77777777" w:rsidR="00BE6DFE" w:rsidRPr="00304A24" w:rsidRDefault="000259B4" w:rsidP="000259B4">
      <w:pPr>
        <w:pStyle w:val="References"/>
      </w:pPr>
      <w:bookmarkStart w:id="7" w:name="_Ref95244918"/>
      <w:bookmarkEnd w:id="4"/>
      <w:bookmarkEnd w:id="5"/>
      <w:bookmarkEnd w:id="6"/>
      <w:r w:rsidRPr="000259B4">
        <w:t>R1-2202451</w:t>
      </w:r>
      <w:r>
        <w:t>.</w:t>
      </w:r>
      <w:bookmarkEnd w:id="2"/>
      <w:bookmarkEnd w:id="7"/>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2FB90" w14:textId="77777777" w:rsidR="00473A43" w:rsidRDefault="00473A43">
      <w:r>
        <w:separator/>
      </w:r>
    </w:p>
  </w:endnote>
  <w:endnote w:type="continuationSeparator" w:id="0">
    <w:p w14:paraId="78710BED" w14:textId="77777777" w:rsidR="00473A43" w:rsidRDefault="0047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3745F" w14:textId="77777777" w:rsidR="00473A43" w:rsidRDefault="00473A43">
      <w:r>
        <w:separator/>
      </w:r>
    </w:p>
  </w:footnote>
  <w:footnote w:type="continuationSeparator" w:id="0">
    <w:p w14:paraId="04C2042E" w14:textId="77777777" w:rsidR="00473A43" w:rsidRDefault="00473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2E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15:restartNumberingAfterBreak="0">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5BA8"/>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2723"/>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2858"/>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4E01"/>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5BCD"/>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3A43"/>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54D"/>
    <w:rsid w:val="005A0A46"/>
    <w:rsid w:val="005A10B9"/>
    <w:rsid w:val="005A11EA"/>
    <w:rsid w:val="005A14C8"/>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A88"/>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2F08"/>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A010D"/>
    <w:rsid w:val="009A022C"/>
    <w:rsid w:val="009A0C6F"/>
    <w:rsid w:val="009A14EF"/>
    <w:rsid w:val="009A2D35"/>
    <w:rsid w:val="009A2DF9"/>
    <w:rsid w:val="009A3A86"/>
    <w:rsid w:val="009A4869"/>
    <w:rsid w:val="009A6A6B"/>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9F6AD0"/>
    <w:rsid w:val="00A005B0"/>
    <w:rsid w:val="00A010DF"/>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5226"/>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A5FEC"/>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85C"/>
    <w:rsid w:val="00D80AB8"/>
    <w:rsid w:val="00D81792"/>
    <w:rsid w:val="00D819B1"/>
    <w:rsid w:val="00D82494"/>
    <w:rsid w:val="00D83AE9"/>
    <w:rsid w:val="00D857B8"/>
    <w:rsid w:val="00D87175"/>
    <w:rsid w:val="00D87ABF"/>
    <w:rsid w:val="00D90CD3"/>
    <w:rsid w:val="00D919E6"/>
    <w:rsid w:val="00D91BE1"/>
    <w:rsid w:val="00D92C29"/>
    <w:rsid w:val="00D936E2"/>
    <w:rsid w:val="00D95104"/>
    <w:rsid w:val="00D95600"/>
    <w:rsid w:val="00D9683C"/>
    <w:rsid w:val="00D97884"/>
    <w:rsid w:val="00DA01C6"/>
    <w:rsid w:val="00DA0A7F"/>
    <w:rsid w:val="00DA1C31"/>
    <w:rsid w:val="00DA20BC"/>
    <w:rsid w:val="00DA2ED7"/>
    <w:rsid w:val="00DA3BA9"/>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0BDB"/>
    <w:rsid w:val="00FC4650"/>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380396"/>
  <w15:docId w15:val="{233C39E1-6223-4CB2-9B3C-3645F515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3"/>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3"/>
      </w:numPr>
      <w:tabs>
        <w:tab w:val="clear" w:pos="576"/>
      </w:tabs>
      <w:spacing w:before="120"/>
      <w:outlineLvl w:val="1"/>
    </w:pPr>
    <w:rPr>
      <w:b/>
      <w:bCs/>
      <w:sz w:val="24"/>
    </w:rPr>
  </w:style>
  <w:style w:type="paragraph" w:styleId="Heading3">
    <w:name w:val="heading 3"/>
    <w:basedOn w:val="Normal"/>
    <w:next w:val="Normal"/>
    <w:qFormat/>
    <w:pPr>
      <w:keepNext/>
      <w:numPr>
        <w:ilvl w:val="2"/>
        <w:numId w:val="3"/>
      </w:numPr>
      <w:tabs>
        <w:tab w:val="clear" w:pos="720"/>
      </w:tabs>
      <w:spacing w:before="120"/>
      <w:outlineLvl w:val="2"/>
    </w:pPr>
    <w:rPr>
      <w:b/>
    </w:rPr>
  </w:style>
  <w:style w:type="paragraph" w:styleId="Heading4">
    <w:name w:val="heading 4"/>
    <w:basedOn w:val="Normal"/>
    <w:next w:val="Normal"/>
    <w:qFormat/>
    <w:pPr>
      <w:keepNext/>
      <w:numPr>
        <w:ilvl w:val="3"/>
        <w:numId w:val="3"/>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3"/>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3"/>
      </w:numPr>
      <w:spacing w:before="240" w:after="60"/>
      <w:outlineLvl w:val="5"/>
    </w:pPr>
    <w:rPr>
      <w:b/>
      <w:bCs/>
    </w:rPr>
  </w:style>
  <w:style w:type="paragraph" w:styleId="Heading7">
    <w:name w:val="heading 7"/>
    <w:basedOn w:val="Normal"/>
    <w:next w:val="Normal"/>
    <w:qFormat/>
    <w:pPr>
      <w:numPr>
        <w:ilvl w:val="6"/>
        <w:numId w:val="3"/>
      </w:numPr>
      <w:spacing w:before="240" w:after="60"/>
      <w:outlineLvl w:val="6"/>
    </w:pPr>
    <w:rPr>
      <w:sz w:val="24"/>
      <w:szCs w:val="24"/>
    </w:rPr>
  </w:style>
  <w:style w:type="paragraph" w:styleId="Heading8">
    <w:name w:val="heading 8"/>
    <w:basedOn w:val="Normal"/>
    <w:next w:val="Normal"/>
    <w:qFormat/>
    <w:pPr>
      <w:numPr>
        <w:ilvl w:val="7"/>
        <w:numId w:val="3"/>
      </w:numPr>
      <w:spacing w:before="240" w:after="60"/>
      <w:outlineLvl w:val="7"/>
    </w:pPr>
    <w:rPr>
      <w:i/>
      <w:iCs/>
      <w:sz w:val="24"/>
      <w:szCs w:val="24"/>
    </w:rPr>
  </w:style>
  <w:style w:type="paragraph" w:styleId="Heading9">
    <w:name w:val="heading 9"/>
    <w:basedOn w:val="Normal"/>
    <w:next w:val="Normal"/>
    <w:qFormat/>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2"/>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basedOn w:val="Normal"/>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s\R1-220245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A237E-1AEF-4100-8D41-FCA6691E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Yangfan (James, Hisilicon)</cp:lastModifiedBy>
  <cp:revision>2</cp:revision>
  <cp:lastPrinted>2007-06-18T22:08:00Z</cp:lastPrinted>
  <dcterms:created xsi:type="dcterms:W3CDTF">2022-02-22T09:08:00Z</dcterms:created>
  <dcterms:modified xsi:type="dcterms:W3CDTF">2022-02-22T09:08:00Z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