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HiSilicon</w:t>
      </w:r>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Heading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can only be used for limited manner with common configurations, e.g.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When a BWP is switched via DCI indication onto the BWP#0 with configuration option 1, if false alarm occurs and a UE switched to BWP#0 mistakenly, there could be misunderstanding between a UE and gNB when the default BWP is not configured. The above configurations can be typical in e.g.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[108-e-NR-CRs-16] Issue#21 Clarification on the initial BWP switching – ???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tdoc: </w:t>
      </w:r>
      <w:hyperlink r:id="rId8" w:history="1">
        <w:r>
          <w:rPr>
            <w:rStyle w:val="Hyperlink"/>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is there any use case to use DCI based BWP switching to switch another BWP to the BWP#0 with configuration option 1, and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Heading1"/>
      </w:pPr>
      <w:bookmarkStart w:id="2" w:name="_Ref129681832"/>
      <w:r>
        <w:t>Discussion</w:t>
      </w:r>
      <w:r w:rsidR="00EF7E04">
        <w:t xml:space="preserve"> Point 1</w:t>
      </w:r>
      <w:r>
        <w:t xml:space="preserve"> </w:t>
      </w:r>
    </w:p>
    <w:p w14:paraId="013803A8" w14:textId="77777777" w:rsidR="00AD11CD" w:rsidRPr="00FD5300" w:rsidRDefault="004806C4" w:rsidP="00FD5300">
      <w:pPr>
        <w:pStyle w:val="ListParagraph"/>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potential use case or motivation for gNB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gNB can use non-fallback DCI to fast resume the UE to a target BWP thus the impact on services can be minimized. When it comes to BWP#0 with option 1, since DCI based BWP switch cannot be used, it has to rely on gNB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gNB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gNB decide to do so. Anyway, it is up to gNB’s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69ED5B41" w14:textId="5E070CC8" w:rsidR="006A2F08" w:rsidRPr="006A2F08" w:rsidRDefault="006A2F08" w:rsidP="006A2F08">
            <w:pPr>
              <w:rPr>
                <w:rFonts w:eastAsiaTheme="minorEastAsia"/>
                <w:lang w:eastAsia="zh-CN"/>
              </w:rPr>
            </w:pPr>
            <w:r w:rsidRPr="006A2F08">
              <w:rPr>
                <w:rFonts w:eastAsia="Malgun Gothic"/>
                <w:lang w:eastAsia="ko-KR"/>
              </w:rPr>
              <w:t xml:space="preserve">It’s up to gNB’s implementation. As mentioned by ZTE, BWP#0 might be used for power saving purpose or other purpose. </w:t>
            </w:r>
          </w:p>
        </w:tc>
      </w:tr>
      <w:tr w:rsidR="00A010DF" w14:paraId="529D15D0" w14:textId="77777777" w:rsidTr="004806C4">
        <w:tc>
          <w:tcPr>
            <w:tcW w:w="1696" w:type="dxa"/>
          </w:tcPr>
          <w:p w14:paraId="60ABEE19" w14:textId="3B5B9C73" w:rsidR="00A010DF" w:rsidRPr="006A2F08" w:rsidRDefault="00A010DF" w:rsidP="006A2F08">
            <w:pPr>
              <w:rPr>
                <w:rFonts w:eastAsia="Malgun Gothic" w:hint="eastAsia"/>
                <w:lang w:eastAsia="ko-KR"/>
              </w:rPr>
            </w:pPr>
            <w:r>
              <w:rPr>
                <w:rFonts w:eastAsia="Malgun Gothic"/>
                <w:lang w:eastAsia="ko-KR"/>
              </w:rPr>
              <w:t>Intel</w:t>
            </w:r>
          </w:p>
        </w:tc>
        <w:tc>
          <w:tcPr>
            <w:tcW w:w="7611" w:type="dxa"/>
          </w:tcPr>
          <w:p w14:paraId="3EDA2A7F" w14:textId="0C3348E5" w:rsidR="00A010DF" w:rsidRPr="006A2F08" w:rsidRDefault="00D8085C" w:rsidP="006A2F08">
            <w:pPr>
              <w:rPr>
                <w:rFonts w:eastAsia="Malgun Gothic"/>
                <w:lang w:eastAsia="ko-KR"/>
              </w:rPr>
            </w:pPr>
            <w:r>
              <w:rPr>
                <w:rFonts w:eastAsia="Malgun Gothic"/>
                <w:lang w:eastAsia="ko-KR"/>
              </w:rPr>
              <w:t xml:space="preserve">This configuration is currently allowed by specs and whether to use it is up to gNB implementation. </w:t>
            </w:r>
            <w:r w:rsidR="005A14C8">
              <w:rPr>
                <w:rFonts w:eastAsia="Malgun Gothic"/>
                <w:lang w:eastAsia="ko-KR"/>
              </w:rPr>
              <w:t>Typical use-case for DCI-based BWP switching is the obvious one – UE power savings in adaptation to traffic conditions</w:t>
            </w:r>
            <w:r w:rsidR="009F6AD0">
              <w:rPr>
                <w:rFonts w:eastAsia="Malgun Gothic"/>
                <w:lang w:eastAsia="ko-KR"/>
              </w:rPr>
              <w:t>, and is also applicable regardless of BWP#0 configuration options 1 or 2.</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Heading1"/>
      </w:pPr>
      <w:r>
        <w:t xml:space="preserve">Discussion Point 2 </w:t>
      </w:r>
    </w:p>
    <w:p w14:paraId="013803B9" w14:textId="77777777" w:rsidR="00EF7E04" w:rsidRPr="00FD5300" w:rsidRDefault="00EF7E04" w:rsidP="00FD5300">
      <w:pPr>
        <w:pStyle w:val="ListParagraph"/>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gNB implementation approaches to resolve this, e.g.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actually impose an even restricted configuration to gNB,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r w:rsidRPr="00AA0E69">
        <w:rPr>
          <w:rFonts w:eastAsia="MS Mincho"/>
          <w:i/>
          <w:lang w:eastAsia="ja-JP"/>
        </w:rPr>
        <w:t>bwp-InactivityTimer</w:t>
      </w:r>
      <w:r w:rsidRPr="00AA0E69">
        <w:rPr>
          <w:rFonts w:eastAsia="MS Mincho"/>
          <w:lang w:eastAsia="ja-JP"/>
        </w:rPr>
        <w:t xml:space="preserve"> is not configured by gNB,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 xml:space="preserve">rom our perspective, the current specification works well. BWP switching to BWP#0 is the same as other BWP switching. From UE perspective, it seems no </w:t>
            </w:r>
            <w:r>
              <w:rPr>
                <w:rFonts w:eastAsiaTheme="minorEastAsia"/>
                <w:lang w:eastAsia="zh-CN"/>
              </w:rPr>
              <w:lastRenderedPageBreak/>
              <w:t>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has to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lastRenderedPageBreak/>
              <w:t>Huawei, HiSilicon</w:t>
            </w:r>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gNB implementation will make the situation and gNB configuration more complex. To avoid the service interruption due to switching to BWP#0 with option 1, gNB has to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UE-gNB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r w:rsidR="00EF1D96" w:rsidRPr="00AA0E69">
              <w:rPr>
                <w:rFonts w:eastAsia="MS Mincho"/>
                <w:i/>
                <w:lang w:eastAsia="ja-JP"/>
              </w:rPr>
              <w:t>bwp-InactivityTimer</w:t>
            </w:r>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r w:rsidRPr="00BE4FFB">
              <w:rPr>
                <w:b/>
                <w:bCs/>
                <w:i/>
                <w:iCs/>
                <w:lang w:val="en-GB" w:eastAsia="ja-JP"/>
              </w:rPr>
              <w:t>bwp-InactivityTimer</w:t>
            </w:r>
            <w:r w:rsidRPr="00BE4FFB">
              <w:rPr>
                <w:b/>
                <w:bCs/>
                <w:lang w:val="en-GB"/>
              </w:rPr>
              <w:t>” with a short value</w:t>
            </w:r>
            <w:r>
              <w:rPr>
                <w:lang w:val="en-GB"/>
              </w:rPr>
              <w:t xml:space="preserve"> and set the “</w:t>
            </w:r>
            <w:r w:rsidRPr="00BE4FFB">
              <w:rPr>
                <w:b/>
                <w:bCs/>
                <w:i/>
                <w:iCs/>
                <w:lang w:val="en-GB" w:eastAsia="ja-JP"/>
              </w:rPr>
              <w:t>defaultDownlinkBWP-Id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gNB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7A8B066D" w14:textId="0A1E0BBC" w:rsidR="006A2F08" w:rsidRPr="006A2F08" w:rsidRDefault="006A2F08" w:rsidP="006A2F08">
            <w:pPr>
              <w:rPr>
                <w:rFonts w:eastAsiaTheme="minorEastAsia"/>
                <w:lang w:eastAsia="zh-CN"/>
              </w:rPr>
            </w:pPr>
            <w:r w:rsidRPr="006A2F08">
              <w:rPr>
                <w:rFonts w:eastAsia="Malgun Gothic" w:hint="eastAsia"/>
                <w:lang w:eastAsia="ko-KR"/>
              </w:rPr>
              <w:t xml:space="preserve">We are not supportive of the proposed </w:t>
            </w:r>
            <w:r>
              <w:rPr>
                <w:rFonts w:eastAsia="Malgun Gothic"/>
                <w:lang w:eastAsia="ko-KR"/>
              </w:rPr>
              <w:t>clarification</w:t>
            </w:r>
            <w:r w:rsidRPr="006A2F08">
              <w:rPr>
                <w:rFonts w:eastAsia="Malgun Gothic" w:hint="eastAsia"/>
                <w:lang w:eastAsia="ko-KR"/>
              </w:rPr>
              <w:t xml:space="preserve">. </w:t>
            </w:r>
            <w:r w:rsidRPr="006A2F08">
              <w:rPr>
                <w:rFonts w:eastAsia="Malgun Gothic"/>
                <w:lang w:eastAsia="ko-KR"/>
              </w:rPr>
              <w:t xml:space="preserve">First, we already have several ways on this </w:t>
            </w:r>
            <w:r>
              <w:rPr>
                <w:rFonts w:eastAsia="Malgun Gothic"/>
                <w:lang w:eastAsia="ko-KR"/>
              </w:rPr>
              <w:t>case</w:t>
            </w:r>
            <w:r w:rsidRPr="006A2F08">
              <w:rPr>
                <w:rFonts w:eastAsia="Malgun Gothic"/>
                <w:lang w:eastAsia="ko-KR"/>
              </w:rPr>
              <w:t xml:space="preserve">, for example, configure </w:t>
            </w:r>
            <w:r w:rsidRPr="006A2F08">
              <w:rPr>
                <w:rFonts w:eastAsia="Malgun Gothic"/>
                <w:i/>
                <w:lang w:eastAsia="ko-KR"/>
              </w:rPr>
              <w:t>bwp-InactivityTimer</w:t>
            </w:r>
            <w:r w:rsidRPr="006A2F08">
              <w:rPr>
                <w:rFonts w:eastAsia="Malgun Gothic"/>
                <w:lang w:eastAsia="ko-KR"/>
              </w:rPr>
              <w:t xml:space="preserve"> or</w:t>
            </w:r>
            <w:r w:rsidRPr="006A2F08">
              <w:rPr>
                <w:rFonts w:eastAsia="Malgun Gothic"/>
                <w:i/>
                <w:lang w:eastAsia="ko-KR"/>
              </w:rPr>
              <w:t xml:space="preserve"> </w:t>
            </w:r>
            <w:r w:rsidRPr="006A2F08">
              <w:rPr>
                <w:rFonts w:eastAsia="Malgun Gothic"/>
                <w:lang w:eastAsia="ko-KR"/>
              </w:rPr>
              <w:t>BWP#0 with</w:t>
            </w:r>
            <w:r w:rsidRPr="006A2F08">
              <w:rPr>
                <w:rFonts w:eastAsia="Malgun Gothic"/>
                <w:i/>
                <w:lang w:eastAsia="ko-KR"/>
              </w:rPr>
              <w:t xml:space="preserve"> </w:t>
            </w:r>
            <w:r w:rsidRPr="006A2F08">
              <w:rPr>
                <w:rFonts w:eastAsia="MS Mincho"/>
                <w:lang w:eastAsia="ja-JP"/>
              </w:rPr>
              <w:t>configuration option 2</w:t>
            </w:r>
            <w:r w:rsidRPr="006A2F08">
              <w:rPr>
                <w:rFonts w:eastAsia="Malgun Gothic"/>
                <w:i/>
                <w:lang w:eastAsia="ko-KR"/>
              </w:rPr>
              <w:t xml:space="preserve">. </w:t>
            </w:r>
            <w:r w:rsidRPr="006A2F08">
              <w:rPr>
                <w:rFonts w:eastAsia="Malgun Gothic"/>
                <w:lang w:eastAsia="ko-KR"/>
              </w:rPr>
              <w:t xml:space="preserve">Even though the </w:t>
            </w:r>
            <w:r>
              <w:rPr>
                <w:rFonts w:eastAsia="Malgun Gothic"/>
                <w:lang w:eastAsia="ko-KR"/>
              </w:rPr>
              <w:t>proposed conclusion is not agreed</w:t>
            </w:r>
            <w:r w:rsidRPr="006A2F08">
              <w:rPr>
                <w:rFonts w:eastAsia="Malgun Gothic"/>
                <w:lang w:eastAsia="ko-KR"/>
              </w:rPr>
              <w:t xml:space="preserve">, the gNB can use </w:t>
            </w:r>
            <w:r w:rsidRPr="006A2F08">
              <w:rPr>
                <w:rFonts w:eastAsia="Malgun Gothic"/>
                <w:i/>
                <w:lang w:eastAsia="ko-KR"/>
              </w:rPr>
              <w:t>RRC</w:t>
            </w:r>
            <w:r>
              <w:rPr>
                <w:rFonts w:eastAsia="Malgun Gothic"/>
                <w:i/>
                <w:lang w:eastAsia="ko-KR"/>
              </w:rPr>
              <w:t>R</w:t>
            </w:r>
            <w:r w:rsidRPr="006A2F08">
              <w:rPr>
                <w:rFonts w:eastAsia="Malgun Gothic"/>
                <w:i/>
                <w:lang w:eastAsia="ko-KR"/>
              </w:rPr>
              <w:t xml:space="preserve">econfiguration, </w:t>
            </w:r>
            <w:r w:rsidRPr="006A2F08">
              <w:rPr>
                <w:rFonts w:eastAsia="Malgun Gothic"/>
                <w:lang w:eastAsia="ko-KR"/>
              </w:rPr>
              <w:t xml:space="preserve">so that the current specification works well. Second, it is the case caused by PDCCH false alarm. Given the CRC length in NR, the </w:t>
            </w:r>
            <w:r>
              <w:rPr>
                <w:rFonts w:eastAsia="Malgun Gothic"/>
                <w:lang w:eastAsia="ko-KR"/>
              </w:rPr>
              <w:t>false alarm rate is quite small and the specification is not needed to handle every false alarm cases. -</w:t>
            </w:r>
          </w:p>
        </w:tc>
      </w:tr>
      <w:tr w:rsidR="009F6AD0" w14:paraId="27674308" w14:textId="77777777" w:rsidTr="00466752">
        <w:tc>
          <w:tcPr>
            <w:tcW w:w="1696" w:type="dxa"/>
          </w:tcPr>
          <w:p w14:paraId="45E3EE5D" w14:textId="27E78CEE" w:rsidR="009F6AD0" w:rsidRPr="006A2F08" w:rsidRDefault="009F6AD0" w:rsidP="006A2F08">
            <w:pPr>
              <w:rPr>
                <w:rFonts w:eastAsia="Malgun Gothic" w:hint="eastAsia"/>
                <w:lang w:eastAsia="ko-KR"/>
              </w:rPr>
            </w:pPr>
            <w:r>
              <w:rPr>
                <w:rFonts w:eastAsia="Malgun Gothic"/>
                <w:lang w:eastAsia="ko-KR"/>
              </w:rPr>
              <w:t>Intel</w:t>
            </w:r>
          </w:p>
        </w:tc>
        <w:tc>
          <w:tcPr>
            <w:tcW w:w="7611" w:type="dxa"/>
          </w:tcPr>
          <w:p w14:paraId="20F5E47D" w14:textId="77777777" w:rsidR="00636A88" w:rsidRDefault="009F6AD0" w:rsidP="006A2F08">
            <w:pPr>
              <w:rPr>
                <w:rFonts w:eastAsia="Malgun Gothic"/>
                <w:lang w:eastAsia="ko-KR"/>
              </w:rPr>
            </w:pPr>
            <w:r>
              <w:rPr>
                <w:rFonts w:eastAsia="Malgun Gothic"/>
                <w:lang w:eastAsia="ko-KR"/>
              </w:rPr>
              <w:t xml:space="preserve">Agree with </w:t>
            </w:r>
            <w:r w:rsidR="00636A88">
              <w:rPr>
                <w:rFonts w:eastAsia="Malgun Gothic"/>
                <w:lang w:eastAsia="ko-KR"/>
              </w:rPr>
              <w:t>most</w:t>
            </w:r>
            <w:r>
              <w:rPr>
                <w:rFonts w:eastAsia="Malgun Gothic"/>
                <w:lang w:eastAsia="ko-KR"/>
              </w:rPr>
              <w:t xml:space="preserve"> views above that the existing specs are sufficiently clear already and there is nothing to clarify. </w:t>
            </w:r>
          </w:p>
          <w:p w14:paraId="543C4671" w14:textId="2168272E" w:rsidR="009F6AD0" w:rsidRPr="006A2F08" w:rsidRDefault="003D4E01" w:rsidP="006A2F08">
            <w:pPr>
              <w:rPr>
                <w:rFonts w:eastAsia="Malgun Gothic" w:hint="eastAsia"/>
                <w:lang w:eastAsia="ko-KR"/>
              </w:rPr>
            </w:pPr>
            <w:r>
              <w:rPr>
                <w:rFonts w:eastAsia="Malgun Gothic"/>
                <w:lang w:eastAsia="ko-KR"/>
              </w:rPr>
              <w:t>The false error issue is a corner case to begin with</w:t>
            </w:r>
            <w:r w:rsidR="00636A88">
              <w:rPr>
                <w:rFonts w:eastAsia="Malgun Gothic"/>
                <w:lang w:eastAsia="ko-KR"/>
              </w:rPr>
              <w:t xml:space="preserve">. More </w:t>
            </w:r>
            <w:r>
              <w:rPr>
                <w:rFonts w:eastAsia="Malgun Gothic"/>
                <w:lang w:eastAsia="ko-KR"/>
              </w:rPr>
              <w:t>importantly, as mentioned by ZTE and others, it’d be the gNB’s responsibility to configure the features and any associated fallback mechanisms appropriately for a given UE</w:t>
            </w:r>
            <w:r w:rsidR="00C55226">
              <w:rPr>
                <w:rFonts w:eastAsia="Malgun Gothic"/>
                <w:lang w:eastAsia="ko-KR"/>
              </w:rPr>
              <w:t xml:space="preserve">’s link condition, traffic load, and QoS requirements. There are already multiple tools available to ensure </w:t>
            </w:r>
            <w:r w:rsidR="00636A88">
              <w:rPr>
                <w:rFonts w:eastAsia="Malgun Gothic"/>
                <w:lang w:eastAsia="ko-KR"/>
              </w:rPr>
              <w:t>fallback, and there is no need to c</w:t>
            </w:r>
            <w:r w:rsidR="002B2858">
              <w:rPr>
                <w:rFonts w:eastAsia="Malgun Gothic"/>
                <w:lang w:eastAsia="ko-KR"/>
              </w:rPr>
              <w:t>onclude on some additional restriction on something that should be left up to gNB discretion</w:t>
            </w:r>
            <w:r w:rsidR="00025BA8">
              <w:rPr>
                <w:rFonts w:eastAsia="Malgun Gothic"/>
                <w:lang w:eastAsia="ko-KR"/>
              </w:rPr>
              <w:t>/responsibility</w:t>
            </w:r>
            <w:r w:rsidR="002B2858">
              <w:rPr>
                <w:rFonts w:eastAsia="Malgun Gothic"/>
                <w:lang w:eastAsia="ko-KR"/>
              </w:rPr>
              <w:t>.</w:t>
            </w:r>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Heading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Heading1"/>
        <w:numPr>
          <w:ilvl w:val="0"/>
          <w:numId w:val="0"/>
        </w:numPr>
        <w:ind w:left="432" w:hanging="432"/>
      </w:pPr>
      <w:bookmarkStart w:id="3" w:name="_Ref124589665"/>
      <w:bookmarkStart w:id="4" w:name="_Ref71620620"/>
      <w:bookmarkStart w:id="5" w:name="_Ref124671424"/>
      <w:r w:rsidRPr="00CF195E">
        <w:t>References</w:t>
      </w:r>
    </w:p>
    <w:p w14:paraId="013803CD" w14:textId="77777777" w:rsidR="00BE6DFE" w:rsidRPr="00304A24" w:rsidRDefault="000259B4" w:rsidP="000259B4">
      <w:pPr>
        <w:pStyle w:val="References"/>
      </w:pPr>
      <w:bookmarkStart w:id="6" w:name="_Ref95244918"/>
      <w:bookmarkEnd w:id="3"/>
      <w:bookmarkEnd w:id="4"/>
      <w:bookmarkEnd w:id="5"/>
      <w:r w:rsidRPr="000259B4">
        <w:t>R1-2202451</w:t>
      </w:r>
      <w:r>
        <w:t>.</w:t>
      </w:r>
      <w:bookmarkEnd w:id="2"/>
      <w:bookmarkEnd w:id="6"/>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0FEB" w14:textId="77777777" w:rsidR="009A022C" w:rsidRDefault="009A022C">
      <w:r>
        <w:separator/>
      </w:r>
    </w:p>
  </w:endnote>
  <w:endnote w:type="continuationSeparator" w:id="0">
    <w:p w14:paraId="3C3CA13A" w14:textId="77777777" w:rsidR="009A022C" w:rsidRDefault="009A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F30C" w14:textId="77777777" w:rsidR="009A022C" w:rsidRDefault="009A022C">
      <w:r>
        <w:separator/>
      </w:r>
    </w:p>
  </w:footnote>
  <w:footnote w:type="continuationSeparator" w:id="0">
    <w:p w14:paraId="5233A403" w14:textId="77777777" w:rsidR="009A022C" w:rsidRDefault="009A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5BA8"/>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2858"/>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4E01"/>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14C8"/>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A88"/>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9F6AD0"/>
    <w:rsid w:val="00A005B0"/>
    <w:rsid w:val="00A010DF"/>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5226"/>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85C"/>
    <w:rsid w:val="00D80AB8"/>
    <w:rsid w:val="00D81792"/>
    <w:rsid w:val="00D819B1"/>
    <w:rsid w:val="00D82494"/>
    <w:rsid w:val="00D83AE9"/>
    <w:rsid w:val="00D857B8"/>
    <w:rsid w:val="00D87175"/>
    <w:rsid w:val="00D87ABF"/>
    <w:rsid w:val="00D90CD3"/>
    <w:rsid w:val="00D919E6"/>
    <w:rsid w:val="00D91BE1"/>
    <w:rsid w:val="00D92C29"/>
    <w:rsid w:val="00D936E2"/>
    <w:rsid w:val="00D95104"/>
    <w:rsid w:val="00D95600"/>
    <w:rsid w:val="00D9683C"/>
    <w:rsid w:val="00D97884"/>
    <w:rsid w:val="00DA01C6"/>
    <w:rsid w:val="00DA0A7F"/>
    <w:rsid w:val="00DA1C31"/>
    <w:rsid w:val="00DA20BC"/>
    <w:rsid w:val="00DA2ED7"/>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8039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3"/>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3"/>
      </w:numPr>
      <w:tabs>
        <w:tab w:val="clear" w:pos="576"/>
      </w:tabs>
      <w:spacing w:before="120"/>
      <w:outlineLvl w:val="1"/>
    </w:pPr>
    <w:rPr>
      <w:b/>
      <w:bCs/>
      <w:sz w:val="24"/>
    </w:rPr>
  </w:style>
  <w:style w:type="paragraph" w:styleId="Heading3">
    <w:name w:val="heading 3"/>
    <w:basedOn w:val="Normal"/>
    <w:next w:val="Normal"/>
    <w:qFormat/>
    <w:pPr>
      <w:keepNext/>
      <w:numPr>
        <w:ilvl w:val="2"/>
        <w:numId w:val="3"/>
      </w:numPr>
      <w:tabs>
        <w:tab w:val="clear" w:pos="720"/>
      </w:tabs>
      <w:spacing w:before="120"/>
      <w:outlineLvl w:val="2"/>
    </w:pPr>
    <w:rPr>
      <w:b/>
    </w:rPr>
  </w:style>
  <w:style w:type="paragraph" w:styleId="Heading4">
    <w:name w:val="heading 4"/>
    <w:basedOn w:val="Normal"/>
    <w:next w:val="Normal"/>
    <w:qFormat/>
    <w:pPr>
      <w:keepNext/>
      <w:numPr>
        <w:ilvl w:val="3"/>
        <w:numId w:val="3"/>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3"/>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3"/>
      </w:numPr>
      <w:spacing w:before="240" w:after="60"/>
      <w:outlineLvl w:val="5"/>
    </w:pPr>
    <w:rPr>
      <w:b/>
      <w:bCs/>
    </w:rPr>
  </w:style>
  <w:style w:type="paragraph" w:styleId="Heading7">
    <w:name w:val="heading 7"/>
    <w:basedOn w:val="Normal"/>
    <w:next w:val="Normal"/>
    <w:qFormat/>
    <w:pPr>
      <w:numPr>
        <w:ilvl w:val="6"/>
        <w:numId w:val="3"/>
      </w:numPr>
      <w:spacing w:before="240" w:after="60"/>
      <w:outlineLvl w:val="6"/>
    </w:pPr>
    <w:rPr>
      <w:sz w:val="24"/>
      <w:szCs w:val="24"/>
    </w:rPr>
  </w:style>
  <w:style w:type="paragraph" w:styleId="Heading8">
    <w:name w:val="heading 8"/>
    <w:basedOn w:val="Normal"/>
    <w:next w:val="Normal"/>
    <w:qFormat/>
    <w:pPr>
      <w:numPr>
        <w:ilvl w:val="7"/>
        <w:numId w:val="3"/>
      </w:numPr>
      <w:spacing w:before="240" w:after="60"/>
      <w:outlineLvl w:val="7"/>
    </w:pPr>
    <w:rPr>
      <w:i/>
      <w:iCs/>
      <w:sz w:val="24"/>
      <w:szCs w:val="24"/>
    </w:rPr>
  </w:style>
  <w:style w:type="paragraph" w:styleId="Heading9">
    <w:name w:val="heading 9"/>
    <w:basedOn w:val="Normal"/>
    <w:next w:val="Normal"/>
    <w:qFormat/>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2"/>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basedOn w:val="Normal"/>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DE045-DE9C-4601-B62D-5D6F0553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1560</Words>
  <Characters>8002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Chatterjee, Debdeep</cp:lastModifiedBy>
  <cp:revision>11</cp:revision>
  <cp:lastPrinted>2007-06-18T22:08:00Z</cp:lastPrinted>
  <dcterms:created xsi:type="dcterms:W3CDTF">2022-02-22T05:18:00Z</dcterms:created>
  <dcterms:modified xsi:type="dcterms:W3CDTF">2022-02-22T05:36:00Z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