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ind w:right="2"/>
        <w:rPr>
          <w:rFonts w:hint="default" w:ascii="Arial" w:hAnsi="Arial" w:eastAsia="宋体" w:cs="Arial"/>
          <w:b/>
          <w:bCs/>
          <w:sz w:val="24"/>
          <w:lang w:val="en-US" w:eastAsia="zh-CN"/>
        </w:rPr>
      </w:pPr>
      <w:r>
        <w:rPr>
          <w:rFonts w:ascii="Arial" w:hAnsi="Arial" w:cs="Arial"/>
          <w:b/>
          <w:bCs/>
          <w:sz w:val="24"/>
        </w:rPr>
        <w:t>3GPP TSG RAN WG1 Meeting #10</w:t>
      </w:r>
      <w:r>
        <w:rPr>
          <w:rFonts w:hint="eastAsia" w:ascii="Arial" w:hAnsi="Arial" w:eastAsia="宋体" w:cs="Arial"/>
          <w:b/>
          <w:bCs/>
          <w:sz w:val="24"/>
          <w:lang w:val="en-US" w:eastAsia="zh-CN"/>
        </w:rPr>
        <w:t>8</w:t>
      </w:r>
      <w:r>
        <w:rPr>
          <w:rFonts w:ascii="Arial" w:hAnsi="Arial" w:cs="Arial"/>
          <w:b/>
          <w:bCs/>
          <w:sz w:val="24"/>
        </w:rPr>
        <w:t>-e</w:t>
      </w:r>
      <w:r>
        <w:rPr>
          <w:rFonts w:ascii="Arial" w:hAnsi="Arial" w:eastAsia="宋体" w:cs="Arial"/>
          <w:b/>
          <w:bCs/>
          <w:sz w:val="24"/>
          <w:lang w:eastAsia="ja-JP"/>
        </w:rPr>
        <w:tab/>
      </w:r>
      <w:r>
        <w:rPr>
          <w:rFonts w:ascii="Arial" w:hAnsi="Arial" w:eastAsia="宋体" w:cs="Arial"/>
          <w:b/>
          <w:bCs/>
          <w:sz w:val="24"/>
          <w:lang w:eastAsia="ja-JP"/>
        </w:rPr>
        <w:tab/>
      </w:r>
      <w:r>
        <w:rPr>
          <w:rFonts w:ascii="Arial" w:hAnsi="Arial" w:eastAsia="宋体" w:cs="Arial"/>
          <w:b/>
          <w:bCs/>
          <w:sz w:val="24"/>
          <w:lang w:eastAsia="ja-JP"/>
        </w:rPr>
        <w:t>R1-2</w:t>
      </w:r>
      <w:r>
        <w:rPr>
          <w:rFonts w:hint="eastAsia" w:ascii="Arial" w:hAnsi="Arial" w:eastAsia="宋体" w:cs="Arial"/>
          <w:b/>
          <w:bCs/>
          <w:sz w:val="24"/>
          <w:lang w:val="en-US" w:eastAsia="zh-CN"/>
        </w:rPr>
        <w:t>20xxxx</w:t>
      </w:r>
    </w:p>
    <w:p>
      <w:pPr>
        <w:pStyle w:val="172"/>
        <w:outlineLvl w:val="0"/>
        <w:rPr>
          <w:rFonts w:ascii="Arial" w:hAnsi="Arial" w:cs="Arial"/>
          <w:sz w:val="22"/>
          <w:szCs w:val="22"/>
          <w:lang w:eastAsia="ja-JP"/>
        </w:rPr>
      </w:pPr>
      <w:r>
        <w:rPr>
          <w:rFonts w:cs="Arial"/>
          <w:b/>
          <w:sz w:val="24"/>
          <w:szCs w:val="28"/>
          <w:lang w:eastAsia="zh-CN"/>
        </w:rPr>
        <w:t xml:space="preserve">e-Meeting, </w:t>
      </w:r>
      <w:r>
        <w:rPr>
          <w:rFonts w:hint="eastAsia" w:cs="Arial"/>
          <w:b/>
          <w:sz w:val="24"/>
          <w:szCs w:val="28"/>
          <w:lang w:val="en-US" w:eastAsia="zh-CN"/>
        </w:rPr>
        <w:t>November</w:t>
      </w:r>
      <w:r>
        <w:rPr>
          <w:rFonts w:cs="Arial"/>
          <w:b/>
          <w:sz w:val="24"/>
          <w:szCs w:val="28"/>
          <w:lang w:eastAsia="zh-CN"/>
        </w:rPr>
        <w:t xml:space="preserve"> 1</w:t>
      </w:r>
      <w:r>
        <w:rPr>
          <w:rFonts w:hint="eastAsia" w:cs="Arial"/>
          <w:b/>
          <w:sz w:val="24"/>
          <w:szCs w:val="28"/>
          <w:lang w:val="en-US" w:eastAsia="zh-CN"/>
        </w:rPr>
        <w:t>1</w:t>
      </w:r>
      <w:r>
        <w:rPr>
          <w:rFonts w:cs="Arial"/>
          <w:b/>
          <w:sz w:val="24"/>
          <w:szCs w:val="28"/>
          <w:lang w:eastAsia="zh-CN"/>
        </w:rPr>
        <w:t xml:space="preserve">th – </w:t>
      </w:r>
      <w:r>
        <w:rPr>
          <w:rFonts w:hint="eastAsia" w:cs="Arial"/>
          <w:b/>
          <w:sz w:val="24"/>
          <w:szCs w:val="28"/>
          <w:lang w:val="en-US" w:eastAsia="zh-CN"/>
        </w:rPr>
        <w:t>19</w:t>
      </w:r>
      <w:r>
        <w:rPr>
          <w:rFonts w:cs="Arial"/>
          <w:b/>
          <w:sz w:val="24"/>
          <w:szCs w:val="28"/>
          <w:lang w:eastAsia="zh-CN"/>
        </w:rPr>
        <w:t>th, 2021</w:t>
      </w:r>
    </w:p>
    <w:p>
      <w:pPr>
        <w:spacing w:after="120"/>
        <w:jc w:val="both"/>
        <w:rPr>
          <w:rFonts w:ascii="Arial" w:hAnsi="Arial" w:cs="Arial"/>
          <w:sz w:val="22"/>
          <w:szCs w:val="22"/>
          <w:lang w:eastAsia="ja-JP"/>
        </w:rPr>
      </w:pPr>
    </w:p>
    <w:p>
      <w:pPr>
        <w:keepNext/>
        <w:tabs>
          <w:tab w:val="left" w:pos="1843"/>
        </w:tabs>
        <w:spacing w:after="120"/>
        <w:ind w:left="1843" w:hanging="1843"/>
        <w:jc w:val="both"/>
        <w:rPr>
          <w:rFonts w:hint="default" w:ascii="Arial" w:hAnsi="Arial" w:cs="Arial"/>
          <w:b/>
          <w:sz w:val="22"/>
          <w:szCs w:val="22"/>
          <w:lang w:val="en-US" w:eastAsia="zh-CN"/>
        </w:rPr>
      </w:pPr>
      <w:r>
        <w:rPr>
          <w:rFonts w:ascii="Arial" w:hAnsi="Arial" w:cs="Arial"/>
          <w:b/>
          <w:sz w:val="22"/>
          <w:szCs w:val="22"/>
          <w:lang w:val="en-US" w:eastAsia="zh-CN"/>
        </w:rPr>
        <w:t>Agenda Item:</w:t>
      </w:r>
      <w:r>
        <w:rPr>
          <w:rFonts w:ascii="Arial" w:hAnsi="Arial" w:cs="Arial"/>
          <w:b/>
          <w:sz w:val="22"/>
          <w:szCs w:val="22"/>
          <w:lang w:val="en-US" w:eastAsia="zh-CN"/>
        </w:rPr>
        <w:tab/>
      </w:r>
      <w:r>
        <w:rPr>
          <w:rFonts w:hint="eastAsia" w:ascii="Arial" w:hAnsi="Arial" w:cs="Arial"/>
          <w:b/>
          <w:sz w:val="22"/>
          <w:szCs w:val="22"/>
          <w:lang w:val="en-US" w:eastAsia="zh-CN"/>
        </w:rPr>
        <w:t>5.2</w:t>
      </w:r>
    </w:p>
    <w:p>
      <w:pPr>
        <w:keepNext/>
        <w:tabs>
          <w:tab w:val="left" w:pos="1843"/>
        </w:tabs>
        <w:spacing w:after="120"/>
        <w:ind w:left="1843" w:hanging="1843"/>
        <w:jc w:val="both"/>
        <w:rPr>
          <w:rFonts w:ascii="Arial" w:hAnsi="Arial" w:cs="Arial"/>
          <w:b/>
          <w:sz w:val="22"/>
          <w:szCs w:val="22"/>
          <w:lang w:val="en-US" w:eastAsia="zh-CN"/>
        </w:rPr>
      </w:pPr>
      <w:r>
        <w:rPr>
          <w:rFonts w:ascii="Arial" w:hAnsi="Arial" w:cs="Arial"/>
          <w:b/>
          <w:sz w:val="22"/>
          <w:szCs w:val="22"/>
          <w:lang w:val="en-US" w:eastAsia="zh-CN"/>
        </w:rPr>
        <w:t>Source:</w:t>
      </w:r>
      <w:r>
        <w:rPr>
          <w:rFonts w:ascii="Arial" w:hAnsi="Arial" w:cs="Arial"/>
          <w:b/>
          <w:sz w:val="22"/>
          <w:szCs w:val="22"/>
          <w:lang w:val="en-US" w:eastAsia="zh-CN"/>
        </w:rPr>
        <w:tab/>
      </w:r>
      <w:r>
        <w:rPr>
          <w:rFonts w:ascii="Arial" w:hAnsi="Arial" w:cs="Arial"/>
          <w:b/>
          <w:sz w:val="22"/>
          <w:szCs w:val="22"/>
          <w:lang w:val="en-US" w:eastAsia="zh-CN"/>
        </w:rPr>
        <w:t>Moderator (</w:t>
      </w:r>
      <w:r>
        <w:rPr>
          <w:rFonts w:hint="eastAsia" w:ascii="Arial" w:hAnsi="Arial" w:cs="Arial"/>
          <w:b/>
          <w:sz w:val="22"/>
          <w:szCs w:val="22"/>
          <w:lang w:val="en-US" w:eastAsia="zh-CN"/>
        </w:rPr>
        <w:t>ZTE</w:t>
      </w:r>
      <w:r>
        <w:rPr>
          <w:rFonts w:ascii="Arial" w:hAnsi="Arial" w:cs="Arial"/>
          <w:b/>
          <w:sz w:val="22"/>
          <w:szCs w:val="22"/>
          <w:lang w:val="en-US" w:eastAsia="zh-CN"/>
        </w:rPr>
        <w:t>)</w:t>
      </w:r>
    </w:p>
    <w:p>
      <w:pPr>
        <w:keepNext/>
        <w:tabs>
          <w:tab w:val="left" w:pos="1843"/>
        </w:tabs>
        <w:spacing w:after="120"/>
        <w:ind w:left="1843" w:right="-567" w:hanging="1843"/>
        <w:rPr>
          <w:rFonts w:hint="default" w:ascii="Arial" w:hAnsi="Arial" w:cs="Arial"/>
          <w:b/>
          <w:sz w:val="22"/>
          <w:szCs w:val="22"/>
          <w:lang w:val="en-US" w:eastAsia="zh-CN"/>
        </w:rPr>
      </w:pPr>
      <w:r>
        <w:rPr>
          <w:rFonts w:ascii="Arial" w:hAnsi="Arial" w:cs="Arial"/>
          <w:b/>
          <w:sz w:val="22"/>
          <w:szCs w:val="22"/>
          <w:lang w:val="en-US" w:eastAsia="zh-CN"/>
        </w:rPr>
        <w:t>Title:</w:t>
      </w:r>
      <w:r>
        <w:rPr>
          <w:rFonts w:ascii="Arial" w:hAnsi="Arial" w:cs="Arial"/>
          <w:b/>
          <w:sz w:val="22"/>
          <w:szCs w:val="22"/>
          <w:lang w:val="en-US" w:eastAsia="zh-CN"/>
        </w:rPr>
        <w:tab/>
      </w:r>
      <w:r>
        <w:rPr>
          <w:rFonts w:ascii="Arial" w:hAnsi="Arial" w:cs="Arial"/>
          <w:b/>
          <w:sz w:val="22"/>
          <w:szCs w:val="22"/>
          <w:lang w:val="en-US" w:eastAsia="zh-CN"/>
        </w:rPr>
        <w:t xml:space="preserve">RAN1 agreements for Rel-17 WI on </w:t>
      </w:r>
      <w:r>
        <w:rPr>
          <w:rFonts w:hint="eastAsia" w:ascii="Arial" w:hAnsi="Arial" w:cs="Arial"/>
          <w:b/>
          <w:sz w:val="22"/>
          <w:szCs w:val="22"/>
          <w:lang w:val="en-US" w:eastAsia="zh-CN"/>
        </w:rPr>
        <w:t>SDT</w:t>
      </w:r>
    </w:p>
    <w:p>
      <w:pPr>
        <w:keepNext/>
        <w:tabs>
          <w:tab w:val="left" w:pos="1843"/>
        </w:tabs>
        <w:spacing w:after="120"/>
        <w:ind w:left="1843" w:hanging="1843"/>
        <w:jc w:val="both"/>
        <w:rPr>
          <w:rFonts w:ascii="Arial" w:hAnsi="Arial" w:cs="Arial"/>
          <w:b/>
          <w:sz w:val="22"/>
          <w:szCs w:val="22"/>
          <w:lang w:val="en-US" w:eastAsia="zh-CN"/>
        </w:rPr>
      </w:pPr>
      <w:r>
        <w:rPr>
          <w:rFonts w:ascii="Arial" w:hAnsi="Arial" w:cs="Arial"/>
          <w:b/>
          <w:sz w:val="22"/>
          <w:szCs w:val="22"/>
          <w:lang w:val="en-US" w:eastAsia="zh-CN"/>
        </w:rPr>
        <w:t>Document for:</w:t>
      </w:r>
      <w:r>
        <w:rPr>
          <w:rFonts w:ascii="Arial" w:hAnsi="Arial" w:cs="Arial"/>
          <w:b/>
          <w:sz w:val="22"/>
          <w:szCs w:val="22"/>
          <w:lang w:val="en-US" w:eastAsia="zh-CN"/>
        </w:rPr>
        <w:tab/>
      </w:r>
      <w:r>
        <w:rPr>
          <w:rFonts w:ascii="Arial" w:hAnsi="Arial" w:cs="Arial"/>
          <w:b/>
          <w:sz w:val="22"/>
          <w:szCs w:val="22"/>
          <w:lang w:val="en-US" w:eastAsia="zh-CN"/>
        </w:rPr>
        <w:t>Information</w:t>
      </w:r>
    </w:p>
    <w:p>
      <w:pPr>
        <w:keepNext/>
        <w:tabs>
          <w:tab w:val="left" w:pos="1843"/>
        </w:tabs>
        <w:spacing w:after="120"/>
        <w:ind w:left="1843" w:hanging="1843"/>
        <w:jc w:val="both"/>
        <w:rPr>
          <w:rFonts w:ascii="Arial" w:hAnsi="Arial" w:cs="Arial"/>
          <w:b/>
          <w:sz w:val="22"/>
          <w:szCs w:val="22"/>
          <w:lang w:val="en-US" w:eastAsia="zh-CN"/>
        </w:rPr>
      </w:pPr>
    </w:p>
    <w:p>
      <w:pPr>
        <w:keepNext/>
        <w:keepLines/>
        <w:pBdr>
          <w:top w:val="single" w:color="auto" w:sz="12" w:space="3"/>
        </w:pBdr>
        <w:spacing w:before="240" w:after="180"/>
        <w:outlineLvl w:val="0"/>
        <w:rPr>
          <w:rFonts w:ascii="Arial" w:hAnsi="Arial" w:eastAsia="Times New Roman"/>
          <w:sz w:val="36"/>
          <w:szCs w:val="20"/>
        </w:rPr>
      </w:pPr>
      <w:bookmarkStart w:id="0" w:name="_Toc530598569"/>
      <w:bookmarkStart w:id="1" w:name="_Toc530598551"/>
      <w:bookmarkStart w:id="2" w:name="_Toc530598495"/>
      <w:bookmarkStart w:id="3" w:name="_Toc22741451"/>
      <w:bookmarkStart w:id="4" w:name="_Toc85642147"/>
      <w:r>
        <w:rPr>
          <w:rFonts w:ascii="Arial" w:hAnsi="Arial" w:eastAsia="Times New Roman"/>
          <w:sz w:val="36"/>
          <w:szCs w:val="20"/>
        </w:rPr>
        <w:t>Introduction</w:t>
      </w:r>
      <w:bookmarkEnd w:id="0"/>
      <w:bookmarkEnd w:id="1"/>
      <w:bookmarkEnd w:id="2"/>
      <w:bookmarkEnd w:id="3"/>
      <w:bookmarkEnd w:id="4"/>
    </w:p>
    <w:p>
      <w:pPr>
        <w:rPr>
          <w:rFonts w:ascii="Times New Roman" w:hAnsi="Times New Roman"/>
        </w:rPr>
      </w:pPr>
      <w:r>
        <w:rPr>
          <w:rFonts w:ascii="Times New Roman" w:hAnsi="Times New Roman"/>
        </w:rPr>
        <w:t xml:space="preserve">This contribution </w:t>
      </w:r>
      <w:r>
        <w:rPr>
          <w:rFonts w:hint="eastAsia" w:ascii="Times New Roman" w:hAnsi="Times New Roman" w:eastAsia="宋体"/>
          <w:lang w:val="en-US" w:eastAsia="zh-CN"/>
        </w:rPr>
        <w:t>includes a list of</w:t>
      </w:r>
      <w:r>
        <w:rPr>
          <w:rFonts w:ascii="Times New Roman" w:hAnsi="Times New Roman"/>
        </w:rPr>
        <w:t xml:space="preserve"> RAN1 agreements made so far for the </w:t>
      </w:r>
      <w:r>
        <w:rPr>
          <w:rFonts w:hint="eastAsia" w:ascii="Times New Roman" w:hAnsi="Times New Roman" w:eastAsia="宋体"/>
          <w:lang w:val="en-US" w:eastAsia="zh-CN"/>
        </w:rPr>
        <w:t xml:space="preserve">following </w:t>
      </w:r>
      <w:r>
        <w:rPr>
          <w:rFonts w:ascii="Times New Roman" w:hAnsi="Times New Roman"/>
        </w:rPr>
        <w:t xml:space="preserve">Rel-17 WI. It also includes </w:t>
      </w:r>
      <w:r>
        <w:rPr>
          <w:rFonts w:hint="eastAsia" w:ascii="Times New Roman" w:hAnsi="Times New Roman" w:eastAsia="宋体"/>
          <w:lang w:val="en-US" w:eastAsia="zh-CN"/>
        </w:rPr>
        <w:t>outgoing and incoming LS for information</w:t>
      </w:r>
      <w:r>
        <w:rPr>
          <w:rFonts w:ascii="Times New Roman" w:hAnsi="Times New Roman"/>
        </w:rPr>
        <w:t>.</w:t>
      </w:r>
    </w:p>
    <w:p>
      <w:pPr>
        <w:rPr>
          <w:rFonts w:ascii="Times New Roman" w:hAnsi="Times New Roman"/>
        </w:rPr>
      </w:pPr>
    </w:p>
    <w:p>
      <w:pPr>
        <w:rPr>
          <w:rFonts w:ascii="Times New Roman" w:hAnsi="Times New Roman"/>
        </w:rPr>
      </w:pPr>
      <w:r>
        <w:rPr>
          <w:rFonts w:ascii="Times New Roman" w:hAnsi="Times New Roman"/>
        </w:rPr>
        <w:t>Title of WI: ‘NR small data transmissions in INACTIVE state’</w:t>
      </w:r>
    </w:p>
    <w:p>
      <w:pPr>
        <w:rPr>
          <w:rFonts w:ascii="Times New Roman" w:hAnsi="Times New Roman"/>
        </w:rPr>
      </w:pPr>
      <w:r>
        <w:rPr>
          <w:rFonts w:ascii="Times New Roman" w:hAnsi="Times New Roman"/>
        </w:rPr>
        <w:t>WI code: NR_SmallData_INACTIVE</w:t>
      </w:r>
    </w:p>
    <w:p>
      <w:pPr>
        <w:rPr>
          <w:rFonts w:ascii="Times New Roman" w:hAnsi="Times New Roman" w:eastAsia="MS Mincho"/>
          <w:szCs w:val="20"/>
          <w:lang w:eastAsia="ja-JP"/>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 xml:space="preserve">RAN1 </w:t>
      </w:r>
      <w:r>
        <w:rPr>
          <w:rFonts w:ascii="Arial" w:hAnsi="Arial" w:eastAsia="Times New Roman"/>
          <w:sz w:val="36"/>
          <w:szCs w:val="20"/>
        </w:rPr>
        <w:t>Agreements</w:t>
      </w:r>
    </w:p>
    <w:p>
      <w:pPr>
        <w:pStyle w:val="3"/>
        <w:bidi w:val="0"/>
        <w:rPr>
          <w:rFonts w:hint="eastAsia"/>
          <w:lang w:val="en-US" w:eastAsia="zh-CN"/>
        </w:rPr>
      </w:pPr>
      <w:r>
        <w:rPr>
          <w:rFonts w:hint="eastAsia"/>
          <w:lang w:val="en-US" w:eastAsia="zh-CN"/>
        </w:rPr>
        <w:t>RAN1#104e:</w:t>
      </w:r>
    </w:p>
    <w:p>
      <w:pPr>
        <w:bidi w:val="0"/>
        <w:rPr>
          <w:rFonts w:hint="eastAsia"/>
          <w:lang w:val="en-US" w:eastAsia="zh-CN"/>
        </w:rPr>
      </w:pPr>
    </w:p>
    <w:p>
      <w:pPr>
        <w:rPr>
          <w:rFonts w:hint="default" w:eastAsia="宋体"/>
          <w:highlight w:val="green"/>
          <w:lang w:val="en-US" w:eastAsia="zh-CN"/>
        </w:rPr>
      </w:pPr>
      <w:r>
        <w:rPr>
          <w:rFonts w:hint="eastAsia" w:eastAsia="宋体"/>
          <w:highlight w:val="green"/>
          <w:lang w:val="en-US" w:eastAsia="zh-CN"/>
        </w:rPr>
        <w:t>Agreement:</w:t>
      </w:r>
    </w:p>
    <w:p>
      <w:pPr>
        <w:numPr>
          <w:ilvl w:val="0"/>
          <w:numId w:val="9"/>
        </w:numPr>
        <w:ind w:left="420" w:leftChars="0" w:hanging="420" w:firstLineChars="0"/>
        <w:rPr>
          <w:rFonts w:hint="default" w:eastAsia="宋体"/>
          <w:lang w:val="en-US" w:eastAsia="zh-CN"/>
        </w:rPr>
      </w:pPr>
      <w:r>
        <w:rPr>
          <w:rFonts w:hint="default" w:eastAsia="宋体"/>
          <w:lang w:val="en-US" w:eastAsia="zh-CN"/>
        </w:rPr>
        <w:t>From RAN1 perspective, at least a separate SearchSpace that is different from the existing common SearchSpace should be supported for monitoring the PDCCH addressed to the C-RNTI after successful completion of the RACH procedure during RA-SDT</w:t>
      </w:r>
    </w:p>
    <w:p>
      <w:pPr>
        <w:numPr>
          <w:ilvl w:val="1"/>
          <w:numId w:val="9"/>
        </w:numPr>
        <w:ind w:left="840" w:leftChars="0" w:hanging="420" w:firstLineChars="0"/>
        <w:rPr>
          <w:rFonts w:hint="default" w:eastAsia="宋体"/>
          <w:lang w:val="en-US" w:eastAsia="zh-CN"/>
        </w:rPr>
      </w:pPr>
      <w:r>
        <w:rPr>
          <w:rFonts w:hint="default" w:eastAsia="宋体"/>
          <w:lang w:val="en-US" w:eastAsia="zh-CN"/>
        </w:rPr>
        <w:t>It is up to RAN2 decision if the separate SearchSpace is UE-specific or common to the UEs performing RA-SDT</w:t>
      </w:r>
    </w:p>
    <w:p>
      <w:pPr>
        <w:numPr>
          <w:ilvl w:val="0"/>
          <w:numId w:val="9"/>
        </w:numPr>
        <w:ind w:left="420" w:leftChars="0" w:hanging="420" w:firstLineChars="0"/>
        <w:rPr>
          <w:rFonts w:hint="default" w:eastAsia="宋体"/>
          <w:lang w:val="en-US" w:eastAsia="zh-CN"/>
        </w:rPr>
      </w:pPr>
      <w:r>
        <w:rPr>
          <w:rFonts w:hint="default" w:eastAsia="宋体"/>
          <w:lang w:val="en-US" w:eastAsia="zh-CN"/>
        </w:rPr>
        <w:t>If the separate SearchSpace is not configured, type-1 PDCCH CSS can be reused.</w:t>
      </w:r>
    </w:p>
    <w:p>
      <w:pPr>
        <w:numPr>
          <w:ilvl w:val="0"/>
          <w:numId w:val="9"/>
        </w:numPr>
        <w:ind w:left="420" w:leftChars="0" w:hanging="420" w:firstLineChars="0"/>
        <w:rPr>
          <w:rFonts w:hint="default" w:eastAsia="宋体"/>
          <w:lang w:val="en-US" w:eastAsia="zh-CN"/>
        </w:rPr>
      </w:pPr>
      <w:r>
        <w:rPr>
          <w:rFonts w:hint="default" w:eastAsia="宋体"/>
          <w:lang w:val="en-US" w:eastAsia="zh-CN"/>
        </w:rPr>
        <w:t>FFS UE-specific CORESET or common CORESET</w:t>
      </w:r>
    </w:p>
    <w:p>
      <w:pPr>
        <w:rPr>
          <w:rFonts w:hint="default" w:eastAsia="宋体"/>
          <w:lang w:val="en-US" w:eastAsia="zh-CN"/>
        </w:rPr>
      </w:pPr>
    </w:p>
    <w:p>
      <w:pPr>
        <w:rPr>
          <w:rFonts w:hint="default" w:eastAsia="宋体"/>
          <w:highlight w:val="green"/>
          <w:lang w:val="en-US" w:eastAsia="zh-CN"/>
        </w:rPr>
      </w:pPr>
      <w:r>
        <w:rPr>
          <w:rFonts w:hint="eastAsia" w:eastAsia="宋体"/>
          <w:highlight w:val="green"/>
          <w:lang w:val="en-US" w:eastAsia="zh-CN"/>
        </w:rPr>
        <w:t>Agreement:</w:t>
      </w:r>
    </w:p>
    <w:p>
      <w:pPr>
        <w:numPr>
          <w:ilvl w:val="0"/>
          <w:numId w:val="9"/>
        </w:numPr>
        <w:ind w:left="420" w:leftChars="0" w:hanging="420" w:firstLineChars="0"/>
        <w:rPr>
          <w:rFonts w:hint="default" w:eastAsia="宋体"/>
          <w:lang w:val="en-US" w:eastAsia="zh-CN"/>
        </w:rPr>
      </w:pPr>
      <w:r>
        <w:rPr>
          <w:rFonts w:hint="default" w:eastAsia="宋体"/>
          <w:lang w:val="en-US" w:eastAsia="zh-CN"/>
        </w:rPr>
        <w:t>One or multiple SSBs can be associated with each CG configuration for CG-SDT.</w:t>
      </w:r>
    </w:p>
    <w:p>
      <w:pPr>
        <w:numPr>
          <w:ilvl w:val="0"/>
          <w:numId w:val="9"/>
        </w:numPr>
        <w:ind w:left="420" w:leftChars="0" w:hanging="420" w:firstLineChars="0"/>
        <w:rPr>
          <w:rFonts w:hint="default" w:eastAsia="宋体"/>
          <w:lang w:val="en-US" w:eastAsia="zh-CN"/>
        </w:rPr>
      </w:pPr>
      <w:r>
        <w:rPr>
          <w:rFonts w:hint="default" w:eastAsia="宋体"/>
          <w:lang w:val="en-US" w:eastAsia="zh-CN"/>
        </w:rPr>
        <w:t>From RAN1 perspective, the following options can be considered for the association between the SSBs and the CG resources (including transmission occasions and DMRS) per CG configuration for CG-SDT.</w:t>
      </w:r>
    </w:p>
    <w:p>
      <w:pPr>
        <w:numPr>
          <w:ilvl w:val="1"/>
          <w:numId w:val="9"/>
        </w:numPr>
        <w:ind w:left="840" w:leftChars="0" w:hanging="420" w:firstLineChars="0"/>
        <w:rPr>
          <w:rFonts w:hint="default" w:eastAsia="宋体"/>
          <w:lang w:val="en-US" w:eastAsia="zh-CN"/>
        </w:rPr>
      </w:pPr>
      <w:r>
        <w:rPr>
          <w:rFonts w:hint="default" w:eastAsia="宋体"/>
          <w:lang w:val="en-US" w:eastAsia="zh-CN"/>
        </w:rPr>
        <w:t xml:space="preserve">Opt. 1: Define the SSB-to-CG-PUSCH mapping rule </w:t>
      </w:r>
    </w:p>
    <w:p>
      <w:pPr>
        <w:numPr>
          <w:ilvl w:val="2"/>
          <w:numId w:val="9"/>
        </w:numPr>
        <w:ind w:left="1260" w:leftChars="0" w:hanging="420" w:firstLineChars="0"/>
        <w:rPr>
          <w:rFonts w:hint="default" w:eastAsia="宋体"/>
          <w:lang w:val="en-US" w:eastAsia="zh-CN"/>
        </w:rPr>
      </w:pPr>
      <w:r>
        <w:rPr>
          <w:rFonts w:hint="default" w:eastAsia="宋体"/>
          <w:lang w:val="en-US" w:eastAsia="zh-CN"/>
        </w:rPr>
        <w:t>Reuse the SSB-to-RO mapping as the baseline</w:t>
      </w:r>
    </w:p>
    <w:p>
      <w:pPr>
        <w:numPr>
          <w:ilvl w:val="2"/>
          <w:numId w:val="9"/>
        </w:numPr>
        <w:ind w:left="1260" w:leftChars="0" w:hanging="420" w:firstLineChars="0"/>
        <w:rPr>
          <w:rFonts w:hint="default" w:eastAsia="宋体"/>
          <w:lang w:val="en-US" w:eastAsia="zh-CN"/>
        </w:rPr>
      </w:pPr>
      <w:r>
        <w:rPr>
          <w:rFonts w:hint="default" w:eastAsia="宋体"/>
          <w:lang w:val="en-US" w:eastAsia="zh-CN"/>
        </w:rPr>
        <w:t>FFS the potential RAN1 impact, e.g. mapping ratio and association period</w:t>
      </w:r>
    </w:p>
    <w:p>
      <w:pPr>
        <w:numPr>
          <w:ilvl w:val="1"/>
          <w:numId w:val="9"/>
        </w:numPr>
        <w:ind w:left="840" w:leftChars="0" w:hanging="420" w:firstLineChars="0"/>
        <w:rPr>
          <w:rFonts w:hint="default" w:eastAsia="宋体"/>
          <w:lang w:val="en-US" w:eastAsia="zh-CN"/>
        </w:rPr>
      </w:pPr>
      <w:r>
        <w:rPr>
          <w:rFonts w:hint="default" w:eastAsia="宋体"/>
          <w:lang w:val="en-US" w:eastAsia="zh-CN"/>
        </w:rPr>
        <w:t>Opt. 2: CG resources per CG configuration are associated with a set of SSB(s) by explicit signalling.</w:t>
      </w:r>
    </w:p>
    <w:p>
      <w:pPr>
        <w:numPr>
          <w:ilvl w:val="2"/>
          <w:numId w:val="9"/>
        </w:numPr>
        <w:ind w:left="1260" w:leftChars="0" w:hanging="420" w:firstLineChars="0"/>
        <w:rPr>
          <w:rFonts w:hint="default" w:eastAsia="宋体"/>
          <w:lang w:val="en-US" w:eastAsia="zh-CN"/>
        </w:rPr>
      </w:pPr>
      <w:r>
        <w:rPr>
          <w:rFonts w:hint="default" w:eastAsia="宋体"/>
          <w:lang w:val="en-US" w:eastAsia="zh-CN"/>
        </w:rPr>
        <w:t>FFS the potential RAN1 impact</w:t>
      </w:r>
    </w:p>
    <w:p>
      <w:pPr>
        <w:numPr>
          <w:ilvl w:val="1"/>
          <w:numId w:val="9"/>
        </w:numPr>
        <w:ind w:left="840" w:leftChars="0" w:hanging="420" w:firstLineChars="0"/>
        <w:rPr>
          <w:rFonts w:hint="default" w:eastAsia="宋体"/>
          <w:lang w:val="en-US" w:eastAsia="zh-CN"/>
        </w:rPr>
      </w:pPr>
      <w:r>
        <w:rPr>
          <w:rFonts w:hint="default" w:eastAsia="宋体"/>
          <w:lang w:val="en-US" w:eastAsia="zh-CN"/>
        </w:rPr>
        <w:t>Other solutions are not precluded</w:t>
      </w:r>
    </w:p>
    <w:p>
      <w:pPr>
        <w:numPr>
          <w:ilvl w:val="0"/>
          <w:numId w:val="9"/>
        </w:numPr>
        <w:ind w:left="420" w:leftChars="0" w:hanging="420" w:firstLineChars="0"/>
        <w:rPr>
          <w:rFonts w:hint="default" w:eastAsia="宋体"/>
          <w:lang w:val="en-US" w:eastAsia="zh-CN"/>
        </w:rPr>
      </w:pPr>
      <w:r>
        <w:rPr>
          <w:rFonts w:hint="default" w:eastAsia="宋体"/>
          <w:lang w:val="en-US" w:eastAsia="zh-CN"/>
        </w:rPr>
        <w:t>FFS whether repetition is supported for CG-SDT or not, and if supported how to handle the mapping between the SSBs and repetitions</w:t>
      </w:r>
    </w:p>
    <w:p>
      <w:pPr>
        <w:numPr>
          <w:ilvl w:val="0"/>
          <w:numId w:val="9"/>
        </w:numPr>
        <w:ind w:left="420" w:leftChars="0" w:hanging="420" w:firstLineChars="0"/>
        <w:rPr>
          <w:rFonts w:hint="default" w:eastAsia="宋体"/>
          <w:lang w:val="en-US" w:eastAsia="zh-CN"/>
        </w:rPr>
      </w:pPr>
      <w:r>
        <w:rPr>
          <w:rFonts w:hint="default" w:eastAsia="宋体"/>
          <w:lang w:val="en-US" w:eastAsia="zh-CN"/>
        </w:rPr>
        <w:t>FFS TA validation and PUSCH validation for CG-SDT.</w:t>
      </w:r>
    </w:p>
    <w:p>
      <w:pPr>
        <w:rPr>
          <w:rFonts w:hint="default" w:eastAsia="宋体"/>
          <w:lang w:val="en-US" w:eastAsia="zh-CN"/>
        </w:rPr>
      </w:pPr>
    </w:p>
    <w:p>
      <w:pPr>
        <w:rPr>
          <w:rFonts w:hint="eastAsia" w:eastAsia="宋体"/>
          <w:lang w:val="en-US" w:eastAsia="zh-CN"/>
        </w:rPr>
      </w:pPr>
      <w:r>
        <w:rPr>
          <w:rFonts w:hint="eastAsia" w:eastAsia="宋体"/>
          <w:lang w:val="en-US" w:eastAsia="zh-CN"/>
        </w:rPr>
        <w:t>RAN1#104bis-e:</w:t>
      </w:r>
    </w:p>
    <w:p>
      <w:pPr>
        <w:rPr>
          <w:rFonts w:hint="eastAsia" w:eastAsia="宋体"/>
          <w:lang w:val="en-US" w:eastAsia="zh-CN"/>
        </w:rPr>
      </w:pPr>
    </w:p>
    <w:p>
      <w:pPr>
        <w:rPr>
          <w:b/>
          <w:bCs/>
          <w:u w:val="single"/>
        </w:rPr>
      </w:pPr>
      <w:r>
        <w:rPr>
          <w:b/>
          <w:bCs/>
          <w:u w:val="single"/>
        </w:rPr>
        <w:t>Conclusion:</w:t>
      </w:r>
    </w:p>
    <w:p>
      <w:pPr>
        <w:numPr>
          <w:ilvl w:val="0"/>
          <w:numId w:val="10"/>
        </w:numPr>
      </w:pPr>
      <w:r>
        <w:t>It is RAN1’s common understanding that the CG configuration mechanism in licensed band can be reused for CG-SDT in principle.</w:t>
      </w:r>
    </w:p>
    <w:p>
      <w:pPr>
        <w:numPr>
          <w:ilvl w:val="0"/>
          <w:numId w:val="0"/>
        </w:numPr>
      </w:pPr>
    </w:p>
    <w:p>
      <w:pPr>
        <w:rPr>
          <w:highlight w:val="green"/>
        </w:rPr>
      </w:pPr>
      <w:r>
        <w:rPr>
          <w:highlight w:val="green"/>
        </w:rPr>
        <w:t>Agreement:</w:t>
      </w:r>
    </w:p>
    <w:p>
      <w:pPr>
        <w:numPr>
          <w:ilvl w:val="0"/>
          <w:numId w:val="11"/>
        </w:numPr>
      </w:pPr>
      <w:r>
        <w:t>CG resources per CG configuration are associated with a set of SSB(s) configured by explicit signalling.</w:t>
      </w:r>
    </w:p>
    <w:p>
      <w:pPr>
        <w:numPr>
          <w:ilvl w:val="1"/>
          <w:numId w:val="11"/>
        </w:numPr>
      </w:pPr>
      <w:r>
        <w:t>FFS how to define an SSB-to-PUSCH resource mapping within the CG configuration.</w:t>
      </w:r>
    </w:p>
    <w:p>
      <w:pPr>
        <w:numPr>
          <w:ilvl w:val="1"/>
          <w:numId w:val="11"/>
        </w:numPr>
      </w:pPr>
      <w:r>
        <w:t>FFS specific changes to the CG configuration to support the additional SSB-to-PUSCH mapping, if any.</w:t>
      </w:r>
    </w:p>
    <w:p>
      <w:pPr>
        <w:rPr>
          <w:rFonts w:hint="default" w:eastAsia="宋体"/>
          <w:highlight w:val="yellow"/>
          <w:lang w:val="en-US" w:eastAsia="zh-CN"/>
        </w:rPr>
      </w:pPr>
    </w:p>
    <w:p>
      <w:pPr>
        <w:pStyle w:val="3"/>
        <w:bidi w:val="0"/>
        <w:rPr>
          <w:rFonts w:hint="eastAsia"/>
          <w:lang w:val="en-US" w:eastAsia="zh-CN"/>
        </w:rPr>
      </w:pPr>
      <w:r>
        <w:rPr>
          <w:rFonts w:hint="eastAsia"/>
          <w:lang w:val="en-US" w:eastAsia="zh-CN"/>
        </w:rPr>
        <w:t>RAN1#105e:</w:t>
      </w:r>
    </w:p>
    <w:p>
      <w:pPr>
        <w:rPr>
          <w:rFonts w:hint="eastAsia" w:eastAsia="宋体"/>
          <w:lang w:val="en-US" w:eastAsia="zh-CN"/>
        </w:rPr>
      </w:pPr>
    </w:p>
    <w:p>
      <w:pPr>
        <w:rPr>
          <w:highlight w:val="green"/>
        </w:rPr>
      </w:pPr>
      <w:r>
        <w:rPr>
          <w:highlight w:val="green"/>
        </w:rPr>
        <w:t>Agreement:</w:t>
      </w:r>
    </w:p>
    <w:p>
      <w:pPr>
        <w:numPr>
          <w:ilvl w:val="0"/>
          <w:numId w:val="12"/>
        </w:numPr>
      </w:pPr>
      <w:r>
        <w:t>The SSB-to-PUSCH resource mapping within the CG configuration is implicitly defined.</w:t>
      </w:r>
    </w:p>
    <w:p>
      <w:pPr>
        <w:numPr>
          <w:ilvl w:val="0"/>
          <w:numId w:val="13"/>
        </w:numPr>
      </w:pPr>
      <w:r>
        <w:t>The ordering of the SSB and CG PUSCH resources are to be captured in RAN1 spec.</w:t>
      </w:r>
    </w:p>
    <w:p>
      <w:pPr>
        <w:numPr>
          <w:ilvl w:val="1"/>
          <w:numId w:val="14"/>
        </w:numPr>
      </w:pPr>
      <w:r>
        <w:t>A PUSCH resource refers to a transmission occasion and a DMRS resource used for PUSCH transmission</w:t>
      </w:r>
    </w:p>
    <w:p>
      <w:pPr>
        <w:numPr>
          <w:ilvl w:val="1"/>
          <w:numId w:val="14"/>
        </w:numPr>
      </w:pPr>
      <w:r>
        <w:t>The ordering of the SSB can reuse from the SSB-to-RO mapping</w:t>
      </w:r>
    </w:p>
    <w:p>
      <w:pPr>
        <w:numPr>
          <w:ilvl w:val="1"/>
          <w:numId w:val="14"/>
        </w:numPr>
      </w:pPr>
      <w:r>
        <w:t>The ordering of CG PUSCH resources can reuse from that of MsgA PUSCH as much as possible</w:t>
      </w:r>
    </w:p>
    <w:p>
      <w:pPr>
        <w:numPr>
          <w:ilvl w:val="0"/>
          <w:numId w:val="13"/>
        </w:numPr>
      </w:pPr>
      <w:r>
        <w:t>FFS determination of mapping ratio and association period, e.g., explicitly signaled or implicitly derived</w:t>
      </w:r>
    </w:p>
    <w:p>
      <w:pPr>
        <w:numPr>
          <w:ilvl w:val="0"/>
          <w:numId w:val="13"/>
        </w:numPr>
      </w:pPr>
      <w:r>
        <w:t>FFS any limitation on the combination of the parameters for CG resources</w:t>
      </w:r>
    </w:p>
    <w:p>
      <w:pPr>
        <w:rPr>
          <w:rFonts w:hint="default" w:eastAsia="宋体"/>
          <w:lang w:val="en-US" w:eastAsia="zh-CN"/>
        </w:rPr>
      </w:pPr>
    </w:p>
    <w:p>
      <w:pPr>
        <w:rPr>
          <w:highlight w:val="green"/>
        </w:rPr>
      </w:pPr>
      <w:r>
        <w:rPr>
          <w:highlight w:val="green"/>
        </w:rPr>
        <w:t>Agreement:</w:t>
      </w:r>
    </w:p>
    <w:p>
      <w:pPr>
        <w:pStyle w:val="98"/>
        <w:numPr>
          <w:ilvl w:val="0"/>
          <w:numId w:val="15"/>
        </w:numPr>
        <w:ind w:leftChars="0"/>
        <w:rPr>
          <w:rFonts w:ascii="Calibri" w:hAnsi="Calibri"/>
          <w:szCs w:val="22"/>
          <w:lang w:val="en-US"/>
        </w:rPr>
      </w:pPr>
      <w:r>
        <w:t>The SSB subset for RSRP based TA validation is determined at least based on a configured absolute RSRP threshold.</w:t>
      </w:r>
    </w:p>
    <w:p>
      <w:pPr>
        <w:pStyle w:val="98"/>
        <w:numPr>
          <w:ilvl w:val="0"/>
          <w:numId w:val="15"/>
        </w:numPr>
        <w:ind w:leftChars="0"/>
      </w:pPr>
      <w:r>
        <w:t>FFS the SSB subset which could be</w:t>
      </w:r>
    </w:p>
    <w:p>
      <w:pPr>
        <w:pStyle w:val="98"/>
        <w:numPr>
          <w:ilvl w:val="1"/>
          <w:numId w:val="15"/>
        </w:numPr>
        <w:ind w:leftChars="0"/>
      </w:pPr>
      <w:r>
        <w:t>within a set of SSBs configured per CG configuration</w:t>
      </w:r>
    </w:p>
    <w:p>
      <w:pPr>
        <w:pStyle w:val="98"/>
        <w:numPr>
          <w:ilvl w:val="1"/>
          <w:numId w:val="15"/>
        </w:numPr>
        <w:ind w:leftChars="0"/>
      </w:pPr>
      <w:r>
        <w:t>or within a set of SSBs configured for all CG configurations</w:t>
      </w:r>
    </w:p>
    <w:p>
      <w:pPr>
        <w:pStyle w:val="98"/>
        <w:numPr>
          <w:ilvl w:val="1"/>
          <w:numId w:val="15"/>
        </w:numPr>
        <w:ind w:leftChars="0"/>
      </w:pPr>
      <w:r>
        <w:t>or within a set of all SSBs actually transmitted as indicated in SIB1.</w:t>
      </w:r>
    </w:p>
    <w:p>
      <w:pPr>
        <w:pStyle w:val="98"/>
        <w:numPr>
          <w:ilvl w:val="1"/>
          <w:numId w:val="15"/>
        </w:numPr>
        <w:ind w:leftChars="0"/>
      </w:pPr>
      <w:r>
        <w:rPr>
          <w:rFonts w:ascii="Times New Roman" w:hAnsi="Times New Roman"/>
        </w:rPr>
        <w:t>or</w:t>
      </w:r>
      <w:r>
        <w:rPr>
          <w:rFonts w:ascii="Times New Roman" w:hAnsi="Times New Roman"/>
          <w:sz w:val="14"/>
          <w:szCs w:val="14"/>
        </w:rPr>
        <w:t xml:space="preserve"> </w:t>
      </w:r>
      <w:r>
        <w:t>highest N SSBs that are measured to derive the subset for a UE across all CG configurations</w:t>
      </w:r>
    </w:p>
    <w:p>
      <w:pPr>
        <w:rPr>
          <w:rFonts w:hint="eastAsia" w:eastAsia="宋体"/>
          <w:lang w:val="en-US" w:eastAsia="zh-CN"/>
        </w:rPr>
      </w:pPr>
    </w:p>
    <w:p>
      <w:pPr>
        <w:pStyle w:val="3"/>
        <w:bidi w:val="0"/>
        <w:rPr>
          <w:rFonts w:hint="eastAsia"/>
          <w:lang w:val="en-US" w:eastAsia="zh-CN"/>
        </w:rPr>
      </w:pPr>
      <w:r>
        <w:rPr>
          <w:rFonts w:hint="eastAsia"/>
          <w:lang w:val="en-US" w:eastAsia="zh-CN"/>
        </w:rPr>
        <w:t>RAN1#106e:</w:t>
      </w:r>
    </w:p>
    <w:p>
      <w:pPr>
        <w:rPr>
          <w:rFonts w:hint="eastAsia" w:eastAsia="宋体"/>
          <w:lang w:val="en-US" w:eastAsia="zh-CN"/>
        </w:rPr>
      </w:pPr>
    </w:p>
    <w:p>
      <w:pPr>
        <w:pStyle w:val="34"/>
        <w:spacing w:before="0" w:beforeAutospacing="0" w:after="0" w:afterAutospacing="0"/>
        <w:rPr>
          <w:rFonts w:ascii="Times" w:hAnsi="Times" w:eastAsia="Malgun Gothic" w:cs="Times"/>
          <w:b/>
          <w:bCs/>
          <w:color w:val="auto"/>
          <w:sz w:val="20"/>
          <w:szCs w:val="20"/>
          <w:lang w:eastAsia="ko-KR"/>
        </w:rPr>
      </w:pPr>
      <w:r>
        <w:rPr>
          <w:rFonts w:ascii="Times" w:hAnsi="Times" w:cs="Times"/>
          <w:b/>
          <w:bCs/>
          <w:color w:val="auto"/>
          <w:sz w:val="20"/>
          <w:szCs w:val="20"/>
        </w:rPr>
        <w:t>Conclusion</w:t>
      </w:r>
    </w:p>
    <w:p>
      <w:pPr>
        <w:rPr>
          <w:rFonts w:eastAsia="Times New Roman" w:cs="Times"/>
          <w:szCs w:val="20"/>
        </w:rPr>
      </w:pPr>
      <w:r>
        <w:rPr>
          <w:rFonts w:eastAsia="Times New Roman" w:cs="Times"/>
          <w:szCs w:val="20"/>
        </w:rPr>
        <w:t>RAN1 cannot reach consensus on the following options for the SSB subset for RSRP based TA validation. Ask RAN2 if they can do the down-selection.</w:t>
      </w:r>
    </w:p>
    <w:p>
      <w:pPr>
        <w:pStyle w:val="34"/>
        <w:numPr>
          <w:ilvl w:val="0"/>
          <w:numId w:val="16"/>
        </w:numPr>
        <w:spacing w:before="0" w:beforeAutospacing="0" w:after="0" w:afterAutospacing="0"/>
        <w:rPr>
          <w:rFonts w:ascii="Times" w:hAnsi="Times" w:eastAsia="Malgun Gothic" w:cs="Times"/>
          <w:color w:val="auto"/>
          <w:sz w:val="20"/>
          <w:szCs w:val="20"/>
        </w:rPr>
      </w:pPr>
      <w:r>
        <w:rPr>
          <w:rFonts w:ascii="Times" w:hAnsi="Times" w:cs="Times"/>
          <w:color w:val="auto"/>
          <w:sz w:val="20"/>
          <w:szCs w:val="20"/>
        </w:rPr>
        <w:t>Option 1: Within a set of SSBs configured per CG configuration</w:t>
      </w:r>
    </w:p>
    <w:p>
      <w:pPr>
        <w:pStyle w:val="34"/>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2: Within a set of SSBs configured for all CG configurations</w:t>
      </w:r>
    </w:p>
    <w:p>
      <w:pPr>
        <w:pStyle w:val="34"/>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3: Within a set of all SSBs actually transmitted as indicated in SIB1</w:t>
      </w:r>
    </w:p>
    <w:p>
      <w:pPr>
        <w:pStyle w:val="34"/>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4: Highest N SSBs of all SSBs actually transmitted as indicated in SIB1</w:t>
      </w:r>
    </w:p>
    <w:p>
      <w:pPr>
        <w:pStyle w:val="34"/>
        <w:spacing w:before="0" w:beforeAutospacing="0" w:after="0" w:afterAutospacing="0"/>
        <w:rPr>
          <w:rFonts w:ascii="Times" w:hAnsi="Times" w:cs="Times"/>
          <w:sz w:val="20"/>
          <w:szCs w:val="20"/>
        </w:rPr>
      </w:pPr>
    </w:p>
    <w:p>
      <w:pPr>
        <w:pStyle w:val="34"/>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numPr>
          <w:ilvl w:val="0"/>
          <w:numId w:val="17"/>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pPr>
        <w:numPr>
          <w:ilvl w:val="1"/>
          <w:numId w:val="18"/>
        </w:numPr>
        <w:rPr>
          <w:rFonts w:eastAsia="Times New Roman" w:cs="Times"/>
          <w:szCs w:val="20"/>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is determined first in an ascending order of a DMRS port index and second in an ascending order of a DMRS sequence index</w:t>
      </w:r>
    </w:p>
    <w:p>
      <w:pPr>
        <w:numPr>
          <w:ilvl w:val="1"/>
          <w:numId w:val="18"/>
        </w:numPr>
        <w:rPr>
          <w:rFonts w:eastAsia="Times New Roman" w:cs="Times"/>
          <w:szCs w:val="20"/>
        </w:rPr>
      </w:pPr>
      <w:r>
        <w:rPr>
          <w:rFonts w:eastAsia="Times New Roman" w:cs="Times"/>
          <w:color w:val="000000"/>
          <w:szCs w:val="20"/>
        </w:rPr>
        <w:t>second, in increasing order of CG period indexes in the association period</w:t>
      </w:r>
    </w:p>
    <w:p>
      <w:pPr>
        <w:numPr>
          <w:ilvl w:val="0"/>
          <w:numId w:val="19"/>
        </w:numPr>
        <w:rPr>
          <w:rFonts w:eastAsia="Times New Roman" w:cs="Times"/>
          <w:szCs w:val="20"/>
        </w:rPr>
      </w:pPr>
      <w:r>
        <w:rPr>
          <w:rFonts w:eastAsia="Times New Roman" w:cs="Times"/>
          <w:color w:val="000000"/>
          <w:szCs w:val="20"/>
        </w:rPr>
        <w:t>The mapping ratio N is explicitly signalled and the association period is implicitly derived</w:t>
      </w:r>
    </w:p>
    <w:p>
      <w:pPr>
        <w:numPr>
          <w:ilvl w:val="1"/>
          <w:numId w:val="20"/>
        </w:numPr>
        <w:rPr>
          <w:rFonts w:eastAsia="Times New Roman" w:cs="Times"/>
          <w:szCs w:val="20"/>
        </w:rPr>
      </w:pPr>
      <w:r>
        <w:rPr>
          <w:rFonts w:eastAsia="Times New Roman" w:cs="Times"/>
          <w:color w:val="000000"/>
          <w:szCs w:val="20"/>
        </w:rPr>
        <w:t>FFS candidate value set of mapping ratio, and whether it is configured per CG configuration or per cell</w:t>
      </w:r>
    </w:p>
    <w:p>
      <w:pPr>
        <w:numPr>
          <w:ilvl w:val="1"/>
          <w:numId w:val="20"/>
        </w:numPr>
        <w:rPr>
          <w:rFonts w:eastAsia="Times New Roman" w:cs="Times"/>
          <w:szCs w:val="20"/>
        </w:rPr>
      </w:pPr>
      <w:r>
        <w:rPr>
          <w:rFonts w:eastAsia="Times New Roman" w:cs="Times"/>
          <w:color w:val="000000"/>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pPr>
        <w:numPr>
          <w:ilvl w:val="1"/>
          <w:numId w:val="20"/>
        </w:numPr>
        <w:rPr>
          <w:rFonts w:eastAsia="Times New Roman" w:cs="Times"/>
          <w:szCs w:val="20"/>
        </w:rPr>
      </w:pPr>
      <w:r>
        <w:rPr>
          <w:rFonts w:eastAsia="Times New Roman" w:cs="Times"/>
          <w:color w:val="000000"/>
          <w:szCs w:val="20"/>
        </w:rPr>
        <w:t>An association pattern period includes one or more association periods and is determined so that a pattern between CG PUSCH occasions and SS/PBCH block indexes associated with the CG configuration repeats at most every 640 msec.</w:t>
      </w:r>
    </w:p>
    <w:p>
      <w:pPr>
        <w:numPr>
          <w:ilvl w:val="0"/>
          <w:numId w:val="21"/>
        </w:numPr>
        <w:rPr>
          <w:rFonts w:eastAsia="Times New Roman" w:cs="Times"/>
          <w:szCs w:val="20"/>
        </w:rPr>
      </w:pPr>
      <w:r>
        <w:rPr>
          <w:rFonts w:eastAsia="Times New Roman" w:cs="Times"/>
          <w:color w:val="000000"/>
          <w:szCs w:val="20"/>
        </w:rPr>
        <w:t>Note: The mapping ordering and steps may be revisited if multiple CG PUSCH occasions in one CG period is supported</w:t>
      </w:r>
    </w:p>
    <w:p>
      <w:pPr>
        <w:pStyle w:val="34"/>
        <w:spacing w:before="0" w:beforeAutospacing="0" w:after="0" w:afterAutospacing="0"/>
        <w:rPr>
          <w:rFonts w:ascii="Times" w:hAnsi="Times" w:eastAsia="Malgun Gothic" w:cs="Times"/>
          <w:sz w:val="20"/>
          <w:szCs w:val="20"/>
        </w:rPr>
      </w:pPr>
      <w:r>
        <w:rPr>
          <w:rFonts w:ascii="Times" w:hAnsi="Times" w:cs="Times"/>
          <w:sz w:val="20"/>
          <w:szCs w:val="20"/>
        </w:rPr>
        <w:t> </w:t>
      </w:r>
    </w:p>
    <w:p>
      <w:pPr>
        <w:pStyle w:val="34"/>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rPr>
          <w:rFonts w:eastAsia="Times New Roman" w:cs="Times"/>
          <w:szCs w:val="20"/>
        </w:rPr>
      </w:pPr>
      <w:r>
        <w:rPr>
          <w:rFonts w:eastAsia="Times New Roman" w:cs="Times"/>
          <w:szCs w:val="20"/>
        </w:rPr>
        <w:t>Support multiple DMRS resources per CG configuration when single layer PUSCH transmission is assumed, and each DMRS resource could be mapped to the same or different SSB(s)</w:t>
      </w:r>
    </w:p>
    <w:p>
      <w:pPr>
        <w:numPr>
          <w:ilvl w:val="0"/>
          <w:numId w:val="22"/>
        </w:numPr>
        <w:rPr>
          <w:rFonts w:eastAsia="Times New Roman" w:cs="Times"/>
          <w:szCs w:val="20"/>
        </w:rPr>
      </w:pPr>
      <w:r>
        <w:rPr>
          <w:rFonts w:eastAsia="Times New Roman" w:cs="Times"/>
          <w:szCs w:val="20"/>
        </w:rPr>
        <w:t>FFS if multi-layer PUSCH transmission is supported for CG-SDT</w:t>
      </w:r>
    </w:p>
    <w:p>
      <w:pPr>
        <w:numPr>
          <w:ilvl w:val="0"/>
          <w:numId w:val="22"/>
        </w:numPr>
        <w:rPr>
          <w:rFonts w:eastAsia="Times New Roman" w:cs="Times"/>
          <w:szCs w:val="20"/>
        </w:rPr>
      </w:pPr>
      <w:r>
        <w:rPr>
          <w:rFonts w:eastAsia="Times New Roman" w:cs="Times"/>
          <w:color w:val="000000"/>
          <w:szCs w:val="20"/>
        </w:rPr>
        <w:t>FFS any limitation on the DMRS configuration if multiple CG PUSCH occasions per CG period is supported</w:t>
      </w:r>
    </w:p>
    <w:p>
      <w:pPr>
        <w:pStyle w:val="34"/>
        <w:spacing w:before="0" w:beforeAutospacing="0" w:after="0" w:afterAutospacing="0"/>
        <w:rPr>
          <w:rFonts w:ascii="Times" w:hAnsi="Times" w:eastAsia="Malgun Gothic" w:cs="Times"/>
          <w:b/>
          <w:bCs/>
          <w:color w:val="auto"/>
          <w:sz w:val="20"/>
          <w:szCs w:val="20"/>
        </w:rPr>
      </w:pPr>
      <w:r>
        <w:rPr>
          <w:rFonts w:ascii="Times" w:hAnsi="Times" w:cs="Times"/>
          <w:b/>
          <w:bCs/>
          <w:color w:val="000000"/>
          <w:sz w:val="20"/>
          <w:szCs w:val="20"/>
          <w:u w:val="single"/>
          <w:shd w:val="clear" w:color="auto" w:fill="FFFF00"/>
        </w:rPr>
        <w:br w:type="textWrapping"/>
      </w:r>
      <w:r>
        <w:rPr>
          <w:rFonts w:ascii="Times" w:hAnsi="Times" w:cs="Times"/>
          <w:b/>
          <w:bCs/>
          <w:color w:val="auto"/>
          <w:sz w:val="20"/>
          <w:szCs w:val="20"/>
          <w:highlight w:val="green"/>
        </w:rPr>
        <w:t>Agreement</w:t>
      </w:r>
    </w:p>
    <w:p>
      <w:pPr>
        <w:numPr>
          <w:ilvl w:val="0"/>
          <w:numId w:val="23"/>
        </w:numPr>
        <w:rPr>
          <w:rFonts w:eastAsia="Times New Roman" w:cs="Times"/>
          <w:szCs w:val="20"/>
        </w:rPr>
      </w:pPr>
      <w:r>
        <w:rPr>
          <w:rFonts w:eastAsia="Times New Roman" w:cs="Times"/>
          <w:szCs w:val="20"/>
        </w:rPr>
        <w:t>The following PUSCH occasion validation rule is applied for CG-SDT</w:t>
      </w:r>
    </w:p>
    <w:p>
      <w:pPr>
        <w:numPr>
          <w:ilvl w:val="1"/>
          <w:numId w:val="24"/>
        </w:numPr>
        <w:rPr>
          <w:rFonts w:eastAsia="Times New Roman" w:cs="Times"/>
          <w:szCs w:val="20"/>
        </w:rPr>
      </w:pPr>
      <w:r>
        <w:rPr>
          <w:rFonts w:eastAsia="Times New Roman" w:cs="Times"/>
          <w:szCs w:val="20"/>
        </w:rPr>
        <w:t xml:space="preserve">for unpaired spectrum and for SS/PBCH blocks with indexes provided by </w:t>
      </w:r>
      <w:r>
        <w:rPr>
          <w:rStyle w:val="44"/>
          <w:rFonts w:eastAsia="Times New Roman" w:cs="Times"/>
          <w:szCs w:val="20"/>
        </w:rPr>
        <w:t>ssb-PositionsInBurst</w:t>
      </w:r>
      <w:r>
        <w:rPr>
          <w:rFonts w:eastAsia="Times New Roman" w:cs="Times"/>
          <w:szCs w:val="20"/>
        </w:rPr>
        <w:t xml:space="preserve"> in </w:t>
      </w:r>
      <w:r>
        <w:rPr>
          <w:rStyle w:val="44"/>
          <w:rFonts w:eastAsia="Times New Roman" w:cs="Times"/>
          <w:szCs w:val="20"/>
        </w:rPr>
        <w:t>SIB1</w:t>
      </w:r>
      <w:r>
        <w:rPr>
          <w:rFonts w:eastAsia="Times New Roman" w:cs="Times"/>
          <w:szCs w:val="20"/>
        </w:rPr>
        <w:t xml:space="preserve"> or by </w:t>
      </w:r>
      <w:r>
        <w:rPr>
          <w:rStyle w:val="44"/>
          <w:rFonts w:eastAsia="Times New Roman" w:cs="Times"/>
          <w:szCs w:val="20"/>
        </w:rPr>
        <w:t>ServingCellConfigCommon</w:t>
      </w:r>
    </w:p>
    <w:p>
      <w:pPr>
        <w:numPr>
          <w:ilvl w:val="2"/>
          <w:numId w:val="25"/>
        </w:numPr>
        <w:rPr>
          <w:rFonts w:eastAsia="Times New Roman" w:cs="Times"/>
          <w:szCs w:val="20"/>
        </w:rPr>
      </w:pPr>
      <w:r>
        <w:rPr>
          <w:rFonts w:eastAsia="Times New Roman" w:cs="Times"/>
          <w:szCs w:val="20"/>
        </w:rPr>
        <w:t xml:space="preserve">if a UE is provided </w:t>
      </w:r>
      <w:r>
        <w:rPr>
          <w:rStyle w:val="44"/>
          <w:rFonts w:eastAsia="Times New Roman" w:cs="Times"/>
          <w:szCs w:val="20"/>
        </w:rPr>
        <w:t>tdd-UL-DL-ConfigurationCommon</w:t>
      </w:r>
      <w:r>
        <w:rPr>
          <w:rFonts w:eastAsia="Times New Roman" w:cs="Times"/>
          <w:szCs w:val="20"/>
        </w:rPr>
        <w:t xml:space="preserve">, the valid PO is the PO in UL part in a slot, or at least </w:t>
      </w:r>
      <w:r>
        <w:rPr>
          <w:rStyle w:val="44"/>
          <w:rFonts w:eastAsia="Times New Roman" w:cs="Times"/>
          <w:szCs w:val="20"/>
        </w:rPr>
        <w:t>Ngap</w:t>
      </w:r>
      <w:r>
        <w:rPr>
          <w:rFonts w:eastAsia="Times New Roman" w:cs="Times"/>
          <w:szCs w:val="20"/>
        </w:rPr>
        <w:t xml:space="preserve"> symbols after the end of the DL part in a slot or after the end of the SSB in a slot</w:t>
      </w:r>
    </w:p>
    <w:p>
      <w:pPr>
        <w:numPr>
          <w:ilvl w:val="2"/>
          <w:numId w:val="25"/>
        </w:numPr>
        <w:rPr>
          <w:rFonts w:eastAsia="Times New Roman" w:cs="Times"/>
          <w:szCs w:val="20"/>
        </w:rPr>
      </w:pPr>
      <w:r>
        <w:rPr>
          <w:rFonts w:eastAsia="Times New Roman" w:cs="Times"/>
          <w:szCs w:val="20"/>
        </w:rPr>
        <w:t xml:space="preserve">if a UE is not provided </w:t>
      </w:r>
      <w:r>
        <w:rPr>
          <w:rStyle w:val="44"/>
          <w:rFonts w:eastAsia="Times New Roman" w:cs="Times"/>
          <w:szCs w:val="20"/>
        </w:rPr>
        <w:t>tdd-UL-DL-ConfigurationCommon</w:t>
      </w:r>
      <w:r>
        <w:rPr>
          <w:rFonts w:eastAsia="Times New Roman" w:cs="Times"/>
          <w:szCs w:val="20"/>
        </w:rPr>
        <w:t>, the valid PO does not precede a SS/PBCH block in the PUSCH slot, starts at least</w:t>
      </w:r>
      <w:r>
        <w:rPr>
          <w:rFonts w:eastAsia="Times New Roman" w:cs="Times"/>
          <w:i/>
          <w:szCs w:val="20"/>
        </w:rPr>
        <w:t xml:space="preserve"> N</w:t>
      </w:r>
      <w:r>
        <w:rPr>
          <w:rFonts w:eastAsia="Times New Roman" w:cs="Times"/>
          <w:i/>
          <w:szCs w:val="20"/>
          <w:vertAlign w:val="subscript"/>
        </w:rPr>
        <w:t>gap</w:t>
      </w:r>
      <w:r>
        <w:rPr>
          <w:rFonts w:eastAsia="Times New Roman" w:cs="Times"/>
          <w:szCs w:val="20"/>
        </w:rPr>
        <w:t> symbols after a last SS/PBCH block symbol </w:t>
      </w:r>
    </w:p>
    <w:p>
      <w:pPr>
        <w:numPr>
          <w:ilvl w:val="2"/>
          <w:numId w:val="25"/>
        </w:numPr>
        <w:rPr>
          <w:rFonts w:eastAsia="Times New Roman" w:cs="Times"/>
          <w:szCs w:val="20"/>
        </w:rPr>
      </w:pPr>
      <w:r>
        <w:rPr>
          <w:rFonts w:eastAsia="Times New Roman" w:cs="Times"/>
          <w:i/>
          <w:szCs w:val="20"/>
        </w:rPr>
        <w:t>N</w:t>
      </w:r>
      <w:r>
        <w:rPr>
          <w:rFonts w:eastAsia="Times New Roman" w:cs="Times"/>
          <w:i/>
          <w:szCs w:val="20"/>
          <w:vertAlign w:val="subscript"/>
        </w:rPr>
        <w:t>gap</w:t>
      </w:r>
      <w:r>
        <w:rPr>
          <w:rFonts w:eastAsia="Times New Roman" w:cs="Times"/>
          <w:szCs w:val="20"/>
        </w:rPr>
        <w:t> is provided in Table 8.1-2 in TS 38.213</w:t>
      </w:r>
    </w:p>
    <w:p>
      <w:pPr>
        <w:numPr>
          <w:ilvl w:val="1"/>
          <w:numId w:val="26"/>
        </w:numPr>
        <w:rPr>
          <w:rFonts w:eastAsia="Times New Roman" w:cs="Times"/>
          <w:szCs w:val="20"/>
        </w:rPr>
      </w:pPr>
      <w:r>
        <w:rPr>
          <w:rFonts w:eastAsia="Times New Roman" w:cs="Times"/>
          <w:szCs w:val="20"/>
        </w:rPr>
        <w:t>FFS if any validation rule following the CG-PUSCH in RRC connected state is applicable, and whether and how to handle the overlapping between CG-PUSCH occasions for CG-SDT and any valid PRACH occasion or MsgA PUSCH occasion.</w:t>
      </w:r>
    </w:p>
    <w:p>
      <w:pPr>
        <w:numPr>
          <w:ilvl w:val="0"/>
          <w:numId w:val="27"/>
        </w:numPr>
        <w:rPr>
          <w:rFonts w:eastAsia="Times New Roman" w:cs="Times"/>
          <w:szCs w:val="20"/>
        </w:rPr>
      </w:pPr>
      <w:r>
        <w:rPr>
          <w:rFonts w:eastAsia="Times New Roman" w:cs="Times"/>
          <w:szCs w:val="20"/>
        </w:rPr>
        <w:t>FFS the rule for paired spectrum, and whether/how to support CG-SDT for UEs operating in Type-A HD-FDD.</w:t>
      </w:r>
    </w:p>
    <w:p>
      <w:pPr>
        <w:rPr>
          <w:rFonts w:eastAsia="Malgun Gothic" w:cs="Times"/>
          <w:szCs w:val="20"/>
        </w:rPr>
      </w:pPr>
    </w:p>
    <w:p>
      <w:pPr>
        <w:widowControl w:val="0"/>
        <w:wordWrap w:val="0"/>
        <w:rPr>
          <w:rFonts w:hint="eastAsia"/>
          <w:b/>
          <w:bCs/>
          <w:highlight w:val="green"/>
          <w:lang w:eastAsia="zh-CN"/>
        </w:rPr>
      </w:pPr>
      <w:r>
        <w:rPr>
          <w:b/>
          <w:bCs/>
          <w:highlight w:val="green"/>
          <w:lang w:eastAsia="zh-CN"/>
        </w:rPr>
        <w:t>Agreement:</w:t>
      </w:r>
    </w:p>
    <w:p>
      <w:pPr>
        <w:pStyle w:val="98"/>
        <w:widowControl w:val="0"/>
        <w:numPr>
          <w:ilvl w:val="0"/>
          <w:numId w:val="28"/>
        </w:numPr>
        <w:wordWrap w:val="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For RA-SDT, when PRACH occasions are separate between SDT and non-SDT, PRACH resource configurations/parameters for 4-step RACH and/or 2-step RACH should be re-used as much as possible for 4-step RACH and/or 2-step RACH based SDT, respectively.</w:t>
      </w:r>
    </w:p>
    <w:p>
      <w:pPr>
        <w:pStyle w:val="98"/>
        <w:widowControl w:val="0"/>
        <w:numPr>
          <w:ilvl w:val="1"/>
          <w:numId w:val="28"/>
        </w:numPr>
        <w:rPr>
          <w:color w:val="000000" w:themeColor="text1"/>
          <w:sz w:val="22"/>
          <w:szCs w:val="22"/>
          <w:lang w:eastAsia="zh-CN"/>
          <w14:textFill>
            <w14:solidFill>
              <w14:schemeClr w14:val="tx1"/>
            </w14:solidFill>
          </w14:textFill>
        </w:rPr>
      </w:pPr>
      <w:r>
        <w:rPr>
          <w:color w:val="000000" w:themeColor="text1"/>
          <w:sz w:val="22"/>
          <w:szCs w:val="22"/>
          <w14:textFill>
            <w14:solidFill>
              <w14:schemeClr w14:val="tx1"/>
            </w14:solidFill>
          </w14:textFill>
        </w:rPr>
        <w:t>Note: It is up to RAN2 discussion on the RO configuration for RA-SDT in separate ROs.</w:t>
      </w:r>
    </w:p>
    <w:p>
      <w:pPr>
        <w:widowControl w:val="0"/>
      </w:pPr>
    </w:p>
    <w:p>
      <w:pPr>
        <w:pStyle w:val="98"/>
        <w:widowControl w:val="0"/>
        <w:numPr>
          <w:ilvl w:val="0"/>
          <w:numId w:val="28"/>
        </w:numPr>
        <w:rPr>
          <w:rFonts w:eastAsiaTheme="minorEastAsia"/>
          <w:sz w:val="22"/>
          <w:szCs w:val="22"/>
          <w:lang w:eastAsia="zh-CN"/>
        </w:rPr>
      </w:pPr>
      <w:r>
        <w:rPr>
          <w:rFonts w:eastAsiaTheme="minorEastAsia"/>
          <w:sz w:val="22"/>
          <w:szCs w:val="22"/>
          <w:lang w:eastAsia="zh-CN"/>
        </w:rPr>
        <w:t>For RA-SDT, when PRACH occasions are shared between SDT and non-SDT, at least following parameters can be configured, including 4-step RACH and/or 2-step RACH based SDT operation.</w:t>
      </w:r>
    </w:p>
    <w:p>
      <w:pPr>
        <w:pStyle w:val="98"/>
        <w:widowControl w:val="0"/>
        <w:numPr>
          <w:ilvl w:val="1"/>
          <w:numId w:val="28"/>
        </w:numPr>
        <w:overflowPunct/>
        <w:autoSpaceDE/>
        <w:autoSpaceDN/>
        <w:adjustRightInd/>
        <w:spacing w:line="259" w:lineRule="auto"/>
        <w:contextualSpacing w:val="0"/>
        <w:jc w:val="both"/>
        <w:textAlignment w:val="auto"/>
        <w:rPr>
          <w:rFonts w:eastAsiaTheme="minorEastAsia"/>
          <w:sz w:val="22"/>
          <w:szCs w:val="22"/>
          <w:lang w:val="en-US" w:eastAsia="zh-CN"/>
        </w:rPr>
      </w:pPr>
      <w:r>
        <w:rPr>
          <w:rFonts w:eastAsiaTheme="minorEastAsia"/>
          <w:sz w:val="22"/>
          <w:szCs w:val="22"/>
          <w:lang w:val="en-US" w:eastAsia="zh-CN"/>
        </w:rPr>
        <w:t>Number of contention-based preambles for SDT per SSB per valid RO</w:t>
      </w:r>
    </w:p>
    <w:p>
      <w:pPr>
        <w:pStyle w:val="98"/>
        <w:widowControl w:val="0"/>
        <w:numPr>
          <w:ilvl w:val="1"/>
          <w:numId w:val="28"/>
        </w:numPr>
        <w:rPr>
          <w:rFonts w:eastAsiaTheme="minorEastAsia"/>
          <w:sz w:val="22"/>
          <w:szCs w:val="22"/>
          <w:lang w:eastAsia="zh-CN"/>
        </w:rPr>
      </w:pPr>
      <w:r>
        <w:rPr>
          <w:rFonts w:eastAsiaTheme="minorEastAsia"/>
          <w:sz w:val="22"/>
          <w:szCs w:val="22"/>
          <w:lang w:eastAsia="zh-CN"/>
        </w:rPr>
        <w:t>Note: whether starting position of the preambles for SDT per SSB per valid RO needs to be configured for RA-SDT in shared ROs is up to RAN2 discussion.</w:t>
      </w:r>
    </w:p>
    <w:p>
      <w:pPr>
        <w:widowControl w:val="0"/>
        <w:rPr>
          <w:rStyle w:val="42"/>
          <w:b w:val="0"/>
        </w:rPr>
      </w:pPr>
    </w:p>
    <w:p>
      <w:pPr>
        <w:pStyle w:val="98"/>
        <w:widowControl w:val="0"/>
        <w:numPr>
          <w:ilvl w:val="0"/>
          <w:numId w:val="28"/>
        </w:numPr>
        <w:rPr>
          <w:b/>
          <w:color w:val="000000" w:themeColor="text1"/>
          <w:sz w:val="22"/>
          <w:szCs w:val="22"/>
          <w:u w:val="single"/>
          <w:lang w:eastAsia="ko-KR"/>
          <w14:textFill>
            <w14:solidFill>
              <w14:schemeClr w14:val="tx1"/>
            </w14:solidFill>
          </w14:textFill>
        </w:rPr>
      </w:pPr>
      <w:r>
        <w:rPr>
          <w:rStyle w:val="42"/>
          <w:b w:val="0"/>
          <w:color w:val="000000" w:themeColor="text1"/>
          <w:sz w:val="22"/>
          <w:szCs w:val="22"/>
          <w14:textFill>
            <w14:solidFill>
              <w14:schemeClr w14:val="tx1"/>
            </w14:solidFill>
          </w14:textFill>
        </w:rPr>
        <w:t>For RA-SDT, when PRACH occasions are shared between SDT and non-SDT, a PRACH mask can be configured to indicate a subset of ROs for RA-SDT.</w:t>
      </w:r>
    </w:p>
    <w:p>
      <w:pPr>
        <w:widowControl w:val="0"/>
        <w:rPr>
          <w:b/>
          <w:color w:val="FF0000"/>
          <w:highlight w:val="yellow"/>
          <w:u w:val="single"/>
          <w:lang w:eastAsia="ko-KR"/>
        </w:rPr>
      </w:pPr>
    </w:p>
    <w:p>
      <w:pPr>
        <w:pStyle w:val="98"/>
        <w:widowControl w:val="0"/>
        <w:numPr>
          <w:ilvl w:val="0"/>
          <w:numId w:val="28"/>
        </w:numPr>
        <w:rPr>
          <w:sz w:val="22"/>
          <w:szCs w:val="22"/>
        </w:rPr>
      </w:pPr>
      <w:r>
        <w:rPr>
          <w:sz w:val="22"/>
          <w:szCs w:val="22"/>
        </w:rPr>
        <w:t xml:space="preserve">For RA-SDT in shared ROs and separate ROs with non-SDT, the power control parameters follow those for non-SDT, </w:t>
      </w:r>
    </w:p>
    <w:p>
      <w:pPr>
        <w:pStyle w:val="98"/>
        <w:widowControl w:val="0"/>
        <w:numPr>
          <w:ilvl w:val="1"/>
          <w:numId w:val="28"/>
        </w:numPr>
        <w:overflowPunct/>
        <w:autoSpaceDE/>
        <w:autoSpaceDN/>
        <w:adjustRightInd/>
        <w:spacing w:line="259" w:lineRule="auto"/>
        <w:contextualSpacing w:val="0"/>
        <w:jc w:val="both"/>
        <w:textAlignment w:val="auto"/>
        <w:rPr>
          <w:sz w:val="22"/>
          <w:szCs w:val="22"/>
        </w:rPr>
      </w:pPr>
      <w:r>
        <w:rPr>
          <w:sz w:val="22"/>
          <w:szCs w:val="22"/>
        </w:rPr>
        <w:t>i.e. preambleReceivedTargetPower and power ramping setting follow those for non-SDT.</w:t>
      </w:r>
    </w:p>
    <w:p>
      <w:pPr>
        <w:widowControl w:val="0"/>
        <w:rPr>
          <w:lang w:val="en-GB"/>
        </w:rPr>
      </w:pPr>
    </w:p>
    <w:p>
      <w:pPr>
        <w:widowControl w:val="0"/>
        <w:rPr>
          <w:b/>
        </w:rPr>
      </w:pPr>
      <w:r>
        <w:rPr>
          <w:b/>
        </w:rPr>
        <w:t xml:space="preserve">Conclusion: </w:t>
      </w:r>
    </w:p>
    <w:p>
      <w:pPr>
        <w:pStyle w:val="98"/>
        <w:widowControl w:val="0"/>
        <w:numPr>
          <w:ilvl w:val="0"/>
          <w:numId w:val="29"/>
        </w:num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Further discuss on the case when ROs are shared between SDT and non-SDT, but different RACH types have separate ROs after RAN2’s decision</w:t>
      </w:r>
    </w:p>
    <w:p>
      <w:pPr>
        <w:rPr>
          <w:rFonts w:hint="default" w:eastAsia="宋体"/>
          <w:lang w:val="en-US" w:eastAsia="zh-CN"/>
        </w:rPr>
      </w:pPr>
    </w:p>
    <w:p>
      <w:pPr>
        <w:widowControl w:val="0"/>
        <w:wordWrap w:val="0"/>
        <w:rPr>
          <w:rFonts w:hint="eastAsia"/>
          <w:b/>
          <w:bCs/>
          <w:highlight w:val="green"/>
          <w:lang w:eastAsia="zh-CN"/>
        </w:rPr>
      </w:pPr>
      <w:r>
        <w:rPr>
          <w:b/>
          <w:bCs/>
          <w:highlight w:val="green"/>
          <w:lang w:eastAsia="zh-CN"/>
        </w:rPr>
        <w:t>Agreement:</w:t>
      </w:r>
    </w:p>
    <w:p>
      <w:pPr>
        <w:pStyle w:val="98"/>
        <w:widowControl w:val="0"/>
        <w:numPr>
          <w:ilvl w:val="0"/>
          <w:numId w:val="29"/>
        </w:num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RAN1 confirms the RAN2 agreement that CG-SDT resource can be configured on initial BWP</w:t>
      </w:r>
    </w:p>
    <w:p>
      <w:pPr>
        <w:pStyle w:val="98"/>
        <w:widowControl w:val="0"/>
        <w:numPr>
          <w:ilvl w:val="1"/>
          <w:numId w:val="28"/>
        </w:numPr>
        <w:spacing w:after="150"/>
        <w:ind w:right="150"/>
        <w:rPr>
          <w:color w:val="000000" w:themeColor="text1"/>
          <w:sz w:val="22"/>
          <w:szCs w:val="22"/>
          <w:lang w:eastAsia="en-US"/>
          <w14:textFill>
            <w14:solidFill>
              <w14:schemeClr w14:val="tx1"/>
            </w14:solidFill>
          </w14:textFill>
        </w:rPr>
      </w:pPr>
      <w:r>
        <w:rPr>
          <w:color w:val="000000" w:themeColor="text1"/>
          <w:sz w:val="22"/>
          <w:szCs w:val="22"/>
          <w:lang w:eastAsia="en-US"/>
          <w14:textFill>
            <w14:solidFill>
              <w14:schemeClr w14:val="tx1"/>
            </w14:solidFill>
          </w14:textFill>
        </w:rPr>
        <w:t>FFS whether CG-SDT resource can be configured on a separate BWP.</w:t>
      </w:r>
    </w:p>
    <w:p>
      <w:pPr>
        <w:pStyle w:val="3"/>
        <w:bidi w:val="0"/>
        <w:rPr>
          <w:rFonts w:hint="eastAsia"/>
          <w:lang w:val="en-US" w:eastAsia="zh-CN"/>
        </w:rPr>
      </w:pPr>
      <w:r>
        <w:rPr>
          <w:rFonts w:hint="eastAsia"/>
          <w:lang w:val="en-US" w:eastAsia="zh-CN"/>
        </w:rPr>
        <w:t>RAN1#106bis-e:</w:t>
      </w:r>
    </w:p>
    <w:p>
      <w:pPr>
        <w:rPr>
          <w:rFonts w:hint="eastAsia" w:eastAsia="宋体"/>
          <w:lang w:val="en-US" w:eastAsia="zh-CN"/>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Multi-layer PUSCH transmission is not supported for CG-SDT.</w:t>
      </w:r>
    </w:p>
    <w:p>
      <w:pPr>
        <w:rPr>
          <w:rFonts w:eastAsia="Malgun Gothic" w:cs="Times"/>
          <w:color w:val="1F497D"/>
          <w:szCs w:val="2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When SSB set indication is absent, UE assumes the SSB set includes all actually transmitted SSBs configured by SIB1.</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numPr>
          <w:ilvl w:val="0"/>
          <w:numId w:val="30"/>
        </w:numPr>
        <w:rPr>
          <w:rFonts w:eastAsia="Times New Roman" w:cs="Times"/>
          <w:szCs w:val="20"/>
        </w:rPr>
      </w:pPr>
      <w:r>
        <w:rPr>
          <w:rFonts w:eastAsia="Times New Roman" w:cs="Times"/>
          <w:szCs w:val="20"/>
        </w:rPr>
        <w:t>RAN1 confirms that common PUCCH resources (i.e. those that are shared with non-SDT UEs) can also be used for HARQ-ACK feedback for Msg4 /MsgB and subsequent SDT transmissions.</w:t>
      </w:r>
    </w:p>
    <w:p>
      <w:pPr>
        <w:numPr>
          <w:ilvl w:val="0"/>
          <w:numId w:val="30"/>
        </w:numPr>
        <w:rPr>
          <w:rFonts w:eastAsia="Times New Roman" w:cs="Times"/>
          <w:szCs w:val="20"/>
        </w:rPr>
      </w:pPr>
      <w:r>
        <w:rPr>
          <w:rFonts w:eastAsia="Times New Roman" w:cs="Times"/>
          <w:szCs w:val="20"/>
        </w:rPr>
        <w:t>RAN1 thinks there is no need for any other PUCCH resources than common PUCCH resources shared with non-SDT UEs.</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BFD/BFR procedure is not required for SDT in Rel-17.</w:t>
      </w:r>
    </w:p>
    <w:p>
      <w:pPr>
        <w:numPr>
          <w:ilvl w:val="0"/>
          <w:numId w:val="31"/>
        </w:numPr>
        <w:snapToGrid w:val="0"/>
        <w:jc w:val="both"/>
        <w:rPr>
          <w:rFonts w:eastAsia="Times New Roman"/>
          <w:bCs/>
          <w:szCs w:val="20"/>
        </w:rPr>
      </w:pPr>
      <w:r>
        <w:rPr>
          <w:rFonts w:eastAsia="Times New Roman"/>
          <w:bCs/>
          <w:szCs w:val="20"/>
        </w:rPr>
        <w:t>FFS: whether or not to support reporting the beam change to gNB.</w:t>
      </w:r>
    </w:p>
    <w:p>
      <w:pPr>
        <w:rPr>
          <w:rFonts w:eastAsia="Malgun Gothic" w:cs="Times"/>
          <w:szCs w:val="2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For CG-SDT, the UE can assume the PDCCH carrying the DCI has the same DM-RS antenna port quasi co-location properties as for a SSB associated to the CG PUSCH transmission e.g. for detection of retransmission DCI in response to a CG PUSCH transmission.</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No need to define UL/DL pattern type of validation rule specific for paired spectrum at least for non-RedCap UEs.</w:t>
      </w:r>
    </w:p>
    <w:p>
      <w:pPr>
        <w:numPr>
          <w:ilvl w:val="0"/>
          <w:numId w:val="31"/>
        </w:numPr>
        <w:snapToGrid w:val="0"/>
        <w:jc w:val="both"/>
        <w:rPr>
          <w:rFonts w:eastAsia="Times New Roman"/>
          <w:bCs/>
          <w:szCs w:val="20"/>
        </w:rPr>
      </w:pPr>
      <w:r>
        <w:rPr>
          <w:rFonts w:eastAsia="Times New Roman"/>
          <w:bCs/>
          <w:szCs w:val="20"/>
        </w:rPr>
        <w:t>FFS the case for RedCap UEs</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It is RAN1’s common understanding that dynamic grant based retransmission has already been supported.</w:t>
      </w:r>
    </w:p>
    <w:p>
      <w:pPr>
        <w:pStyle w:val="34"/>
        <w:spacing w:before="0" w:beforeAutospacing="0" w:after="0" w:afterAutospacing="0"/>
        <w:rPr>
          <w:rStyle w:val="44"/>
          <w:rFonts w:ascii="Times" w:hAnsi="Times" w:eastAsia="Malgun Gothic" w:cs="Times"/>
          <w:b/>
          <w:bCs/>
          <w:i w:val="0"/>
          <w:color w:val="auto"/>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RA-SDT resource cannot be configured on non-initial BWP.</w:t>
      </w:r>
    </w:p>
    <w:p>
      <w:pPr>
        <w:pStyle w:val="34"/>
        <w:spacing w:before="0" w:beforeAutospacing="0" w:after="0" w:afterAutospacing="0"/>
        <w:rPr>
          <w:rStyle w:val="44"/>
          <w:rFonts w:ascii="Times" w:hAnsi="Times" w:eastAsia="Malgun Gothic" w:cs="Times"/>
          <w:b/>
          <w:bCs/>
          <w:i w:val="0"/>
          <w:color w:val="auto"/>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From RAN1’s perspective, there is no other L1 configuration for RA-SDT and CG-SDT to support subsequent data transmission.</w:t>
      </w:r>
    </w:p>
    <w:p>
      <w:pPr>
        <w:rPr>
          <w:b/>
          <w:i/>
          <w:iCs/>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34"/>
        <w:spacing w:before="0" w:beforeAutospacing="0" w:after="0" w:afterAutospacing="0"/>
        <w:rPr>
          <w:rFonts w:ascii="Times" w:hAnsi="Times" w:cs="Times"/>
          <w:color w:val="auto"/>
          <w:sz w:val="20"/>
          <w:szCs w:val="20"/>
        </w:rPr>
      </w:pPr>
      <w:r>
        <w:rPr>
          <w:rFonts w:ascii="Times" w:hAnsi="Times" w:cs="Times"/>
          <w:color w:val="auto"/>
          <w:sz w:val="20"/>
          <w:szCs w:val="20"/>
        </w:rPr>
        <w:t>The pathloss for CG-SDT PUSCH power control can be determined by the measurement of selected SSB associated with the CG PUSCH.</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cs="Times"/>
          <w:b/>
          <w:bCs/>
          <w:color w:val="auto"/>
          <w:sz w:val="20"/>
          <w:szCs w:val="20"/>
        </w:rPr>
      </w:pPr>
      <w:r>
        <w:rPr>
          <w:rFonts w:ascii="Times" w:hAnsi="Times" w:cs="Times"/>
          <w:b/>
          <w:bCs/>
          <w:color w:val="auto"/>
          <w:sz w:val="20"/>
          <w:szCs w:val="20"/>
        </w:rPr>
        <w:t>Conclusion</w:t>
      </w:r>
    </w:p>
    <w:p>
      <w:pPr>
        <w:pStyle w:val="34"/>
        <w:numPr>
          <w:ilvl w:val="0"/>
          <w:numId w:val="32"/>
        </w:numPr>
        <w:spacing w:before="0" w:beforeAutospacing="0" w:after="0" w:afterAutospacing="0"/>
        <w:rPr>
          <w:rFonts w:ascii="Times" w:hAnsi="Times" w:cs="Times"/>
          <w:color w:val="auto"/>
          <w:sz w:val="20"/>
          <w:szCs w:val="20"/>
        </w:rPr>
      </w:pPr>
      <w:r>
        <w:rPr>
          <w:rFonts w:ascii="Times" w:hAnsi="Times" w:cs="Times"/>
          <w:color w:val="auto"/>
          <w:sz w:val="20"/>
          <w:szCs w:val="20"/>
        </w:rPr>
        <w:t>RAN1 cannot reach a consensus on whether to confirm RAN2 agreement that CG-SDT resource can be configured on separate SDT BWP.</w:t>
      </w:r>
    </w:p>
    <w:p>
      <w:pPr>
        <w:pStyle w:val="34"/>
        <w:numPr>
          <w:ilvl w:val="0"/>
          <w:numId w:val="32"/>
        </w:numPr>
        <w:spacing w:before="0" w:beforeAutospacing="0" w:after="0" w:afterAutospacing="0"/>
        <w:rPr>
          <w:rFonts w:ascii="Times" w:hAnsi="Times" w:cs="Times"/>
          <w:color w:val="auto"/>
          <w:sz w:val="20"/>
          <w:szCs w:val="20"/>
        </w:rPr>
      </w:pPr>
      <w:r>
        <w:rPr>
          <w:rFonts w:ascii="Times" w:hAnsi="Times" w:cs="Times"/>
          <w:color w:val="auto"/>
          <w:sz w:val="20"/>
          <w:szCs w:val="20"/>
        </w:rPr>
        <w:t>Capture the following in the LS: the concern is on the necessity.</w:t>
      </w:r>
    </w:p>
    <w:p>
      <w:pPr>
        <w:rPr>
          <w:rFonts w:cs="Times"/>
          <w:b/>
          <w:iCs/>
          <w:szCs w:val="20"/>
        </w:rPr>
      </w:pPr>
    </w:p>
    <w:p>
      <w:pPr>
        <w:pStyle w:val="34"/>
        <w:spacing w:before="0" w:beforeAutospacing="0" w:after="0" w:afterAutospacing="0"/>
        <w:rPr>
          <w:rFonts w:ascii="Times" w:hAnsi="Times" w:cs="Times"/>
          <w:b/>
          <w:bCs/>
          <w:color w:val="auto"/>
          <w:sz w:val="20"/>
          <w:szCs w:val="20"/>
        </w:rPr>
      </w:pPr>
      <w:r>
        <w:rPr>
          <w:rFonts w:ascii="Times" w:hAnsi="Times" w:cs="Times"/>
          <w:b/>
          <w:bCs/>
          <w:color w:val="auto"/>
          <w:sz w:val="20"/>
          <w:szCs w:val="20"/>
        </w:rPr>
        <w:t>Conclusion</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RAN1 cannot reach consensus on reusing CG-DFI mechanism for CG-SDT for operation in licensed band. </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Mapping ratio of SSB to CG PUSCH is configured per CG configuration.</w:t>
      </w:r>
    </w:p>
    <w:p>
      <w:pPr>
        <w:pStyle w:val="34"/>
        <w:numPr>
          <w:ilvl w:val="1"/>
          <w:numId w:val="34"/>
        </w:numPr>
        <w:spacing w:before="0" w:beforeAutospacing="0" w:after="0" w:afterAutospacing="0"/>
        <w:rPr>
          <w:rFonts w:ascii="Times" w:hAnsi="Times" w:cs="Times"/>
          <w:color w:val="auto"/>
          <w:sz w:val="20"/>
          <w:szCs w:val="20"/>
        </w:rPr>
      </w:pPr>
      <w:r>
        <w:rPr>
          <w:rFonts w:ascii="Times" w:hAnsi="Times" w:cs="Times"/>
          <w:color w:val="auto"/>
          <w:sz w:val="20"/>
          <w:szCs w:val="20"/>
        </w:rPr>
        <w:t>FFS whether to restrict the same value for all CG configuration and/or allow different value for different CG configurations.</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For the candidate value set of SSB to CG PUSCH mapping ratio, support at least {1, 2, 4, 8, 16}</w:t>
      </w:r>
    </w:p>
    <w:p>
      <w:pPr>
        <w:pStyle w:val="34"/>
        <w:numPr>
          <w:ilvl w:val="1"/>
          <w:numId w:val="34"/>
        </w:numPr>
        <w:spacing w:before="0" w:beforeAutospacing="0" w:after="0" w:afterAutospacing="0"/>
        <w:rPr>
          <w:rFonts w:ascii="Times" w:hAnsi="Times" w:cs="Times"/>
          <w:color w:val="auto"/>
          <w:sz w:val="20"/>
          <w:szCs w:val="20"/>
        </w:rPr>
      </w:pPr>
      <w:r>
        <w:rPr>
          <w:rFonts w:ascii="Times" w:hAnsi="Times" w:cs="Times"/>
          <w:color w:val="auto"/>
          <w:sz w:val="20"/>
          <w:szCs w:val="20"/>
        </w:rPr>
        <w:t>FFS {1/8,1/4,1/2}</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RAN1 confirms the working assumption in RAN2 that UE-specific search space is configured for UEs performing CG-SDT. This does not exclude the configuration of CSS for UEs performing CG-SDT.</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CORESET for UE performing RA-SDT should be a common CORESET.</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98"/>
        <w:ind w:left="0" w:leftChars="0"/>
        <w:jc w:val="both"/>
        <w:rPr>
          <w:rFonts w:cs="Times"/>
          <w:szCs w:val="20"/>
          <w:lang w:eastAsia="zh-CN"/>
        </w:rPr>
      </w:pPr>
      <w:r>
        <w:rPr>
          <w:rFonts w:cs="Times"/>
          <w:szCs w:val="20"/>
          <w:lang w:eastAsia="zh-CN"/>
        </w:rPr>
        <w:t>A CG PUSCH occasion is not valid if it overlaps with any valid PRACH occasion.</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FFS overlapping between CG PUSCH occasions and MsgA PUSCH occasion</w:t>
      </w:r>
    </w:p>
    <w:p>
      <w:pPr>
        <w:rPr>
          <w:rFonts w:hint="default" w:eastAsia="宋体"/>
          <w:lang w:val="en-US" w:eastAsia="zh-CN"/>
        </w:rPr>
      </w:pPr>
    </w:p>
    <w:p>
      <w:pPr>
        <w:pStyle w:val="3"/>
        <w:bidi w:val="0"/>
        <w:rPr>
          <w:rFonts w:hint="eastAsia"/>
          <w:lang w:val="en-US" w:eastAsia="zh-CN"/>
        </w:rPr>
      </w:pPr>
      <w:r>
        <w:rPr>
          <w:rFonts w:hint="eastAsia"/>
          <w:lang w:val="en-US" w:eastAsia="zh-CN"/>
        </w:rPr>
        <w:t>RAN1#107-e:</w:t>
      </w:r>
    </w:p>
    <w:p>
      <w:pPr>
        <w:rPr>
          <w:rFonts w:hint="eastAsia" w:eastAsia="宋体"/>
          <w:highlight w:val="yellow"/>
          <w:lang w:val="en-US" w:eastAsia="zh-CN"/>
        </w:rPr>
      </w:pPr>
    </w:p>
    <w:p>
      <w:pPr>
        <w:pStyle w:val="34"/>
        <w:spacing w:before="0" w:beforeAutospacing="0" w:after="0" w:afterAutospacing="0"/>
        <w:rPr>
          <w:rFonts w:ascii="Times" w:hAnsi="Times" w:eastAsia="Malgun Gothic" w:cs="Times"/>
          <w:sz w:val="20"/>
          <w:szCs w:val="20"/>
          <w:highlight w:val="green"/>
          <w:lang w:eastAsia="ko-KR"/>
        </w:rPr>
      </w:pPr>
      <w:r>
        <w:rPr>
          <w:rStyle w:val="42"/>
          <w:rFonts w:ascii="Times" w:hAnsi="Times" w:cs="Times"/>
          <w:sz w:val="20"/>
          <w:szCs w:val="20"/>
          <w:highlight w:val="green"/>
          <w:shd w:val="clear" w:color="auto" w:fill="FFFF00"/>
        </w:rPr>
        <w:t>Agreement</w:t>
      </w:r>
    </w:p>
    <w:p>
      <w:pPr>
        <w:pStyle w:val="34"/>
        <w:numPr>
          <w:ilvl w:val="0"/>
          <w:numId w:val="35"/>
        </w:numPr>
        <w:spacing w:before="0" w:beforeAutospacing="0" w:after="0" w:afterAutospacing="0"/>
        <w:rPr>
          <w:rFonts w:ascii="Times" w:hAnsi="Times" w:cs="Times"/>
          <w:sz w:val="20"/>
          <w:szCs w:val="20"/>
        </w:rPr>
      </w:pPr>
      <w:r>
        <w:rPr>
          <w:rFonts w:ascii="Times" w:hAnsi="Times" w:cs="Times"/>
          <w:sz w:val="20"/>
          <w:szCs w:val="20"/>
        </w:rPr>
        <w:t>UE specific power control parameters P0 and alpha should be config</w:t>
      </w:r>
      <w:r>
        <w:rPr>
          <w:rFonts w:ascii="Times" w:hAnsi="Times" w:cs="Times"/>
          <w:color w:val="auto"/>
          <w:sz w:val="20"/>
          <w:szCs w:val="20"/>
        </w:rPr>
        <w:t>ured for init</w:t>
      </w:r>
      <w:r>
        <w:rPr>
          <w:rFonts w:ascii="Times" w:hAnsi="Times" w:cs="Times"/>
          <w:sz w:val="20"/>
          <w:szCs w:val="20"/>
        </w:rPr>
        <w:t>ial UL transmission for CG-SDT</w:t>
      </w:r>
    </w:p>
    <w:p>
      <w:pPr>
        <w:pStyle w:val="34"/>
        <w:numPr>
          <w:ilvl w:val="1"/>
          <w:numId w:val="35"/>
        </w:numPr>
        <w:spacing w:before="0" w:beforeAutospacing="0" w:after="0" w:afterAutospacing="0"/>
        <w:rPr>
          <w:rFonts w:ascii="Times" w:hAnsi="Times" w:cs="Times"/>
          <w:sz w:val="20"/>
          <w:szCs w:val="20"/>
        </w:rPr>
      </w:pPr>
      <w:r>
        <w:rPr>
          <w:rFonts w:ascii="Times" w:hAnsi="Times" w:cs="Times"/>
          <w:sz w:val="20"/>
          <w:szCs w:val="20"/>
        </w:rPr>
        <w:t>Existing closed loop power control mechanism can be reused for re-transmission and subsequent data transmission.</w:t>
      </w:r>
    </w:p>
    <w:p>
      <w:pPr>
        <w:pStyle w:val="34"/>
        <w:numPr>
          <w:ilvl w:val="0"/>
          <w:numId w:val="36"/>
        </w:numPr>
        <w:spacing w:before="0" w:beforeAutospacing="0" w:after="0" w:afterAutospacing="0"/>
        <w:rPr>
          <w:rFonts w:ascii="Times" w:hAnsi="Times" w:cs="Times"/>
          <w:sz w:val="20"/>
          <w:szCs w:val="20"/>
        </w:rPr>
      </w:pPr>
      <w:r>
        <w:rPr>
          <w:rFonts w:ascii="Times" w:hAnsi="Times" w:cs="Times"/>
          <w:sz w:val="20"/>
          <w:szCs w:val="20"/>
        </w:rPr>
        <w:t>For RA-SDT power control parameters preambleReceivedTargetPower and powerRampingStep:</w:t>
      </w:r>
    </w:p>
    <w:p>
      <w:pPr>
        <w:pStyle w:val="34"/>
        <w:numPr>
          <w:ilvl w:val="1"/>
          <w:numId w:val="35"/>
        </w:numPr>
        <w:spacing w:before="0" w:beforeAutospacing="0" w:after="0" w:afterAutospacing="0"/>
        <w:rPr>
          <w:rFonts w:ascii="Times" w:hAnsi="Times" w:cs="Times"/>
          <w:sz w:val="20"/>
          <w:szCs w:val="20"/>
        </w:rPr>
      </w:pPr>
      <w:r>
        <w:rPr>
          <w:rFonts w:ascii="Times" w:hAnsi="Times" w:cs="Times"/>
          <w:sz w:val="20"/>
          <w:szCs w:val="20"/>
        </w:rPr>
        <w:t>For separate ROs, the power control parameters can be RA-SDT specific</w:t>
      </w:r>
    </w:p>
    <w:p>
      <w:pPr>
        <w:rPr>
          <w:rFonts w:cs="Times"/>
          <w:color w:val="1F497D"/>
          <w:szCs w:val="20"/>
        </w:rPr>
      </w:pPr>
    </w:p>
    <w:p>
      <w:pPr>
        <w:pStyle w:val="34"/>
        <w:spacing w:before="0" w:beforeAutospacing="0" w:after="0" w:afterAutospacing="0"/>
        <w:rPr>
          <w:rFonts w:ascii="Times" w:hAnsi="Times" w:eastAsia="Malgun Gothic" w:cs="Times"/>
          <w:sz w:val="20"/>
          <w:szCs w:val="20"/>
          <w:highlight w:val="green"/>
          <w:lang w:eastAsia="ko-KR"/>
        </w:rPr>
      </w:pPr>
      <w:r>
        <w:rPr>
          <w:rStyle w:val="42"/>
          <w:rFonts w:ascii="Times" w:hAnsi="Times" w:cs="Times"/>
          <w:sz w:val="20"/>
          <w:szCs w:val="20"/>
          <w:highlight w:val="green"/>
          <w:shd w:val="clear" w:color="auto" w:fill="FFFF00"/>
        </w:rPr>
        <w:t>Agreement</w:t>
      </w:r>
    </w:p>
    <w:p>
      <w:pPr>
        <w:pStyle w:val="34"/>
        <w:spacing w:before="0" w:beforeAutospacing="0" w:after="0" w:afterAutospacing="0"/>
        <w:rPr>
          <w:rFonts w:ascii="Times" w:hAnsi="Times" w:cs="Times"/>
          <w:color w:val="auto"/>
          <w:sz w:val="20"/>
          <w:szCs w:val="20"/>
        </w:rPr>
      </w:pPr>
      <w:r>
        <w:rPr>
          <w:rFonts w:ascii="Times" w:hAnsi="Times" w:cs="Times"/>
          <w:color w:val="auto"/>
          <w:sz w:val="20"/>
          <w:szCs w:val="20"/>
        </w:rPr>
        <w:t>Separate common search space that can be configured for RA-SDT within the initial DL BWP can also be configured for CG-SDT.</w:t>
      </w:r>
    </w:p>
    <w:p>
      <w:pPr>
        <w:rPr>
          <w:rFonts w:cs="Times"/>
          <w:highlight w:val="cyan"/>
        </w:rPr>
      </w:pPr>
    </w:p>
    <w:p>
      <w:pPr>
        <w:rPr>
          <w:rFonts w:eastAsia="Malgun Gothic" w:cs="Times"/>
          <w:b/>
          <w:szCs w:val="22"/>
          <w:lang w:val="en-US" w:eastAsia="ko-KR"/>
        </w:rPr>
      </w:pPr>
      <w:r>
        <w:rPr>
          <w:rFonts w:cs="Times"/>
          <w:b/>
          <w:szCs w:val="22"/>
        </w:rPr>
        <w:t>Conclusion</w:t>
      </w:r>
    </w:p>
    <w:p>
      <w:pPr>
        <w:rPr>
          <w:rFonts w:cs="Times"/>
          <w:szCs w:val="22"/>
        </w:rPr>
      </w:pPr>
      <w:r>
        <w:rPr>
          <w:rFonts w:cs="Times"/>
          <w:szCs w:val="22"/>
        </w:rPr>
        <w:t>No need to restrict the same value of mapping ratio for all CG configurations.</w:t>
      </w:r>
    </w:p>
    <w:p>
      <w:pPr>
        <w:rPr>
          <w:rFonts w:cs="Times"/>
          <w:szCs w:val="22"/>
        </w:rPr>
      </w:pPr>
    </w:p>
    <w:p>
      <w:pPr>
        <w:rPr>
          <w:rFonts w:cs="Times"/>
          <w:b/>
          <w:szCs w:val="22"/>
        </w:rPr>
      </w:pPr>
      <w:r>
        <w:rPr>
          <w:rFonts w:cs="Times"/>
          <w:b/>
          <w:szCs w:val="22"/>
        </w:rPr>
        <w:t>Conclusion</w:t>
      </w:r>
    </w:p>
    <w:p>
      <w:pPr>
        <w:rPr>
          <w:rFonts w:cs="Times"/>
          <w:szCs w:val="22"/>
        </w:rPr>
      </w:pPr>
      <w:r>
        <w:rPr>
          <w:rFonts w:cs="Times"/>
          <w:szCs w:val="22"/>
        </w:rPr>
        <w:t>RAN1 cannot reach consensus on whether to support multiple CG occasions per CG period</w:t>
      </w:r>
    </w:p>
    <w:p>
      <w:pPr>
        <w:pStyle w:val="34"/>
        <w:numPr>
          <w:ilvl w:val="0"/>
          <w:numId w:val="36"/>
        </w:numPr>
        <w:spacing w:before="0" w:beforeAutospacing="0" w:after="0" w:afterAutospacing="0"/>
        <w:rPr>
          <w:rFonts w:ascii="Times" w:hAnsi="Times" w:cs="Times"/>
          <w:sz w:val="20"/>
          <w:szCs w:val="20"/>
        </w:rPr>
      </w:pPr>
      <w:r>
        <w:rPr>
          <w:rFonts w:ascii="Times" w:hAnsi="Times" w:cs="Times"/>
          <w:sz w:val="20"/>
          <w:szCs w:val="20"/>
        </w:rPr>
        <w:t>Note that the CG PUSCH with multiple DMRS is considered as one CG occasion.</w:t>
      </w:r>
    </w:p>
    <w:p>
      <w:pPr>
        <w:rPr>
          <w:rFonts w:cs="Times"/>
          <w:szCs w:val="22"/>
        </w:rPr>
      </w:pPr>
    </w:p>
    <w:p>
      <w:pPr>
        <w:rPr>
          <w:rFonts w:cs="Times"/>
          <w:b/>
          <w:szCs w:val="22"/>
        </w:rPr>
      </w:pPr>
      <w:r>
        <w:rPr>
          <w:rFonts w:cs="Times"/>
          <w:b/>
          <w:szCs w:val="22"/>
        </w:rPr>
        <w:t>Conclusion</w:t>
      </w:r>
    </w:p>
    <w:p>
      <w:pPr>
        <w:rPr>
          <w:rFonts w:cs="Times"/>
          <w:szCs w:val="22"/>
        </w:rPr>
      </w:pPr>
      <w:r>
        <w:rPr>
          <w:rFonts w:cs="Times"/>
          <w:szCs w:val="22"/>
        </w:rPr>
        <w:t>During subsequent data transmission, no need to explicitly report beam to gNB.</w:t>
      </w:r>
    </w:p>
    <w:p>
      <w:pPr>
        <w:rPr>
          <w:rFonts w:cs="Times"/>
          <w:szCs w:val="22"/>
        </w:rPr>
      </w:pPr>
    </w:p>
    <w:p>
      <w:pPr>
        <w:rPr>
          <w:rFonts w:cs="Times"/>
          <w:b/>
          <w:szCs w:val="22"/>
        </w:rPr>
      </w:pPr>
      <w:r>
        <w:rPr>
          <w:rFonts w:cs="Times"/>
          <w:b/>
          <w:szCs w:val="22"/>
        </w:rPr>
        <w:t>Conclusion</w:t>
      </w:r>
    </w:p>
    <w:p>
      <w:pPr>
        <w:rPr>
          <w:rFonts w:cs="Times"/>
          <w:szCs w:val="22"/>
        </w:rPr>
      </w:pPr>
      <w:r>
        <w:rPr>
          <w:rFonts w:cs="Times"/>
          <w:szCs w:val="22"/>
        </w:rPr>
        <w:t>RA-SDT and CG-SDT can be supported for RedCap UEs without considering specific optimization for Redcap, at least when RedCap UE share both the initial DL BWP and initial UL BWP with non-RedCap UEs.</w:t>
      </w:r>
    </w:p>
    <w:p>
      <w:pPr>
        <w:rPr>
          <w:rFonts w:cs="Times"/>
          <w:highlight w:val="cyan"/>
        </w:rPr>
      </w:pPr>
    </w:p>
    <w:p>
      <w:pPr>
        <w:pStyle w:val="34"/>
        <w:spacing w:before="0" w:beforeAutospacing="0" w:after="0" w:afterAutospacing="0"/>
        <w:rPr>
          <w:rFonts w:ascii="Times" w:hAnsi="Times" w:eastAsia="Malgun Gothic" w:cs="Times"/>
          <w:sz w:val="20"/>
          <w:szCs w:val="20"/>
          <w:highlight w:val="green"/>
          <w:lang w:eastAsia="ko-KR"/>
        </w:rPr>
      </w:pPr>
      <w:r>
        <w:rPr>
          <w:rStyle w:val="42"/>
          <w:rFonts w:ascii="Times" w:hAnsi="Times" w:cs="Times"/>
          <w:sz w:val="20"/>
          <w:szCs w:val="20"/>
          <w:highlight w:val="green"/>
          <w:shd w:val="clear" w:color="auto" w:fill="FFFF00"/>
        </w:rPr>
        <w:t>Agreement</w:t>
      </w:r>
    </w:p>
    <w:p>
      <w:r>
        <w:t xml:space="preserve">Reply LS on the physical layer aspects of small data transmission is </w:t>
      </w:r>
      <w:r>
        <w:rPr>
          <w:highlight w:val="green"/>
        </w:rPr>
        <w:t>endorsed</w:t>
      </w:r>
      <w:r>
        <w:t xml:space="preserve"> in R1-2112782</w:t>
      </w:r>
    </w:p>
    <w:p/>
    <w:p>
      <w:pPr>
        <w:pStyle w:val="3"/>
        <w:bidi w:val="0"/>
        <w:rPr>
          <w:rFonts w:hint="default"/>
          <w:lang w:val="en-US" w:eastAsia="zh-CN"/>
        </w:rPr>
      </w:pPr>
      <w:r>
        <w:rPr>
          <w:rFonts w:hint="eastAsia"/>
          <w:lang w:val="en-US" w:eastAsia="zh-CN"/>
        </w:rPr>
        <w:t>RAN1#108-e</w:t>
      </w:r>
    </w:p>
    <w:p>
      <w:pPr>
        <w:rPr>
          <w:rFonts w:eastAsia="Malgun Gothic" w:cs="Times"/>
          <w:szCs w:val="20"/>
          <w:highlight w:val="green"/>
          <w:lang w:val="en-US" w:eastAsia="ko-KR"/>
        </w:rPr>
      </w:pPr>
      <w:r>
        <w:rPr>
          <w:rStyle w:val="42"/>
          <w:rFonts w:cs="Times"/>
          <w:szCs w:val="20"/>
          <w:highlight w:val="green"/>
        </w:rPr>
        <w:t>Agreement</w:t>
      </w:r>
    </w:p>
    <w:p>
      <w:pPr>
        <w:rPr>
          <w:rFonts w:cs="Times"/>
          <w:szCs w:val="20"/>
        </w:rPr>
      </w:pPr>
      <w:r>
        <w:rPr>
          <w:rFonts w:cs="Times"/>
          <w:szCs w:val="20"/>
        </w:rPr>
        <w:t>For CG-SDT, support mapping ratio {1/8, 1/4, 1/2} for SSB to CG PUSCH mapping. </w:t>
      </w:r>
    </w:p>
    <w:p>
      <w:pPr>
        <w:rPr>
          <w:rFonts w:cs="Times"/>
          <w:szCs w:val="20"/>
        </w:rPr>
      </w:pPr>
    </w:p>
    <w:p>
      <w:pPr>
        <w:rPr>
          <w:rFonts w:eastAsia="Malgun Gothic" w:cs="Times"/>
          <w:szCs w:val="20"/>
          <w:highlight w:val="green"/>
          <w:lang w:val="en-US" w:eastAsia="ko-KR"/>
        </w:rPr>
      </w:pPr>
      <w:r>
        <w:rPr>
          <w:rStyle w:val="42"/>
          <w:rFonts w:cs="Times"/>
          <w:szCs w:val="20"/>
          <w:highlight w:val="green"/>
        </w:rPr>
        <w:t>Agreement</w:t>
      </w:r>
    </w:p>
    <w:p>
      <w:pPr>
        <w:rPr>
          <w:rFonts w:cs="Times"/>
          <w:szCs w:val="20"/>
        </w:rPr>
      </w:pPr>
      <w:r>
        <w:rPr>
          <w:rFonts w:cs="Times"/>
          <w:szCs w:val="20"/>
        </w:rPr>
        <w:t>For CG-SDT, RAN1 cannot reach consensus on whether to support repetition or not, it’s up to RAN2 to decide on it.</w:t>
      </w:r>
    </w:p>
    <w:p>
      <w:pPr>
        <w:rPr>
          <w:rFonts w:cs="Times"/>
          <w:szCs w:val="20"/>
        </w:rPr>
      </w:pPr>
    </w:p>
    <w:p>
      <w:pPr>
        <w:rPr>
          <w:rFonts w:eastAsia="Malgun Gothic" w:cs="Times"/>
          <w:szCs w:val="20"/>
          <w:highlight w:val="green"/>
          <w:lang w:val="en-US" w:eastAsia="ko-KR"/>
        </w:rPr>
      </w:pPr>
      <w:r>
        <w:rPr>
          <w:rStyle w:val="42"/>
          <w:rFonts w:cs="Times"/>
          <w:szCs w:val="20"/>
          <w:highlight w:val="green"/>
        </w:rPr>
        <w:t>Agreement</w:t>
      </w:r>
    </w:p>
    <w:p>
      <w:pPr>
        <w:rPr>
          <w:rFonts w:cs="Times"/>
          <w:szCs w:val="20"/>
        </w:rPr>
      </w:pPr>
      <w:r>
        <w:rPr>
          <w:rFonts w:cs="Times"/>
          <w:szCs w:val="20"/>
        </w:rPr>
        <w:t>RAN1 confirms that the separate BWP in case of RedCap may still be considered as the initial BWP and SDT resources(both CG-SDT and RA-SDT) can hence be configured on this BWP for RedCap UEs.</w:t>
      </w:r>
    </w:p>
    <w:p>
      <w:pPr>
        <w:numPr>
          <w:ilvl w:val="0"/>
          <w:numId w:val="37"/>
        </w:numPr>
        <w:rPr>
          <w:rFonts w:cs="Times"/>
          <w:szCs w:val="20"/>
        </w:rPr>
      </w:pPr>
      <w:r>
        <w:rPr>
          <w:rFonts w:cs="Times"/>
          <w:szCs w:val="20"/>
        </w:rPr>
        <w:t>Note: details can be further studied to ensure proper functionality of RedCap UE performing SDT. </w:t>
      </w:r>
    </w:p>
    <w:p>
      <w:pPr>
        <w:rPr>
          <w:rFonts w:cs="Times"/>
          <w:szCs w:val="20"/>
        </w:rPr>
      </w:pPr>
    </w:p>
    <w:p>
      <w:pPr>
        <w:rPr>
          <w:rFonts w:eastAsia="Malgun Gothic" w:cs="Times"/>
          <w:szCs w:val="20"/>
          <w:highlight w:val="green"/>
          <w:lang w:val="en-US" w:eastAsia="ko-KR"/>
        </w:rPr>
      </w:pPr>
      <w:r>
        <w:rPr>
          <w:rStyle w:val="42"/>
          <w:rFonts w:cs="Times"/>
          <w:szCs w:val="20"/>
          <w:highlight w:val="green"/>
        </w:rPr>
        <w:t>Agreement</w:t>
      </w:r>
    </w:p>
    <w:p>
      <w:pPr>
        <w:numPr>
          <w:ilvl w:val="0"/>
          <w:numId w:val="37"/>
        </w:numPr>
        <w:rPr>
          <w:rFonts w:cs="Times"/>
          <w:szCs w:val="20"/>
        </w:rPr>
      </w:pPr>
      <w:r>
        <w:rPr>
          <w:rFonts w:cs="Times"/>
          <w:szCs w:val="20"/>
        </w:rPr>
        <w:t>For CG-SDT, the starting time of association period is SFN0.</w:t>
      </w:r>
    </w:p>
    <w:p>
      <w:pPr>
        <w:numPr>
          <w:ilvl w:val="0"/>
          <w:numId w:val="37"/>
        </w:numPr>
        <w:rPr>
          <w:rFonts w:cs="Times"/>
          <w:szCs w:val="20"/>
        </w:rPr>
      </w:pPr>
      <w:r>
        <w:rPr>
          <w:rFonts w:cs="Times"/>
          <w:szCs w:val="20"/>
        </w:rPr>
        <w:t>Regarding the candidate value set of association period, adopt the Table 2.4-1</w:t>
      </w:r>
    </w:p>
    <w:p>
      <w:pPr>
        <w:numPr>
          <w:ilvl w:val="1"/>
          <w:numId w:val="37"/>
        </w:numPr>
        <w:rPr>
          <w:rFonts w:cs="Times"/>
          <w:szCs w:val="20"/>
        </w:rPr>
      </w:pPr>
      <w:r>
        <w:rPr>
          <w:rFonts w:cs="Times"/>
          <w:szCs w:val="20"/>
        </w:rPr>
        <w:t>FFS CG period smaller than 5ms</w:t>
      </w:r>
    </w:p>
    <w:p>
      <w:pPr>
        <w:numPr>
          <w:ilvl w:val="1"/>
          <w:numId w:val="37"/>
        </w:numPr>
        <w:rPr>
          <w:rFonts w:cs="Times"/>
          <w:szCs w:val="20"/>
        </w:rPr>
      </w:pPr>
      <w:r>
        <w:rPr>
          <w:rFonts w:cs="Times"/>
          <w:szCs w:val="20"/>
        </w:rPr>
        <w:t>Note: It does not mean to RAN2 the maximum CG period is 640ms. The table will be updated if RAN2 introduces other CG period values.</w:t>
      </w:r>
    </w:p>
    <w:p>
      <w:pPr>
        <w:numPr>
          <w:ilvl w:val="1"/>
          <w:numId w:val="37"/>
        </w:numPr>
        <w:rPr>
          <w:rFonts w:cs="Times"/>
          <w:szCs w:val="20"/>
        </w:rPr>
      </w:pPr>
      <w:r>
        <w:rPr>
          <w:rFonts w:cs="Times"/>
          <w:szCs w:val="20"/>
          <w:shd w:val="clear" w:color="auto" w:fill="FFFFFF"/>
        </w:rPr>
        <w:t>Note: The potential impact on PDCCH monitoring periodicity should be considered if larger CG period value is introduced in RAN2</w:t>
      </w:r>
    </w:p>
    <w:p>
      <w:pPr>
        <w:rPr>
          <w:rFonts w:cs="Times"/>
          <w:szCs w:val="20"/>
        </w:rPr>
      </w:pPr>
    </w:p>
    <w:p>
      <w:pPr>
        <w:rPr>
          <w:rFonts w:cs="Times"/>
          <w:szCs w:val="20"/>
        </w:rPr>
      </w:pPr>
      <w:r>
        <w:rPr>
          <w:rStyle w:val="42"/>
          <w:rFonts w:cs="Times"/>
          <w:szCs w:val="20"/>
        </w:rPr>
        <w:t>Table 2.4-1: Mapping between CG period and SS/PBCH block to CG PUSCH resource association period</w:t>
      </w:r>
    </w:p>
    <w:tbl>
      <w:tblPr>
        <w:tblStyle w:val="37"/>
        <w:tblW w:w="0" w:type="auto"/>
        <w:tblCellSpacing w:w="0" w:type="dxa"/>
        <w:tblInd w:w="0" w:type="dxa"/>
        <w:tblLayout w:type="autofit"/>
        <w:tblCellMar>
          <w:top w:w="0" w:type="dxa"/>
          <w:left w:w="0" w:type="dxa"/>
          <w:bottom w:w="0" w:type="dxa"/>
          <w:right w:w="0" w:type="dxa"/>
        </w:tblCellMar>
      </w:tblPr>
      <w:tblGrid>
        <w:gridCol w:w="3330"/>
        <w:gridCol w:w="3780"/>
      </w:tblGrid>
      <w:tr>
        <w:tblPrEx>
          <w:tblCellMar>
            <w:top w:w="0" w:type="dxa"/>
            <w:left w:w="0" w:type="dxa"/>
            <w:bottom w:w="0" w:type="dxa"/>
            <w:right w:w="0" w:type="dxa"/>
          </w:tblCellMar>
        </w:tblPrEx>
        <w:trPr>
          <w:tblCellSpacing w:w="0" w:type="dxa"/>
        </w:trPr>
        <w:tc>
          <w:tcPr>
            <w:tcW w:w="3330" w:type="dxa"/>
            <w:tcBorders>
              <w:top w:val="single" w:color="auto" w:sz="8" w:space="0"/>
              <w:left w:val="single" w:color="auto" w:sz="8" w:space="0"/>
              <w:bottom w:val="single" w:color="auto" w:sz="8" w:space="0"/>
              <w:right w:val="single" w:color="auto" w:sz="8" w:space="0"/>
            </w:tcBorders>
            <w:shd w:val="clear" w:color="auto" w:fill="E0E0E0"/>
            <w:noWrap w:val="0"/>
            <w:tcMar>
              <w:top w:w="0" w:type="dxa"/>
              <w:left w:w="105" w:type="dxa"/>
              <w:bottom w:w="0" w:type="dxa"/>
              <w:right w:w="105" w:type="dxa"/>
            </w:tcMar>
            <w:vAlign w:val="center"/>
          </w:tcPr>
          <w:p>
            <w:pPr>
              <w:rPr>
                <w:rFonts w:cs="Times"/>
                <w:szCs w:val="20"/>
              </w:rPr>
            </w:pPr>
            <w:r>
              <w:rPr>
                <w:rStyle w:val="42"/>
                <w:rFonts w:cs="Times"/>
                <w:szCs w:val="20"/>
              </w:rPr>
              <w:t>CG period  (msec)</w:t>
            </w:r>
          </w:p>
        </w:tc>
        <w:tc>
          <w:tcPr>
            <w:tcW w:w="3780" w:type="dxa"/>
            <w:tcBorders>
              <w:top w:val="single" w:color="auto" w:sz="8" w:space="0"/>
              <w:left w:val="nil"/>
              <w:bottom w:val="single" w:color="auto" w:sz="8" w:space="0"/>
              <w:right w:val="single" w:color="auto" w:sz="8" w:space="0"/>
            </w:tcBorders>
            <w:shd w:val="clear" w:color="auto" w:fill="E0E0E0"/>
            <w:noWrap w:val="0"/>
            <w:tcMar>
              <w:top w:w="0" w:type="dxa"/>
              <w:left w:w="105" w:type="dxa"/>
              <w:bottom w:w="0" w:type="dxa"/>
              <w:right w:w="105" w:type="dxa"/>
            </w:tcMar>
            <w:vAlign w:val="center"/>
          </w:tcPr>
          <w:p>
            <w:pPr>
              <w:rPr>
                <w:rFonts w:cs="Times"/>
                <w:szCs w:val="20"/>
              </w:rPr>
            </w:pPr>
            <w:r>
              <w:rPr>
                <w:rStyle w:val="42"/>
                <w:rFonts w:cs="Times"/>
                <w:szCs w:val="20"/>
              </w:rPr>
              <w:t>Association period (number of CG periods except when CG period is less than 5 ms)</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5</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8,16, 32, 64, 128}</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8</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5, 8, 10, 16, 20, 40, 80}</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8,16, 32, 64}</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16</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5, 8,10,20,40}</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20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8,16, 32}</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32</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5, 10, 20}</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40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8, 16}</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64</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5, 10}</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80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 8}</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128</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5}</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160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 4}</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320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2}</w:t>
            </w:r>
          </w:p>
        </w:tc>
      </w:tr>
      <w:tr>
        <w:tblPrEx>
          <w:tblCellMar>
            <w:top w:w="0" w:type="dxa"/>
            <w:left w:w="0" w:type="dxa"/>
            <w:bottom w:w="0" w:type="dxa"/>
            <w:right w:w="0" w:type="dxa"/>
          </w:tblCellMar>
        </w:tblPrEx>
        <w:trPr>
          <w:tblCellSpacing w:w="0" w:type="dxa"/>
        </w:trPr>
        <w:tc>
          <w:tcPr>
            <w:tcW w:w="3330" w:type="dxa"/>
            <w:tcBorders>
              <w:top w:val="nil"/>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640</w:t>
            </w:r>
          </w:p>
        </w:tc>
        <w:tc>
          <w:tcPr>
            <w:tcW w:w="378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pPr>
              <w:rPr>
                <w:rFonts w:cs="Times"/>
                <w:szCs w:val="20"/>
              </w:rPr>
            </w:pPr>
            <w:r>
              <w:rPr>
                <w:rFonts w:cs="Times"/>
                <w:szCs w:val="20"/>
              </w:rPr>
              <w:t>{1 }</w:t>
            </w:r>
          </w:p>
        </w:tc>
      </w:tr>
    </w:tbl>
    <w:p>
      <w:pPr>
        <w:rPr>
          <w:rFonts w:eastAsia="Malgun Gothic" w:cs="Times"/>
          <w:szCs w:val="20"/>
        </w:rPr>
      </w:pPr>
    </w:p>
    <w:p>
      <w:pPr>
        <w:rPr>
          <w:rFonts w:eastAsia="Malgun Gothic" w:cs="Times"/>
          <w:szCs w:val="20"/>
          <w:highlight w:val="green"/>
          <w:lang w:val="en-US" w:eastAsia="ko-KR"/>
        </w:rPr>
      </w:pPr>
      <w:r>
        <w:rPr>
          <w:rStyle w:val="42"/>
          <w:rFonts w:cs="Times"/>
          <w:szCs w:val="20"/>
          <w:highlight w:val="green"/>
        </w:rPr>
        <w:t>Agreement</w:t>
      </w:r>
    </w:p>
    <w:p>
      <w:pPr>
        <w:rPr>
          <w:rFonts w:cs="Times"/>
          <w:szCs w:val="20"/>
        </w:rPr>
      </w:pPr>
      <w:r>
        <w:rPr>
          <w:rFonts w:cs="Times"/>
          <w:szCs w:val="20"/>
        </w:rPr>
        <w:t>Introduce a new parameter e.g. </w:t>
      </w:r>
      <w:r>
        <w:rPr>
          <w:rStyle w:val="44"/>
          <w:rFonts w:cs="Times"/>
          <w:szCs w:val="20"/>
        </w:rPr>
        <w:t>sdt-DMRSports</w:t>
      </w:r>
      <w:r>
        <w:rPr>
          <w:rFonts w:cs="Times"/>
          <w:szCs w:val="20"/>
        </w:rPr>
        <w:t> to configure the set of DMRS ports for SSB to PUSCH mapping</w:t>
      </w:r>
    </w:p>
    <w:p>
      <w:pPr>
        <w:numPr>
          <w:ilvl w:val="0"/>
          <w:numId w:val="37"/>
        </w:numPr>
        <w:rPr>
          <w:rFonts w:cs="Times"/>
          <w:szCs w:val="20"/>
        </w:rPr>
      </w:pPr>
      <w:r>
        <w:rPr>
          <w:rFonts w:cs="Times"/>
          <w:szCs w:val="20"/>
        </w:rPr>
        <w:t>Parameter </w:t>
      </w:r>
      <w:r>
        <w:rPr>
          <w:rStyle w:val="44"/>
          <w:rFonts w:cs="Times"/>
          <w:szCs w:val="20"/>
        </w:rPr>
        <w:t>antennaPort</w:t>
      </w:r>
      <w:r>
        <w:rPr>
          <w:rFonts w:cs="Times"/>
          <w:szCs w:val="20"/>
        </w:rPr>
        <w:t> is not applicable to CG-SDT</w:t>
      </w:r>
    </w:p>
    <w:p>
      <w:pPr>
        <w:rPr>
          <w:rFonts w:cs="Times"/>
          <w:szCs w:val="20"/>
        </w:rPr>
      </w:pPr>
      <w:r>
        <w:rPr>
          <w:rFonts w:cs="Times"/>
          <w:szCs w:val="20"/>
        </w:rPr>
        <w:t>Support up to 2 DMRS sequences for CG-SDT for CP-OFDM, the generation mechanism and configuration can reuse that of msgA PUSCH.</w:t>
      </w:r>
    </w:p>
    <w:p>
      <w:pPr>
        <w:numPr>
          <w:ilvl w:val="0"/>
          <w:numId w:val="37"/>
        </w:numPr>
        <w:rPr>
          <w:rFonts w:cs="Times"/>
          <w:szCs w:val="20"/>
        </w:rPr>
      </w:pPr>
      <w:r>
        <w:rPr>
          <w:rFonts w:cs="Times"/>
          <w:szCs w:val="20"/>
        </w:rPr>
        <w:t>Introduce a new parameter </w:t>
      </w:r>
      <w:r>
        <w:rPr>
          <w:i/>
          <w:iCs/>
        </w:rPr>
        <w:t>sdt-NrofDMRS-Sequences</w:t>
      </w:r>
      <w:r>
        <w:rPr>
          <w:rFonts w:cs="Times"/>
          <w:szCs w:val="20"/>
        </w:rPr>
        <w:t> to configure 1 or 2 DMRS sequences.</w:t>
      </w:r>
    </w:p>
    <w:p>
      <w:pPr>
        <w:numPr>
          <w:ilvl w:val="0"/>
          <w:numId w:val="37"/>
        </w:numPr>
        <w:rPr>
          <w:rFonts w:cs="Times"/>
          <w:szCs w:val="20"/>
        </w:rPr>
      </w:pPr>
      <w:r>
        <w:rPr>
          <w:rFonts w:cs="Times"/>
          <w:szCs w:val="20"/>
        </w:rPr>
        <w:t>The description of parameter </w:t>
      </w:r>
      <w:r>
        <w:rPr>
          <w:i/>
          <w:iCs/>
        </w:rPr>
        <w:t>dmrs-SeqInitialization</w:t>
      </w:r>
      <w:r>
        <w:rPr>
          <w:rFonts w:cs="Times"/>
          <w:szCs w:val="20"/>
        </w:rPr>
        <w:t> can be revised as “It’s present when single DMRS sequence is configured for CG-SDT”.</w:t>
      </w:r>
    </w:p>
    <w:p>
      <w:pPr>
        <w:rPr>
          <w:rFonts w:cs="Times"/>
          <w:szCs w:val="20"/>
        </w:rPr>
      </w:pPr>
    </w:p>
    <w:p>
      <w:pPr>
        <w:rPr>
          <w:rFonts w:eastAsia="Malgun Gothic" w:cs="Times"/>
          <w:szCs w:val="20"/>
          <w:highlight w:val="green"/>
          <w:lang w:val="en-US" w:eastAsia="ko-KR"/>
        </w:rPr>
      </w:pPr>
      <w:r>
        <w:rPr>
          <w:rStyle w:val="42"/>
          <w:rFonts w:cs="Times"/>
          <w:szCs w:val="20"/>
          <w:highlight w:val="green"/>
        </w:rPr>
        <w:t>Agreement</w:t>
      </w:r>
    </w:p>
    <w:p>
      <w:pPr>
        <w:rPr>
          <w:rFonts w:cs="Times"/>
          <w:szCs w:val="20"/>
        </w:rPr>
      </w:pPr>
      <w:r>
        <w:rPr>
          <w:rFonts w:cs="Times"/>
          <w:szCs w:val="20"/>
        </w:rPr>
        <w:t>Only single antenna port for single layer transmission is supported for CG-SDT</w:t>
      </w:r>
    </w:p>
    <w:p>
      <w:pPr>
        <w:numPr>
          <w:ilvl w:val="0"/>
          <w:numId w:val="37"/>
        </w:numPr>
        <w:rPr>
          <w:rFonts w:cs="Times"/>
          <w:szCs w:val="20"/>
        </w:rPr>
      </w:pPr>
      <w:r>
        <w:rPr>
          <w:i/>
          <w:iCs/>
        </w:rPr>
        <w:t>srs-ResourceIndicator</w:t>
      </w:r>
      <w:r>
        <w:rPr>
          <w:rFonts w:cs="Times"/>
          <w:szCs w:val="20"/>
        </w:rPr>
        <w:t> in </w:t>
      </w:r>
      <w:r>
        <w:rPr>
          <w:i/>
          <w:iCs/>
        </w:rPr>
        <w:t>ConfiguredGrantConfig </w:t>
      </w:r>
      <w:r>
        <w:rPr>
          <w:rFonts w:cs="Times"/>
          <w:szCs w:val="20"/>
        </w:rPr>
        <w:t>is not applicable to CG-SDT.</w:t>
      </w:r>
    </w:p>
    <w:p>
      <w:pPr>
        <w:numPr>
          <w:ilvl w:val="0"/>
          <w:numId w:val="37"/>
        </w:numPr>
        <w:rPr>
          <w:rFonts w:cs="Times"/>
          <w:szCs w:val="20"/>
        </w:rPr>
      </w:pPr>
      <w:r>
        <w:rPr>
          <w:i/>
          <w:iCs/>
        </w:rPr>
        <w:t>precodingAndNumberOfLayers</w:t>
      </w:r>
      <w:r>
        <w:rPr>
          <w:rFonts w:cs="Times"/>
          <w:szCs w:val="20"/>
        </w:rPr>
        <w:t> in </w:t>
      </w:r>
      <w:r>
        <w:rPr>
          <w:i/>
          <w:iCs/>
        </w:rPr>
        <w:t>ConfiguredGrantConfig </w:t>
      </w:r>
      <w:r>
        <w:rPr>
          <w:rFonts w:cs="Times"/>
          <w:szCs w:val="20"/>
        </w:rPr>
        <w:t>is always 1 for CG-SDT.</w:t>
      </w:r>
    </w:p>
    <w:p>
      <w:pPr>
        <w:rPr>
          <w:rFonts w:cs="Times"/>
          <w:szCs w:val="20"/>
        </w:rPr>
      </w:pPr>
    </w:p>
    <w:p>
      <w:pPr>
        <w:rPr>
          <w:rFonts w:eastAsia="Malgun Gothic" w:cs="Times"/>
          <w:szCs w:val="20"/>
          <w:highlight w:val="green"/>
          <w:lang w:val="en-US" w:eastAsia="ko-KR"/>
        </w:rPr>
      </w:pPr>
      <w:r>
        <w:rPr>
          <w:rStyle w:val="42"/>
          <w:rFonts w:cs="Times"/>
          <w:szCs w:val="20"/>
          <w:highlight w:val="green"/>
        </w:rPr>
        <w:t>Agreement</w:t>
      </w:r>
    </w:p>
    <w:p>
      <w:pPr>
        <w:numPr>
          <w:ilvl w:val="0"/>
          <w:numId w:val="37"/>
        </w:numPr>
        <w:rPr>
          <w:iCs/>
        </w:rPr>
      </w:pPr>
      <w:r>
        <w:rPr>
          <w:iCs/>
        </w:rPr>
        <w:t>UE specific parameter </w:t>
      </w:r>
      <w:r>
        <w:rPr>
          <w:i/>
        </w:rPr>
        <w:t>pucch-Config-r17</w:t>
      </w:r>
      <w:r>
        <w:rPr>
          <w:iCs/>
        </w:rPr>
        <w:t> is not needed for SDT.</w:t>
      </w:r>
    </w:p>
    <w:p>
      <w:pPr>
        <w:numPr>
          <w:ilvl w:val="0"/>
          <w:numId w:val="37"/>
        </w:numPr>
        <w:rPr>
          <w:iCs/>
        </w:rPr>
      </w:pPr>
      <w:r>
        <w:rPr>
          <w:iCs/>
        </w:rPr>
        <w:t>RAN1 cannot reach consensus on the support of UE specific CORESET, UE specific parameters </w:t>
      </w:r>
      <w:r>
        <w:rPr>
          <w:i/>
        </w:rPr>
        <w:t>pusch-Config-r17</w:t>
      </w:r>
      <w:r>
        <w:rPr>
          <w:iCs/>
        </w:rPr>
        <w:t> and </w:t>
      </w:r>
      <w:r>
        <w:rPr>
          <w:i/>
        </w:rPr>
        <w:t>pdsch-Config-r17</w:t>
      </w:r>
      <w:r>
        <w:rPr>
          <w:iCs/>
        </w:rPr>
        <w:t>. </w:t>
      </w:r>
    </w:p>
    <w:p>
      <w:pPr>
        <w:rPr>
          <w:rFonts w:cs="Times"/>
          <w:szCs w:val="20"/>
        </w:rPr>
      </w:pPr>
    </w:p>
    <w:p>
      <w:pPr>
        <w:rPr>
          <w:rFonts w:eastAsia="Malgun Gothic" w:cs="Times"/>
          <w:szCs w:val="20"/>
          <w:highlight w:val="green"/>
          <w:lang w:val="en-US" w:eastAsia="ko-KR"/>
        </w:rPr>
      </w:pPr>
      <w:r>
        <w:rPr>
          <w:rStyle w:val="42"/>
          <w:rFonts w:cs="Times"/>
          <w:szCs w:val="20"/>
          <w:highlight w:val="green"/>
        </w:rPr>
        <w:t>Agreement</w:t>
      </w:r>
    </w:p>
    <w:p>
      <w:pPr>
        <w:numPr>
          <w:ilvl w:val="0"/>
          <w:numId w:val="37"/>
        </w:numPr>
        <w:rPr>
          <w:iCs/>
        </w:rPr>
      </w:pPr>
      <w:r>
        <w:rPr>
          <w:iCs/>
        </w:rPr>
        <w:t>It’s up to RAN2 to decide on whether to support </w:t>
      </w:r>
      <w:r>
        <w:rPr>
          <w:i/>
        </w:rPr>
        <w:t>uci-OnPUSCH</w:t>
      </w:r>
      <w:r>
        <w:rPr>
          <w:iCs/>
        </w:rPr>
        <w:t> for CG-SDT.</w:t>
      </w:r>
    </w:p>
    <w:p>
      <w:pPr>
        <w:numPr>
          <w:ilvl w:val="0"/>
          <w:numId w:val="37"/>
        </w:numPr>
        <w:rPr>
          <w:iCs/>
        </w:rPr>
      </w:pPr>
      <w:r>
        <w:rPr>
          <w:rStyle w:val="44"/>
          <w:rFonts w:cs="Times"/>
          <w:szCs w:val="20"/>
        </w:rPr>
        <w:t>phy-PriorityIndex-r16</w:t>
      </w:r>
      <w:r>
        <w:rPr>
          <w:rFonts w:cs="Times"/>
          <w:szCs w:val="20"/>
        </w:rPr>
        <w:t> in </w:t>
      </w:r>
      <w:r>
        <w:rPr>
          <w:rStyle w:val="44"/>
          <w:rFonts w:cs="Times"/>
          <w:szCs w:val="20"/>
        </w:rPr>
        <w:t>ConfiguredGrantConfig </w:t>
      </w:r>
      <w:r>
        <w:rPr>
          <w:rFonts w:cs="Times"/>
          <w:szCs w:val="20"/>
        </w:rPr>
        <w:t>is not applicable to CG-SDT.</w:t>
      </w:r>
    </w:p>
    <w:p>
      <w:pPr>
        <w:rPr>
          <w:rFonts w:cs="Times"/>
          <w:szCs w:val="20"/>
        </w:rPr>
      </w:pPr>
    </w:p>
    <w:p>
      <w:pPr>
        <w:wordWrap w:val="0"/>
        <w:rPr>
          <w:rFonts w:eastAsia="Malgun Gothic" w:cs="Times"/>
          <w:b/>
          <w:bCs/>
          <w:szCs w:val="20"/>
          <w:lang w:val="en-US" w:eastAsia="ko-KR"/>
        </w:rPr>
      </w:pPr>
      <w:r>
        <w:rPr>
          <w:rFonts w:cs="Times"/>
          <w:b/>
          <w:bCs/>
          <w:szCs w:val="20"/>
          <w:highlight w:val="green"/>
        </w:rPr>
        <w:t>Agreement</w:t>
      </w:r>
    </w:p>
    <w:p>
      <w:pPr>
        <w:rPr>
          <w:rFonts w:cs="Times"/>
          <w:szCs w:val="20"/>
        </w:rPr>
      </w:pPr>
      <w:r>
        <w:rPr>
          <w:rFonts w:cs="Times"/>
          <w:szCs w:val="20"/>
        </w:rPr>
        <w:t xml:space="preserve">The reply LS to RAN2 on the physical layer aspects of small data transmission is endorsed in </w:t>
      </w:r>
      <w:r>
        <w:t>R1-2202656</w:t>
      </w:r>
      <w:r>
        <w:rPr>
          <w:rFonts w:cs="Times"/>
          <w:szCs w:val="20"/>
        </w:rPr>
        <w:t>.</w:t>
      </w:r>
    </w:p>
    <w:p>
      <w:pPr>
        <w:wordWrap w:val="0"/>
        <w:rPr>
          <w:rFonts w:cs="Times"/>
          <w:color w:val="1F497D"/>
          <w:szCs w:val="20"/>
        </w:rPr>
      </w:pPr>
    </w:p>
    <w:p>
      <w:pPr>
        <w:wordWrap w:val="0"/>
        <w:rPr>
          <w:rFonts w:eastAsia="Malgun Gothic" w:cs="Times"/>
          <w:b/>
          <w:bCs/>
          <w:szCs w:val="20"/>
          <w:lang w:val="en-US" w:eastAsia="ko-KR"/>
        </w:rPr>
      </w:pPr>
      <w:r>
        <w:rPr>
          <w:rFonts w:cs="Times"/>
          <w:b/>
          <w:bCs/>
          <w:szCs w:val="20"/>
          <w:highlight w:val="green"/>
        </w:rPr>
        <w:t>Agreement</w:t>
      </w:r>
    </w:p>
    <w:p>
      <w:pPr>
        <w:rPr>
          <w:rFonts w:cs="Times"/>
          <w:color w:val="1F497D"/>
          <w:szCs w:val="20"/>
          <w:lang w:eastAsia="zh-CN"/>
        </w:rPr>
      </w:pPr>
      <w:r>
        <w:rPr>
          <w:rFonts w:cs="Times"/>
          <w:color w:val="1F497D"/>
          <w:szCs w:val="20"/>
          <w:lang w:eastAsia="zh-CN"/>
        </w:rPr>
        <w:t>The following TP is endorsed for the editor’s CR on TS38.213.</w:t>
      </w:r>
    </w:p>
    <w:tbl>
      <w:tblPr>
        <w:tblStyle w:val="37"/>
        <w:tblW w:w="0" w:type="dxa"/>
        <w:tblInd w:w="105" w:type="dxa"/>
        <w:tblLayout w:type="autofit"/>
        <w:tblCellMar>
          <w:top w:w="0" w:type="dxa"/>
          <w:left w:w="0" w:type="dxa"/>
          <w:bottom w:w="0" w:type="dxa"/>
          <w:right w:w="0" w:type="dxa"/>
        </w:tblCellMar>
      </w:tblPr>
      <w:tblGrid>
        <w:gridCol w:w="9515"/>
      </w:tblGrid>
      <w:tr>
        <w:tc>
          <w:tcPr>
            <w:tcW w:w="951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autoSpaceDE w:val="0"/>
              <w:autoSpaceDN w:val="0"/>
              <w:spacing w:before="120" w:after="120"/>
              <w:jc w:val="center"/>
              <w:rPr>
                <w:rFonts w:ascii="Times New Roman" w:hAnsi="Times New Roman"/>
                <w:b/>
                <w:bCs/>
                <w:color w:val="0070C0"/>
                <w:sz w:val="24"/>
              </w:rPr>
            </w:pPr>
            <w:r>
              <w:rPr>
                <w:b/>
                <w:bCs/>
                <w:color w:val="0070C0"/>
              </w:rPr>
              <w:t>------------------------------   TS 38.21</w:t>
            </w:r>
            <w:r>
              <w:rPr>
                <w:b/>
                <w:bCs/>
                <w:color w:val="0070C0"/>
                <w:lang w:eastAsia="zh-CN"/>
              </w:rPr>
              <w:t>3</w:t>
            </w:r>
            <w:r>
              <w:rPr>
                <w:b/>
                <w:bCs/>
                <w:color w:val="0070C0"/>
              </w:rPr>
              <w:t>-----------------------------------</w:t>
            </w:r>
          </w:p>
          <w:p>
            <w:pPr>
              <w:autoSpaceDE w:val="0"/>
              <w:autoSpaceDN w:val="0"/>
              <w:spacing w:after="120"/>
              <w:jc w:val="center"/>
              <w:rPr>
                <w:b/>
                <w:bCs/>
                <w:color w:val="FF0000"/>
                <w:lang w:eastAsia="zh-CN"/>
              </w:rPr>
            </w:pPr>
            <w:r>
              <w:rPr>
                <w:b/>
                <w:bCs/>
                <w:color w:val="FF0000"/>
                <w:lang w:eastAsia="zh-CN"/>
              </w:rPr>
              <w:t>&lt; Unchanged text omitted &gt;</w:t>
            </w:r>
          </w:p>
          <w:p>
            <w:pPr>
              <w:autoSpaceDN w:val="0"/>
              <w:spacing w:before="120" w:after="120" w:line="280" w:lineRule="atLeast"/>
            </w:pPr>
            <w:r>
              <w:rPr>
                <w:rFonts w:ascii="Arial" w:hAnsi="Arial" w:cs="Arial"/>
                <w:sz w:val="32"/>
                <w:szCs w:val="32"/>
              </w:rPr>
              <w:t>19.1 Configured-grant based PUSCH transmission</w:t>
            </w:r>
          </w:p>
          <w:p>
            <w:pPr>
              <w:autoSpaceDE w:val="0"/>
              <w:autoSpaceDN w:val="0"/>
              <w:spacing w:after="120"/>
              <w:jc w:val="center"/>
              <w:rPr>
                <w:b/>
                <w:bCs/>
                <w:lang w:val="en-US" w:eastAsia="zh-CN"/>
              </w:rPr>
            </w:pPr>
            <w:r>
              <w:rPr>
                <w:b/>
                <w:bCs/>
                <w:color w:val="FF0000"/>
                <w:lang w:eastAsia="zh-CN"/>
              </w:rPr>
              <w:t>&lt; Unchanged text omitted &gt;</w:t>
            </w:r>
          </w:p>
          <w:p>
            <w:pPr>
              <w:autoSpaceDN w:val="0"/>
              <w:spacing w:before="120" w:after="120"/>
            </w:pPr>
            <w:r>
              <w:t xml:space="preserve">An association period, starting from frame </w:t>
            </w:r>
            <w:r>
              <w:rPr>
                <w:strike/>
                <w:color w:val="FF0000"/>
              </w:rPr>
              <w:t>TBD</w:t>
            </w:r>
            <w:r>
              <w:rPr>
                <w:strike/>
                <w:color w:val="FF0000"/>
                <w:lang w:eastAsia="zh-CN"/>
              </w:rPr>
              <w:t xml:space="preserve"> </w:t>
            </w:r>
            <w:r>
              <w:rPr>
                <w:color w:val="FF0000"/>
                <w:lang w:eastAsia="zh-CN"/>
              </w:rPr>
              <w:t>SFN0</w:t>
            </w:r>
            <w:r>
              <w:t xml:space="preserve">, for mapping </w:t>
            </w:r>
            <w:r>
              <w:fldChar w:fldCharType="begin"/>
            </w:r>
            <w:r>
              <w:instrText xml:space="preserve"> QUOTE </w:instrText>
            </w:r>
            <w:r>
              <w:rPr>
                <w:position w:val="-6"/>
              </w:rPr>
              <w:pict>
                <v:shape id="_x0000_i1025"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1EC9&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BB1EC9&quot; wsp:rsidP=&quot;00BB1EC9&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instrText xml:space="preserve"> </w:instrText>
            </w:r>
            <w:r>
              <w:fldChar w:fldCharType="separate"/>
            </w:r>
            <w:r>
              <w:rPr>
                <w:position w:val="-6"/>
              </w:rPr>
              <w:pict>
                <v:shape id="_x0000_i1026"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1EC9&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BB1EC9&quot; wsp:rsidP=&quot;00BB1EC9&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fldChar w:fldCharType="end"/>
            </w:r>
            <w:r>
              <w:t xml:space="preserve"> SS/PBCH block indexes, from the number of SS/PBCH block indexes, to valid PUSCH occasions and associated DM-RS resources is the smallest value in the set </w:t>
            </w:r>
            <w:r>
              <w:rPr>
                <w:lang w:eastAsia="zh-CN"/>
              </w:rPr>
              <w:t xml:space="preserve">determined by the PUSCH configuration period </w:t>
            </w:r>
            <w:r>
              <w:rPr>
                <w:color w:val="0000FF"/>
                <w:lang w:eastAsia="zh-CN"/>
              </w:rPr>
              <w:t xml:space="preserve">provided by </w:t>
            </w:r>
            <w:r>
              <w:rPr>
                <w:i/>
                <w:iCs/>
                <w:color w:val="0000FF"/>
                <w:lang w:eastAsia="zh-CN"/>
              </w:rPr>
              <w:t>periodicity</w:t>
            </w:r>
            <w:r>
              <w:rPr>
                <w:color w:val="0000FF"/>
                <w:lang w:eastAsia="zh-CN"/>
              </w:rPr>
              <w:t xml:space="preserve">                         in </w:t>
            </w:r>
            <w:r>
              <w:rPr>
                <w:i/>
                <w:iCs/>
                <w:color w:val="0000FF"/>
                <w:lang w:eastAsia="zh-CN"/>
              </w:rPr>
              <w:t xml:space="preserve">ConfiguredGrantConfig </w:t>
            </w:r>
            <w:r>
              <w:rPr>
                <w:color w:val="FF0000"/>
                <w:lang w:eastAsia="zh-CN"/>
              </w:rPr>
              <w:t xml:space="preserve">according </w:t>
            </w:r>
            <w:r>
              <w:rPr>
                <w:color w:val="0000FF"/>
                <w:lang w:eastAsia="zh-CN"/>
              </w:rPr>
              <w:t>to</w:t>
            </w:r>
            <w:r>
              <w:rPr>
                <w:color w:val="FF0000"/>
                <w:lang w:eastAsia="zh-CN"/>
              </w:rPr>
              <w:t xml:space="preserve"> Table</w:t>
            </w:r>
            <w:r>
              <w:rPr>
                <w:color w:val="FF0000"/>
              </w:rPr>
              <w:t xml:space="preserve"> </w:t>
            </w:r>
            <w:r>
              <w:rPr>
                <w:color w:val="FF0000"/>
                <w:lang w:eastAsia="zh-CN"/>
              </w:rPr>
              <w:t>xx</w:t>
            </w:r>
            <w:r>
              <w:rPr>
                <w:lang w:eastAsia="zh-CN"/>
              </w:rPr>
              <w:t xml:space="preserve"> </w:t>
            </w:r>
            <w:r>
              <w:t xml:space="preserve">such that </w:t>
            </w:r>
            <w:r>
              <w:fldChar w:fldCharType="begin"/>
            </w:r>
            <w:r>
              <w:instrText xml:space="preserve"> QUOTE </w:instrText>
            </w:r>
            <w:r>
              <w:rPr>
                <w:position w:val="-6"/>
              </w:rPr>
              <w:pict>
                <v:shape id="_x0000_i1027"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72B&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1B272B&quot; wsp:rsidP=&quot;001B272B&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instrText xml:space="preserve"> </w:instrText>
            </w:r>
            <w:r>
              <w:fldChar w:fldCharType="separate"/>
            </w:r>
            <w:r>
              <w:rPr>
                <w:position w:val="-6"/>
              </w:rPr>
              <w:pict>
                <v:shape id="_x0000_i1028"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72B&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1B272B&quot; wsp:rsidP=&quot;001B272B&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fldChar w:fldCharType="end"/>
            </w:r>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w:t>
            </w:r>
            <w:r>
              <w:rPr>
                <w:color w:val="FF0000"/>
              </w:rPr>
              <w:t xml:space="preserve"> </w:t>
            </w:r>
            <w:r>
              <w:t>mapping cycles within the association period there is a set of</w:t>
            </w:r>
            <w:r>
              <w:rPr>
                <w:lang w:eastAsia="zh-CN"/>
              </w:rPr>
              <w:t xml:space="preserve"> PUSCH</w:t>
            </w:r>
            <w:r>
              <w:t xml:space="preserve"> occasions</w:t>
            </w:r>
            <w:r>
              <w:rPr>
                <w:color w:val="FF0000"/>
              </w:rPr>
              <w:t xml:space="preserve"> </w:t>
            </w:r>
            <w:r>
              <w:t xml:space="preserve">that are not mapped to </w:t>
            </w:r>
            <w:r>
              <w:fldChar w:fldCharType="begin"/>
            </w:r>
            <w:r>
              <w:instrText xml:space="preserve"> QUOTE </w:instrText>
            </w:r>
            <w:r>
              <w:rPr>
                <w:position w:val="-6"/>
              </w:rPr>
              <w:pict>
                <v:shape id="_x0000_i1029"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E66FE&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2E66FE&quot; wsp:rsidP=&quot;002E66FE&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instrText xml:space="preserve"> </w:instrText>
            </w:r>
            <w:r>
              <w:fldChar w:fldCharType="separate"/>
            </w:r>
            <w:r>
              <w:rPr>
                <w:position w:val="-6"/>
              </w:rPr>
              <w:pict>
                <v:shape id="_x0000_i1030"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E66FE&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2E66FE&quot; wsp:rsidP=&quot;002E66FE&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fldChar w:fldCharType="end"/>
            </w:r>
            <w:r>
              <w:t xml:space="preserve"> SS/PBCH block indexes, no SS/PBCH block indexes are mapped to the set of</w:t>
            </w:r>
            <w:r>
              <w:rPr>
                <w:lang w:eastAsia="zh-CN"/>
              </w:rPr>
              <w:t xml:space="preserve"> PUSCH</w:t>
            </w:r>
            <w:r>
              <w:t xml:space="preserve"> occasions. An association pattern period includes one or more association periods and is determined so that a pattern between </w:t>
            </w:r>
            <w:r>
              <w:rPr>
                <w:lang w:eastAsia="zh-CN"/>
              </w:rPr>
              <w:t>PUSCH</w:t>
            </w:r>
            <w:r>
              <w:t xml:space="preserve"> occasions</w:t>
            </w:r>
            <w:r>
              <w:rPr>
                <w:lang w:eastAsia="zh-CN"/>
              </w:rPr>
              <w:t xml:space="preserve"> </w:t>
            </w:r>
            <w:r>
              <w:t xml:space="preserve">and SS/PBCH block indexes repeats at most every 640 msec. </w:t>
            </w:r>
            <w:r>
              <w:rPr>
                <w:lang w:eastAsia="zh-CN"/>
              </w:rPr>
              <w:t>PUSCH</w:t>
            </w:r>
            <w:r>
              <w:t xml:space="preserve"> occasions not associated with SS/PBCH block indexes after an integer number of association periods, if any, are not used for </w:t>
            </w:r>
            <w:r>
              <w:rPr>
                <w:lang w:eastAsia="zh-CN"/>
              </w:rPr>
              <w:t>PUSCH</w:t>
            </w:r>
            <w:r>
              <w:t xml:space="preserve"> transmissions.</w:t>
            </w:r>
          </w:p>
          <w:p>
            <w:pPr>
              <w:overflowPunct w:val="0"/>
              <w:autoSpaceDE w:val="0"/>
              <w:autoSpaceDN w:val="0"/>
              <w:spacing w:before="120" w:after="120" w:line="252" w:lineRule="auto"/>
              <w:jc w:val="center"/>
              <w:textAlignment w:val="baseline"/>
              <w:rPr>
                <w:b/>
                <w:bCs/>
                <w:color w:val="FF0000"/>
                <w:lang w:val="en-US" w:eastAsia="zh-CN"/>
              </w:rPr>
            </w:pPr>
            <w:r>
              <w:rPr>
                <w:b/>
                <w:bCs/>
                <w:color w:val="FF0000"/>
                <w:lang w:eastAsia="zh-CN"/>
              </w:rPr>
              <w:t>&lt; Unchanged text omitted &gt;</w:t>
            </w:r>
          </w:p>
          <w:p>
            <w:pPr>
              <w:pStyle w:val="103"/>
              <w:rPr>
                <w:bCs/>
                <w:color w:val="FF0000"/>
                <w:lang w:eastAsia="en-US"/>
              </w:rPr>
            </w:pPr>
            <w:r>
              <w:rPr>
                <w:color w:val="FF0000"/>
              </w:rPr>
              <w:t xml:space="preserve">Table </w:t>
            </w:r>
            <w:r>
              <w:rPr>
                <w:color w:val="FF0000"/>
                <w:lang w:eastAsia="zh-CN"/>
              </w:rPr>
              <w:t>xx</w:t>
            </w:r>
            <w:r>
              <w:rPr>
                <w:color w:val="FF0000"/>
              </w:rPr>
              <w:t xml:space="preserve">: Mapping between </w:t>
            </w:r>
            <w:r>
              <w:rPr>
                <w:color w:val="0000FF"/>
                <w:lang w:eastAsia="zh-CN"/>
              </w:rPr>
              <w:t>PUSCH configuration</w:t>
            </w:r>
            <w:r>
              <w:rPr>
                <w:color w:val="FF0000"/>
              </w:rPr>
              <w:t xml:space="preserve"> period and SS/PBCH block to </w:t>
            </w:r>
            <w:r>
              <w:rPr>
                <w:color w:val="FF0000"/>
                <w:lang w:eastAsia="zh-CN"/>
              </w:rPr>
              <w:t>configured</w:t>
            </w:r>
            <w:r>
              <w:rPr>
                <w:color w:val="FF0000"/>
              </w:rPr>
              <w:t xml:space="preserve"> PUSCH resource association period</w:t>
            </w:r>
          </w:p>
          <w:tbl>
            <w:tblPr>
              <w:tblStyle w:val="37"/>
              <w:tblW w:w="0" w:type="auto"/>
              <w:jc w:val="center"/>
              <w:tblLayout w:type="autofit"/>
              <w:tblCellMar>
                <w:top w:w="0" w:type="dxa"/>
                <w:left w:w="0" w:type="dxa"/>
                <w:bottom w:w="0" w:type="dxa"/>
                <w:right w:w="0" w:type="dxa"/>
              </w:tblCellMar>
            </w:tblPr>
            <w:tblGrid>
              <w:gridCol w:w="3325"/>
              <w:gridCol w:w="3780"/>
            </w:tblGrid>
            <w:tr>
              <w:tblPrEx>
                <w:tblCellMar>
                  <w:top w:w="0" w:type="dxa"/>
                  <w:left w:w="0" w:type="dxa"/>
                  <w:bottom w:w="0" w:type="dxa"/>
                  <w:right w:w="0" w:type="dxa"/>
                </w:tblCellMar>
              </w:tblPrEx>
              <w:trPr>
                <w:jc w:val="center"/>
              </w:trPr>
              <w:tc>
                <w:tcPr>
                  <w:tcW w:w="3325" w:type="dxa"/>
                  <w:tcBorders>
                    <w:top w:val="single" w:color="auto" w:sz="8" w:space="0"/>
                    <w:left w:val="single" w:color="auto" w:sz="8" w:space="0"/>
                    <w:bottom w:val="single" w:color="auto" w:sz="8" w:space="0"/>
                    <w:right w:val="single" w:color="auto" w:sz="8" w:space="0"/>
                  </w:tcBorders>
                  <w:shd w:val="clear" w:color="auto" w:fill="E0E0E0"/>
                  <w:noWrap w:val="0"/>
                  <w:tcMar>
                    <w:top w:w="0" w:type="dxa"/>
                    <w:left w:w="108" w:type="dxa"/>
                    <w:bottom w:w="0" w:type="dxa"/>
                    <w:right w:w="108" w:type="dxa"/>
                  </w:tcMar>
                  <w:vAlign w:val="center"/>
                </w:tcPr>
                <w:p>
                  <w:pPr>
                    <w:pStyle w:val="85"/>
                    <w:rPr>
                      <w:color w:val="FF0000"/>
                    </w:rPr>
                  </w:pPr>
                  <w:r>
                    <w:rPr>
                      <w:color w:val="0000FF"/>
                      <w:lang w:eastAsia="zh-CN"/>
                    </w:rPr>
                    <w:t>PUSCH configuration</w:t>
                  </w:r>
                  <w:r>
                    <w:rPr>
                      <w:color w:val="FF0000"/>
                    </w:rPr>
                    <w:t xml:space="preserve"> period </w:t>
                  </w:r>
                  <w:r>
                    <w:rPr>
                      <w:color w:val="FF0000"/>
                    </w:rPr>
                    <w:fldChar w:fldCharType="begin"/>
                  </w:r>
                  <w:r>
                    <w:rPr>
                      <w:color w:val="FF0000"/>
                    </w:rPr>
                    <w:instrText xml:space="preserve"> QUOTE </w:instrText>
                  </w:r>
                  <w:r>
                    <w:rPr>
                      <w:position w:val="-8"/>
                    </w:rPr>
                    <w:pict>
                      <v:shape id="_x0000_i1031" o:spt="75" type="#_x0000_t75" style="height:12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46711&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A46711&quot; wsp:rsidP=&quot;00A46711&quot;&gt;&lt;m:oMathPara&gt;&lt;m:oMath&gt;&lt;m:sSub&gt;&lt;m:sSubPr&gt;&lt;m:ctrlPr&gt;&lt;w:rPr&gt;&lt;w:rFonts w:ascii=&quot;Cambria Math&quot; w:fareast=&quot;맑은 고딕&quot; w:h-ansi=&quot;Cambria Math&quot; w:cs=&quot;Arial&quot;/&gt;&lt;wx:font wx:val=&quot;Cambria Math&quot;/&gt;&lt;w:b/&gt;&lt;w:b-cs/&gt;&lt;w:i/&gt;&lt;w:i-cs/&gt;&lt;w:color w:val=&quot;FF0000&quot;/&gt;&lt;w:sz w:val=&quot;18&quot;/&gt;&lt;w:sz-cs w:val=&quot;18&quot;/&gt;&lt;/w:rPr&gt;&lt;/m:ctrlPr&gt;&lt;/m:sSubPr&gt;&lt;m:e&gt;&lt;m:r&gt;&lt;m:rPr&gt;&lt;m:sty m:val=&quot;bi&quot;/&gt;&lt;/m:rPr&gt;&lt;w:rPr&gt;&lt;w:rFonts w:ascii=&quot;Cambria Math&quot; w:h-ansi=&quot;Cambria Math&quot;/&gt;&lt;wx:font wx:val=&quot;Cambria Math&quot;/&gt;&lt;w:b/&gt;&lt;w:b-cs/&gt;&lt;w:i/&gt;&lt;w:i-cs/&gt;&lt;w:color w:val=&quot;FF0000&quot;/&gt;&lt;/w:rPr&gt;&lt;m:t&gt;T&lt;/m:t&gt;&lt;/m:r&gt;&lt;/m:e&gt;&lt;m:sub&gt;&lt;m:r&gt;&lt;m:rPr&gt;&lt;m:sty m:val=&quot;bi&quot;/&gt;&lt;/m:rPr&gt;&lt;w:rPr&gt;&lt;w:rFonts w:ascii=&quot;Cambria Math&quot; w:h-ansi=&quot;Cambria Math&quot;/&gt;&lt;wx:font wx:val=&quot;Cambria Math&quot;/&gt;&lt;w:b/&gt;&lt;w:b-cs/&gt;&lt;w:i/&gt;&lt;w:i-cs/&gt;&lt;w:color w:val=&quot;FF0000&quot;/&gt;&lt;/w:rPr&gt;&lt;m:t&gt;cg&lt;/m:t&gt;&lt;/m:r&gt;&lt;/m:sub&gt;&lt;/m:sSub&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color w:val="FF0000"/>
                    </w:rPr>
                    <w:instrText xml:space="preserve"> </w:instrText>
                  </w:r>
                  <w:r>
                    <w:rPr>
                      <w:color w:val="FF0000"/>
                    </w:rPr>
                    <w:fldChar w:fldCharType="separate"/>
                  </w:r>
                  <w:r>
                    <w:rPr>
                      <w:position w:val="-8"/>
                    </w:rPr>
                    <w:pict>
                      <v:shape id="_x0000_i1032" o:spt="75" type="#_x0000_t75" style="height:12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46711&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A46711&quot; wsp:rsidP=&quot;00A46711&quot;&gt;&lt;m:oMathPara&gt;&lt;m:oMath&gt;&lt;m:sSub&gt;&lt;m:sSubPr&gt;&lt;m:ctrlPr&gt;&lt;w:rPr&gt;&lt;w:rFonts w:ascii=&quot;Cambria Math&quot; w:fareast=&quot;맑은 고딕&quot; w:h-ansi=&quot;Cambria Math&quot; w:cs=&quot;Arial&quot;/&gt;&lt;wx:font wx:val=&quot;Cambria Math&quot;/&gt;&lt;w:b/&gt;&lt;w:b-cs/&gt;&lt;w:i/&gt;&lt;w:i-cs/&gt;&lt;w:color w:val=&quot;FF0000&quot;/&gt;&lt;w:sz w:val=&quot;18&quot;/&gt;&lt;w:sz-cs w:val=&quot;18&quot;/&gt;&lt;/w:rPr&gt;&lt;/m:ctrlPr&gt;&lt;/m:sSubPr&gt;&lt;m:e&gt;&lt;m:r&gt;&lt;m:rPr&gt;&lt;m:sty m:val=&quot;bi&quot;/&gt;&lt;/m:rPr&gt;&lt;w:rPr&gt;&lt;w:rFonts w:ascii=&quot;Cambria Math&quot; w:h-ansi=&quot;Cambria Math&quot;/&gt;&lt;wx:font wx:val=&quot;Cambria Math&quot;/&gt;&lt;w:b/&gt;&lt;w:b-cs/&gt;&lt;w:i/&gt;&lt;w:i-cs/&gt;&lt;w:color w:val=&quot;FF0000&quot;/&gt;&lt;/w:rPr&gt;&lt;m:t&gt;T&lt;/m:t&gt;&lt;/m:r&gt;&lt;/m:e&gt;&lt;m:sub&gt;&lt;m:r&gt;&lt;m:rPr&gt;&lt;m:sty m:val=&quot;bi&quot;/&gt;&lt;/m:rPr&gt;&lt;w:rPr&gt;&lt;w:rFonts w:ascii=&quot;Cambria Math&quot; w:h-ansi=&quot;Cambria Math&quot;/&gt;&lt;wx:font wx:val=&quot;Cambria Math&quot;/&gt;&lt;w:b/&gt;&lt;w:b-cs/&gt;&lt;w:i/&gt;&lt;w:i-cs/&gt;&lt;w:color w:val=&quot;FF0000&quot;/&gt;&lt;/w:rPr&gt;&lt;m:t&gt;cg&lt;/m:t&gt;&lt;/m:r&gt;&lt;/m:sub&gt;&lt;/m:sSub&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color w:val="FF0000"/>
                    </w:rPr>
                    <w:fldChar w:fldCharType="end"/>
                  </w:r>
                  <w:r>
                    <w:rPr>
                      <w:color w:val="FF0000"/>
                    </w:rPr>
                    <w:t xml:space="preserve"> (msec)</w:t>
                  </w:r>
                </w:p>
              </w:tc>
              <w:tc>
                <w:tcPr>
                  <w:tcW w:w="3780" w:type="dxa"/>
                  <w:tcBorders>
                    <w:top w:val="single" w:color="auto" w:sz="8" w:space="0"/>
                    <w:left w:val="nil"/>
                    <w:bottom w:val="single" w:color="auto" w:sz="8" w:space="0"/>
                    <w:right w:val="single" w:color="auto" w:sz="8" w:space="0"/>
                  </w:tcBorders>
                  <w:shd w:val="clear" w:color="auto" w:fill="E0E0E0"/>
                  <w:noWrap w:val="0"/>
                  <w:tcMar>
                    <w:top w:w="0" w:type="dxa"/>
                    <w:left w:w="108" w:type="dxa"/>
                    <w:bottom w:w="0" w:type="dxa"/>
                    <w:right w:w="108" w:type="dxa"/>
                  </w:tcMar>
                  <w:vAlign w:val="center"/>
                </w:tcPr>
                <w:p>
                  <w:pPr>
                    <w:pStyle w:val="85"/>
                    <w:rPr>
                      <w:color w:val="FF0000"/>
                    </w:rPr>
                  </w:pPr>
                  <w:r>
                    <w:rPr>
                      <w:color w:val="FF0000"/>
                    </w:rPr>
                    <w:t xml:space="preserve">Association period (number of </w:t>
                  </w:r>
                  <w:r>
                    <w:rPr>
                      <w:color w:val="0000FF"/>
                      <w:lang w:eastAsia="zh-CN"/>
                    </w:rPr>
                    <w:t>PUSCH configuration</w:t>
                  </w:r>
                  <w:r>
                    <w:rPr>
                      <w:color w:val="FF0000"/>
                      <w:lang w:eastAsia="zh-CN"/>
                    </w:rPr>
                    <w:t xml:space="preserve"> </w:t>
                  </w:r>
                  <w:r>
                    <w:rPr>
                      <w:color w:val="FF0000"/>
                    </w:rPr>
                    <w:t xml:space="preserve">periods except when </w:t>
                  </w:r>
                  <w:r>
                    <w:rPr>
                      <w:color w:val="0000FF"/>
                      <w:lang w:eastAsia="zh-CN"/>
                    </w:rPr>
                    <w:t>PUSCH configuration</w:t>
                  </w:r>
                  <w:r>
                    <w:rPr>
                      <w:color w:val="FF0000"/>
                      <w:lang w:eastAsia="zh-CN"/>
                    </w:rPr>
                    <w:t xml:space="preserve"> </w:t>
                  </w:r>
                  <w:r>
                    <w:rPr>
                      <w:color w:val="FF0000"/>
                    </w:rPr>
                    <w:t>period is less than 5 ms</w:t>
                  </w:r>
                  <w:r>
                    <w:rPr>
                      <w:color w:val="0000FF"/>
                      <w:lang w:eastAsia="zh-CN"/>
                    </w:rPr>
                    <w:t>ec</w:t>
                  </w:r>
                  <w:r>
                    <w:rPr>
                      <w:color w:val="FF0000"/>
                    </w:rPr>
                    <w:t>)</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5</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8,16, 32, 64, 128}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8</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5, 8, 10, 16, 20, 40, 80}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8,16, 32, 64}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16</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5, 8,10,20,40}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20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8,16, 32}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32</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5, 10, 20}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40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8, 16}</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64</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5, 10}</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80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 8}</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128</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5}</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160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 4}</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sz w:val="18"/>
                      <w:szCs w:val="18"/>
                    </w:rPr>
                  </w:pPr>
                  <w:r>
                    <w:rPr>
                      <w:color w:val="FF0000"/>
                    </w:rPr>
                    <w:t>320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 2}</w:t>
                  </w:r>
                </w:p>
              </w:tc>
            </w:tr>
            <w:tr>
              <w:tblPrEx>
                <w:tblCellMar>
                  <w:top w:w="0" w:type="dxa"/>
                  <w:left w:w="0" w:type="dxa"/>
                  <w:bottom w:w="0" w:type="dxa"/>
                  <w:right w:w="0" w:type="dxa"/>
                </w:tblCellMar>
              </w:tblPrEx>
              <w:trPr>
                <w:jc w:val="center"/>
              </w:trPr>
              <w:tc>
                <w:tcPr>
                  <w:tcW w:w="332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640</w:t>
                  </w:r>
                </w:p>
              </w:tc>
              <w:tc>
                <w:tcPr>
                  <w:tcW w:w="37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4"/>
                    <w:rPr>
                      <w:color w:val="FF0000"/>
                    </w:rPr>
                  </w:pPr>
                  <w:r>
                    <w:rPr>
                      <w:color w:val="FF0000"/>
                    </w:rPr>
                    <w:t>{1</w:t>
                  </w:r>
                  <w:r>
                    <w:rPr>
                      <w:color w:val="FF0000"/>
                      <w:lang w:eastAsia="zh-CN"/>
                    </w:rPr>
                    <w:t xml:space="preserve"> </w:t>
                  </w:r>
                  <w:r>
                    <w:rPr>
                      <w:color w:val="FF0000"/>
                    </w:rPr>
                    <w:t>}</w:t>
                  </w:r>
                </w:p>
              </w:tc>
            </w:tr>
          </w:tbl>
          <w:p>
            <w:pPr>
              <w:overflowPunct w:val="0"/>
              <w:autoSpaceDE w:val="0"/>
              <w:autoSpaceDN w:val="0"/>
              <w:spacing w:before="120" w:after="120" w:line="252" w:lineRule="auto"/>
              <w:jc w:val="center"/>
              <w:textAlignment w:val="baseline"/>
              <w:rPr>
                <w:rFonts w:eastAsia="Malgun Gothic"/>
                <w:b/>
                <w:bCs/>
                <w:color w:val="FF0000"/>
                <w:sz w:val="22"/>
                <w:szCs w:val="22"/>
                <w:lang w:val="en-US" w:eastAsia="zh-CN"/>
              </w:rPr>
            </w:pPr>
          </w:p>
          <w:p>
            <w:pPr>
              <w:overflowPunct w:val="0"/>
              <w:autoSpaceDE w:val="0"/>
              <w:autoSpaceDN w:val="0"/>
              <w:spacing w:before="120" w:after="120" w:line="252" w:lineRule="auto"/>
              <w:jc w:val="center"/>
              <w:textAlignment w:val="baseline"/>
              <w:rPr>
                <w:b/>
                <w:bCs/>
                <w:color w:val="FF0000"/>
                <w:sz w:val="24"/>
                <w:lang w:eastAsia="zh-CN"/>
              </w:rPr>
            </w:pPr>
            <w:r>
              <w:rPr>
                <w:b/>
                <w:bCs/>
                <w:color w:val="FF0000"/>
                <w:lang w:eastAsia="zh-CN"/>
              </w:rPr>
              <w:t>&lt; Unchanged text omitted &gt;</w:t>
            </w:r>
          </w:p>
          <w:p>
            <w:pPr>
              <w:overflowPunct w:val="0"/>
              <w:autoSpaceDE w:val="0"/>
              <w:autoSpaceDN w:val="0"/>
              <w:spacing w:before="120" w:after="120" w:line="252" w:lineRule="auto"/>
              <w:jc w:val="center"/>
              <w:textAlignment w:val="baseline"/>
              <w:rPr>
                <w:b/>
                <w:bCs/>
                <w:color w:val="FF0000"/>
                <w:lang w:eastAsia="zh-CN"/>
              </w:rPr>
            </w:pPr>
          </w:p>
        </w:tc>
      </w:tr>
    </w:tbl>
    <w:p>
      <w:pPr>
        <w:rPr>
          <w:rFonts w:cs="Times"/>
          <w:sz w:val="24"/>
          <w:lang w:eastAsia="zh-CN"/>
        </w:rPr>
      </w:pPr>
    </w:p>
    <w:p>
      <w:pPr>
        <w:rPr>
          <w:rFonts w:eastAsia="Malgun Gothic" w:cs="Times"/>
          <w:b/>
          <w:bCs/>
          <w:szCs w:val="20"/>
          <w:lang w:val="en-US" w:eastAsia="ko-KR"/>
        </w:rPr>
      </w:pPr>
      <w:r>
        <w:rPr>
          <w:rFonts w:cs="Times"/>
          <w:b/>
          <w:bCs/>
          <w:szCs w:val="20"/>
          <w:highlight w:val="green"/>
        </w:rPr>
        <w:t>Agreement</w:t>
      </w:r>
    </w:p>
    <w:p>
      <w:pPr>
        <w:rPr>
          <w:rFonts w:eastAsia="Malgun Gothic" w:cs="Times"/>
          <w:lang w:eastAsia="zh-CN"/>
        </w:rPr>
      </w:pPr>
      <w:r>
        <w:rPr>
          <w:rFonts w:cs="Times"/>
          <w:lang w:eastAsia="zh-CN"/>
        </w:rPr>
        <w:t>Only fallback DCI is supported for CG-SDT.</w:t>
      </w:r>
    </w:p>
    <w:p>
      <w:pPr>
        <w:rPr>
          <w:rFonts w:cs="Times"/>
          <w:lang w:eastAsia="zh-CN"/>
        </w:rPr>
      </w:pPr>
    </w:p>
    <w:p>
      <w:pPr>
        <w:wordWrap w:val="0"/>
        <w:rPr>
          <w:rFonts w:eastAsia="Malgun Gothic" w:cs="Times"/>
          <w:b/>
          <w:bCs/>
          <w:szCs w:val="20"/>
          <w:lang w:val="en-US" w:eastAsia="ko-KR"/>
        </w:rPr>
      </w:pPr>
      <w:r>
        <w:rPr>
          <w:rFonts w:cs="Times"/>
          <w:b/>
          <w:bCs/>
          <w:szCs w:val="20"/>
          <w:highlight w:val="green"/>
        </w:rPr>
        <w:t>Agreement</w:t>
      </w:r>
    </w:p>
    <w:p>
      <w:pPr>
        <w:rPr>
          <w:rFonts w:cs="Times"/>
          <w:szCs w:val="20"/>
          <w:lang w:eastAsia="zh-CN"/>
        </w:rPr>
      </w:pPr>
      <w:r>
        <w:rPr>
          <w:rFonts w:cs="Times"/>
          <w:szCs w:val="20"/>
          <w:lang w:eastAsia="zh-CN"/>
        </w:rPr>
        <w:t>The following TP is endorsed for the editor’s CR on TS38.213.</w:t>
      </w:r>
    </w:p>
    <w:tbl>
      <w:tblPr>
        <w:tblStyle w:val="37"/>
        <w:tblW w:w="0" w:type="dxa"/>
        <w:tblInd w:w="105" w:type="dxa"/>
        <w:tblLayout w:type="autofit"/>
        <w:tblCellMar>
          <w:top w:w="0" w:type="dxa"/>
          <w:left w:w="0" w:type="dxa"/>
          <w:bottom w:w="0" w:type="dxa"/>
          <w:right w:w="0" w:type="dxa"/>
        </w:tblCellMar>
      </w:tblPr>
      <w:tblGrid>
        <w:gridCol w:w="9515"/>
      </w:tblGrid>
      <w:tr>
        <w:tblPrEx>
          <w:tblCellMar>
            <w:top w:w="0" w:type="dxa"/>
            <w:left w:w="0" w:type="dxa"/>
            <w:bottom w:w="0" w:type="dxa"/>
            <w:right w:w="0" w:type="dxa"/>
          </w:tblCellMar>
        </w:tblPrEx>
        <w:tc>
          <w:tcPr>
            <w:tcW w:w="951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autoSpaceDE w:val="0"/>
              <w:autoSpaceDN w:val="0"/>
              <w:spacing w:after="120" w:line="252" w:lineRule="auto"/>
              <w:rPr>
                <w:rFonts w:ascii="Times New Roman" w:hAnsi="Times New Roman"/>
                <w:b/>
                <w:bCs/>
                <w:sz w:val="24"/>
              </w:rPr>
            </w:pPr>
            <w:r>
              <w:rPr>
                <w:b/>
                <w:bCs/>
              </w:rPr>
              <w:t>10.1</w:t>
            </w:r>
            <w:r>
              <w:rPr>
                <w:b/>
                <w:bCs/>
                <w:lang w:eastAsia="zh-CN"/>
              </w:rPr>
              <w:t xml:space="preserve"> </w:t>
            </w:r>
            <w:r>
              <w:rPr>
                <w:b/>
                <w:bCs/>
              </w:rPr>
              <w:t xml:space="preserve">UE procedure for determining physical downlink control channel assignment </w:t>
            </w:r>
          </w:p>
          <w:p>
            <w:pPr>
              <w:autoSpaceDE w:val="0"/>
              <w:autoSpaceDN w:val="0"/>
              <w:spacing w:before="120" w:beforeLines="50" w:after="120" w:afterLines="50" w:line="252" w:lineRule="auto"/>
              <w:jc w:val="center"/>
              <w:rPr>
                <w:lang w:eastAsia="ko-KR"/>
              </w:rPr>
            </w:pPr>
            <w:r>
              <w:rPr>
                <w:color w:val="C00000"/>
              </w:rPr>
              <w:t>&lt; Start of text proposal&gt;</w:t>
            </w:r>
          </w:p>
          <w:p>
            <w:pPr>
              <w:autoSpaceDE w:val="0"/>
              <w:autoSpaceDN w:val="0"/>
              <w:spacing w:after="120" w:line="252" w:lineRule="auto"/>
              <w:rPr>
                <w:lang w:eastAsia="ja-JP"/>
              </w:rPr>
            </w:pPr>
            <w:r>
              <w:t xml:space="preserve">For a DL BWP, if a UE is not provided </w:t>
            </w:r>
            <w:r>
              <w:rPr>
                <w:i/>
                <w:iCs/>
              </w:rPr>
              <w:t>ra-SearchSpace</w:t>
            </w:r>
            <w:r>
              <w:t xml:space="preserve"> for Type1-PDCCH CSS set, the UE does not monitor PDCCH for Type1-PDCCH CSS set on the DL BWP</w:t>
            </w:r>
            <w:r>
              <w:rPr>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r>
              <w:rPr>
                <w:i/>
                <w:iCs/>
                <w:lang w:eastAsia="zh-CN"/>
              </w:rPr>
              <w:t>sdt-SearchSpace</w:t>
            </w:r>
            <w:r>
              <w:t xml:space="preserve"> for Type1A-PDCCH CSS set</w:t>
            </w:r>
            <w:r>
              <w:rPr>
                <w:color w:val="FF0000"/>
                <w:lang w:eastAsia="zh-CN"/>
              </w:rPr>
              <w:t xml:space="preserve"> or </w:t>
            </w:r>
            <w:r>
              <w:rPr>
                <w:i/>
                <w:iCs/>
                <w:color w:val="FF0000"/>
                <w:lang w:eastAsia="zh-CN"/>
              </w:rPr>
              <w:t xml:space="preserve">sdt-CG-SearchSpace </w:t>
            </w:r>
            <w:r>
              <w:rPr>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pPr>
              <w:overflowPunct w:val="0"/>
              <w:autoSpaceDE w:val="0"/>
              <w:autoSpaceDN w:val="0"/>
              <w:spacing w:before="120" w:after="120" w:line="252" w:lineRule="auto"/>
              <w:jc w:val="center"/>
              <w:textAlignment w:val="baseline"/>
              <w:rPr>
                <w:lang w:eastAsia="zh-CN"/>
              </w:rPr>
            </w:pPr>
            <w:r>
              <w:rPr>
                <w:color w:val="C00000"/>
              </w:rPr>
              <w:t>&lt; End of text proposal&gt;</w:t>
            </w:r>
          </w:p>
        </w:tc>
      </w:tr>
    </w:tbl>
    <w:p>
      <w:pPr>
        <w:rPr>
          <w:rFonts w:eastAsia="Malgun Gothic"/>
          <w:sz w:val="22"/>
          <w:szCs w:val="22"/>
          <w:lang w:eastAsia="zh-CN"/>
        </w:rPr>
      </w:pPr>
    </w:p>
    <w:p>
      <w:pPr>
        <w:wordWrap w:val="0"/>
        <w:rPr>
          <w:rFonts w:eastAsia="Malgun Gothic" w:cs="Times"/>
          <w:b/>
          <w:bCs/>
          <w:szCs w:val="20"/>
          <w:lang w:val="en-US" w:eastAsia="ko-KR"/>
        </w:rPr>
      </w:pPr>
      <w:r>
        <w:rPr>
          <w:rFonts w:cs="Times"/>
          <w:b/>
          <w:bCs/>
          <w:szCs w:val="20"/>
          <w:highlight w:val="green"/>
        </w:rPr>
        <w:t>Agreement</w:t>
      </w:r>
    </w:p>
    <w:p>
      <w:pPr>
        <w:rPr>
          <w:rFonts w:cs="Times"/>
          <w:szCs w:val="20"/>
          <w:lang w:eastAsia="zh-CN"/>
        </w:rPr>
      </w:pPr>
      <w:r>
        <w:rPr>
          <w:rFonts w:cs="Times"/>
          <w:szCs w:val="20"/>
          <w:lang w:eastAsia="zh-CN"/>
        </w:rPr>
        <w:t>The following TP is endorsed for the editor’s CR on TS38.213.</w:t>
      </w:r>
    </w:p>
    <w:tbl>
      <w:tblPr>
        <w:tblStyle w:val="37"/>
        <w:tblW w:w="0" w:type="auto"/>
        <w:tblInd w:w="0" w:type="dxa"/>
        <w:tblLayout w:type="autofit"/>
        <w:tblCellMar>
          <w:top w:w="0" w:type="dxa"/>
          <w:left w:w="0" w:type="dxa"/>
          <w:bottom w:w="0" w:type="dxa"/>
          <w:right w:w="0" w:type="dxa"/>
        </w:tblCellMar>
      </w:tblPr>
      <w:tblGrid>
        <w:gridCol w:w="9857"/>
      </w:tblGrid>
      <w:tr>
        <w:tblPrEx>
          <w:tblCellMar>
            <w:top w:w="0" w:type="dxa"/>
            <w:left w:w="0" w:type="dxa"/>
            <w:bottom w:w="0" w:type="dxa"/>
            <w:right w:w="0" w:type="dxa"/>
          </w:tblCellMar>
        </w:tblPrEx>
        <w:tc>
          <w:tcPr>
            <w:tcW w:w="99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autoSpaceDE w:val="0"/>
              <w:autoSpaceDN w:val="0"/>
              <w:spacing w:after="120"/>
              <w:jc w:val="center"/>
              <w:rPr>
                <w:rFonts w:ascii="Times New Roman" w:hAnsi="Times New Roman"/>
                <w:b/>
                <w:bCs/>
                <w:sz w:val="24"/>
                <w:lang w:eastAsia="zh-CN"/>
              </w:rPr>
            </w:pPr>
            <w:r>
              <w:rPr>
                <w:b/>
                <w:bCs/>
                <w:color w:val="FF0000"/>
                <w:lang w:eastAsia="zh-CN"/>
              </w:rPr>
              <w:t>&lt; Unchanged text omitted &gt;</w:t>
            </w:r>
          </w:p>
          <w:p>
            <w:pPr>
              <w:autoSpaceDN w:val="0"/>
              <w:spacing w:before="120" w:after="120" w:line="280" w:lineRule="atLeast"/>
            </w:pPr>
            <w:r>
              <w:rPr>
                <w:rFonts w:ascii="Arial" w:hAnsi="Arial" w:cs="Arial"/>
                <w:sz w:val="32"/>
                <w:szCs w:val="32"/>
              </w:rPr>
              <w:t>19.1 Configured-grant based PUSCH transmission</w:t>
            </w:r>
          </w:p>
          <w:p>
            <w:pPr>
              <w:autoSpaceDE w:val="0"/>
              <w:autoSpaceDN w:val="0"/>
              <w:spacing w:after="120"/>
              <w:jc w:val="center"/>
              <w:rPr>
                <w:b/>
                <w:bCs/>
                <w:lang w:val="en-US" w:eastAsia="zh-CN"/>
              </w:rPr>
            </w:pPr>
            <w:r>
              <w:rPr>
                <w:b/>
                <w:bCs/>
                <w:color w:val="FF0000"/>
                <w:lang w:eastAsia="zh-CN"/>
              </w:rPr>
              <w:t>&lt; Unchanged text omitted &gt;</w:t>
            </w:r>
          </w:p>
          <w:p>
            <w:pPr>
              <w:autoSpaceDN w:val="0"/>
              <w:spacing w:before="120" w:after="120"/>
            </w:pPr>
            <w:r>
              <w:t xml:space="preserve">An association period, starting from frame TBD, for mapping </w:t>
            </w:r>
            <w:r>
              <w:fldChar w:fldCharType="begin"/>
            </w:r>
            <w:r>
              <w:instrText xml:space="preserve"> QUOTE </w:instrText>
            </w:r>
            <w:r>
              <w:rPr>
                <w:position w:val="-6"/>
              </w:rPr>
              <w:pict>
                <v:shape id="_x0000_i1033"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B58D9&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DB58D9&quot; wsp:rsidP=&quot;00DB58D9&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instrText xml:space="preserve"> </w:instrText>
            </w:r>
            <w:r>
              <w:fldChar w:fldCharType="separate"/>
            </w:r>
            <w:r>
              <w:rPr>
                <w:position w:val="-6"/>
              </w:rPr>
              <w:pict>
                <v:shape id="_x0000_i1034"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B58D9&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DB58D9&quot; wsp:rsidP=&quot;00DB58D9&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fldChar w:fldCharType="end"/>
            </w:r>
            <w:r>
              <w:t xml:space="preserve"> SS/PBCH block indexes, from the number of SS/PBCH block indexes, to valid PUSCH occasions and associated DM-RS resources is the smallest value in the set </w:t>
            </w:r>
            <w:r>
              <w:rPr>
                <w:lang w:eastAsia="zh-CN"/>
              </w:rPr>
              <w:t xml:space="preserve">determined by the PUSCH configuration period </w:t>
            </w:r>
            <w:r>
              <w:t xml:space="preserve">such that </w:t>
            </w:r>
            <w:r>
              <w:fldChar w:fldCharType="begin"/>
            </w:r>
            <w:r>
              <w:instrText xml:space="preserve"> QUOTE </w:instrText>
            </w:r>
            <w:r>
              <w:rPr>
                <w:position w:val="-6"/>
              </w:rPr>
              <w:pict>
                <v:shape id="_x0000_i1035"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6509A&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36509A&quot; wsp:rsidP=&quot;0036509A&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instrText xml:space="preserve"> </w:instrText>
            </w:r>
            <w:r>
              <w:fldChar w:fldCharType="separate"/>
            </w:r>
            <w:r>
              <w:rPr>
                <w:position w:val="-6"/>
              </w:rPr>
              <w:pict>
                <v:shape id="_x0000_i1036"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6509A&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36509A&quot; wsp:rsidP=&quot;0036509A&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fldChar w:fldCharType="end"/>
            </w:r>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w:t>
            </w:r>
            <w:r>
              <w:rPr>
                <w:color w:val="FF0000"/>
                <w:u w:val="single"/>
              </w:rPr>
              <w:t>and associated DMRS resources</w:t>
            </w:r>
            <w:r>
              <w:rPr>
                <w:color w:val="FF0000"/>
              </w:rPr>
              <w:t xml:space="preserve"> </w:t>
            </w:r>
            <w:r>
              <w:t>mapping cycles within the association period there is a set of</w:t>
            </w:r>
            <w:r>
              <w:rPr>
                <w:lang w:eastAsia="zh-CN"/>
              </w:rPr>
              <w:t xml:space="preserve"> PUSCH</w:t>
            </w:r>
            <w:r>
              <w:t xml:space="preserve"> occasions </w:t>
            </w:r>
            <w:r>
              <w:rPr>
                <w:color w:val="FF0000"/>
                <w:u w:val="single"/>
              </w:rPr>
              <w:t>and associated DMRS resources</w:t>
            </w:r>
            <w:r>
              <w:rPr>
                <w:color w:val="FF0000"/>
              </w:rPr>
              <w:t xml:space="preserve"> </w:t>
            </w:r>
            <w:r>
              <w:t xml:space="preserve">that are not mapped to </w:t>
            </w:r>
            <w:r>
              <w:fldChar w:fldCharType="begin"/>
            </w:r>
            <w:r>
              <w:instrText xml:space="preserve"> QUOTE </w:instrText>
            </w:r>
            <w:r>
              <w:rPr>
                <w:position w:val="-6"/>
              </w:rPr>
              <w:pict>
                <v:shape id="_x0000_i1037"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5E4F&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EF5E4F&quot; wsp:rsidP=&quot;00EF5E4F&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instrText xml:space="preserve"> </w:instrText>
            </w:r>
            <w:r>
              <w:fldChar w:fldCharType="separate"/>
            </w:r>
            <w:r>
              <w:rPr>
                <w:position w:val="-6"/>
              </w:rPr>
              <w:pict>
                <v:shape id="_x0000_i1038" o:spt="75" type="#_x0000_t75" style="height:15pt;width:3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49DC&quot;/&gt;&lt;wsp:rsid wsp:val=&quot;00005C68&quot;/&gt;&lt;wsp:rsid wsp:val=&quot;0001249E&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7BCE&quot;/&gt;&lt;wsp:rsid wsp:val=&quot;00091CAF&quot;/&gt;&lt;wsp:rsid wsp:val=&quot;0009407D&quot;/&gt;&lt;wsp:rsid wsp:val=&quot;000942E7&quot;/&gt;&lt;wsp:rsid wsp:val=&quot;000967F6&quot;/&gt;&lt;wsp:rsid wsp:val=&quot;000978C7&quot;/&gt;&lt;wsp:rsid wsp:val=&quot;000A0641&quot;/&gt;&lt;wsp:rsid wsp:val=&quot;000A09CE&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665&quot;/&gt;&lt;wsp:rsid wsp:val=&quot;000D18A1&quot;/&gt;&lt;wsp:rsid wsp:val=&quot;000D35B1&quot;/&gt;&lt;wsp:rsid wsp:val=&quot;000D3955&quot;/&gt;&lt;wsp:rsid wsp:val=&quot;000D66CF&quot;/&gt;&lt;wsp:rsid wsp:val=&quot;000D6AAF&quot;/&gt;&lt;wsp:rsid wsp:val=&quot;000E369E&quot;/&gt;&lt;wsp:rsid wsp:val=&quot;000E5123&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71FB&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937F7&quot;/&gt;&lt;wsp:rsid wsp:val=&quot;00196974&quot;/&gt;&lt;wsp:rsid wsp:val=&quot;001A14E5&quot;/&gt;&lt;wsp:rsid wsp:val=&quot;001A294B&quot;/&gt;&lt;wsp:rsid wsp:val=&quot;001A3074&quot;/&gt;&lt;wsp:rsid wsp:val=&quot;001A31C4&quot;/&gt;&lt;wsp:rsid wsp:val=&quot;001A3868&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332A5&quot;/&gt;&lt;wsp:rsid wsp:val=&quot;00236E90&quot;/&gt;&lt;wsp:rsid wsp:val=&quot;00241091&quot;/&gt;&lt;wsp:rsid wsp:val=&quot;00244808&quot;/&gt;&lt;wsp:rsid wsp:val=&quot;00244D20&quot;/&gt;&lt;wsp:rsid wsp:val=&quot;002455C6&quot;/&gt;&lt;wsp:rsid wsp:val=&quot;00246595&quot;/&gt;&lt;wsp:rsid wsp:val=&quot;002471A2&quot;/&gt;&lt;wsp:rsid wsp:val=&quot;002509E7&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3FC4&quot;/&gt;&lt;wsp:rsid wsp:val=&quot;003052BE&quot;/&gt;&lt;wsp:rsid wsp:val=&quot;00305EA3&quot;/&gt;&lt;wsp:rsid wsp:val=&quot;003067DD&quot;/&gt;&lt;wsp:rsid wsp:val=&quot;00310CFF&quot;/&gt;&lt;wsp:rsid wsp:val=&quot;003149DE&quot;/&gt;&lt;wsp:rsid wsp:val=&quot;00317DC4&quot;/&gt;&lt;wsp:rsid wsp:val=&quot;003254C4&quot;/&gt;&lt;wsp:rsid wsp:val=&quot;00326B9F&quot;/&gt;&lt;wsp:rsid wsp:val=&quot;003367A8&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1439&quot;/&gt;&lt;wsp:rsid wsp:val=&quot;00431B10&quot;/&gt;&lt;wsp:rsid wsp:val=&quot;00431E83&quot;/&gt;&lt;wsp:rsid wsp:val=&quot;00432F62&quot;/&gt;&lt;wsp:rsid wsp:val=&quot;004346F2&quot;/&gt;&lt;wsp:rsid wsp:val=&quot;00434A0E&quot;/&gt;&lt;wsp:rsid wsp:val=&quot;00437B5E&quot;/&gt;&lt;wsp:rsid wsp:val=&quot;00446E0A&quot;/&gt;&lt;wsp:rsid wsp:val=&quot;0045311F&quot;/&gt;&lt;wsp:rsid wsp:val=&quot;0045713D&quot;/&gt;&lt;wsp:rsid wsp:val=&quot;00460DBF&quot;/&gt;&lt;wsp:rsid wsp:val=&quot;00462876&quot;/&gt;&lt;wsp:rsid wsp:val=&quot;0046298B&quot;/&gt;&lt;wsp:rsid wsp:val=&quot;00462B68&quot;/&gt;&lt;wsp:rsid wsp:val=&quot;00462BD0&quot;/&gt;&lt;wsp:rsid wsp:val=&quot;004643FE&quot;/&gt;&lt;wsp:rsid wsp:val=&quot;0046464A&quot;/&gt;&lt;wsp:rsid wsp:val=&quot;00477611&quot;/&gt;&lt;wsp:rsid wsp:val=&quot;00480450&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52ED&quot;/&gt;&lt;wsp:rsid wsp:val=&quot;004A61FD&quot;/&gt;&lt;wsp:rsid wsp:val=&quot;004B0F2A&quot;/&gt;&lt;wsp:rsid wsp:val=&quot;004B42C4&quot;/&gt;&lt;wsp:rsid wsp:val=&quot;004B5D21&quot;/&gt;&lt;wsp:rsid wsp:val=&quot;004B7530&quot;/&gt;&lt;wsp:rsid wsp:val=&quot;004B7F42&quot;/&gt;&lt;wsp:rsid wsp:val=&quot;004C056D&quot;/&gt;&lt;wsp:rsid wsp:val=&quot;004C2028&quot;/&gt;&lt;wsp:rsid wsp:val=&quot;004C20CB&quot;/&gt;&lt;wsp:rsid wsp:val=&quot;004C2FAE&quot;/&gt;&lt;wsp:rsid wsp:val=&quot;004C5181&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63B0&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660A&quot;/&gt;&lt;wsp:rsid wsp:val=&quot;005368EB&quot;/&gt;&lt;wsp:rsid wsp:val=&quot;00540963&quot;/&gt;&lt;wsp:rsid wsp:val=&quot;00546BEF&quot;/&gt;&lt;wsp:rsid wsp:val=&quot;00553A5F&quot;/&gt;&lt;wsp:rsid wsp:val=&quot;00554056&quot;/&gt;&lt;wsp:rsid wsp:val=&quot;00554E95&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5CC3&quot;/&gt;&lt;wsp:rsid wsp:val=&quot;00586113&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E2FF3&quot;/&gt;&lt;wsp:rsid wsp:val=&quot;005E4C37&quot;/&gt;&lt;wsp:rsid wsp:val=&quot;005F4150&quot;/&gt;&lt;wsp:rsid wsp:val=&quot;0060047A&quot;/&gt;&lt;wsp:rsid wsp:val=&quot;00602A27&quot;/&gt;&lt;wsp:rsid wsp:val=&quot;00605AA9&quot;/&gt;&lt;wsp:rsid wsp:val=&quot;00612A8C&quot;/&gt;&lt;wsp:rsid wsp:val=&quot;006159EC&quot;/&gt;&lt;wsp:rsid wsp:val=&quot;00616B2D&quot;/&gt;&lt;wsp:rsid wsp:val=&quot;00616E45&quot;/&gt;&lt;wsp:rsid wsp:val=&quot;00625DB6&quot;/&gt;&lt;wsp:rsid wsp:val=&quot;006262C0&quot;/&gt;&lt;wsp:rsid wsp:val=&quot;00627BC8&quot;/&gt;&lt;wsp:rsid wsp:val=&quot;00630FFB&quot;/&gt;&lt;wsp:rsid wsp:val=&quot;00631F3B&quot;/&gt;&lt;wsp:rsid wsp:val=&quot;00640051&quot;/&gt;&lt;wsp:rsid wsp:val=&quot;00640D6B&quot;/&gt;&lt;wsp:rsid wsp:val=&quot;00642409&quot;/&gt;&lt;wsp:rsid wsp:val=&quot;00645CFD&quot;/&gt;&lt;wsp:rsid wsp:val=&quot;00645E6A&quot;/&gt;&lt;wsp:rsid wsp:val=&quot;00646534&quot;/&gt;&lt;wsp:rsid wsp:val=&quot;0064728B&quot;/&gt;&lt;wsp:rsid wsp:val=&quot;00650B55&quot;/&gt;&lt;wsp:rsid wsp:val=&quot;00654DCA&quot;/&gt;&lt;wsp:rsid wsp:val=&quot;006571E1&quot;/&gt;&lt;wsp:rsid wsp:val=&quot;00665F4E&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B2660&quot;/&gt;&lt;wsp:rsid wsp:val=&quot;006B3BB5&quot;/&gt;&lt;wsp:rsid wsp:val=&quot;006C75FD&quot;/&gt;&lt;wsp:rsid wsp:val=&quot;006D46A8&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33B3&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7298&quot;/&gt;&lt;wsp:rsid wsp:val=&quot;0078262A&quot;/&gt;&lt;wsp:rsid wsp:val=&quot;00783A4A&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3C20&quot;/&gt;&lt;wsp:rsid wsp:val=&quot;007C3C64&quot;/&gt;&lt;wsp:rsid wsp:val=&quot;007C3F85&quot;/&gt;&lt;wsp:rsid wsp:val=&quot;007D1675&quot;/&gt;&lt;wsp:rsid wsp:val=&quot;007D53C9&quot;/&gt;&lt;wsp:rsid wsp:val=&quot;007D611D&quot;/&gt;&lt;wsp:rsid wsp:val=&quot;007E13FA&quot;/&gt;&lt;wsp:rsid wsp:val=&quot;007E5906&quot;/&gt;&lt;wsp:rsid wsp:val=&quot;007E763C&quot;/&gt;&lt;wsp:rsid wsp:val=&quot;007F1873&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33EB9&quot;/&gt;&lt;wsp:rsid wsp:val=&quot;00834F00&quot;/&gt;&lt;wsp:rsid wsp:val=&quot;0083660D&quot;/&gt;&lt;wsp:rsid wsp:val=&quot;008409B4&quot;/&gt;&lt;wsp:rsid wsp:val=&quot;0084126E&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2709&quot;/&gt;&lt;wsp:rsid wsp:val=&quot;0089040C&quot;/&gt;&lt;wsp:rsid wsp:val=&quot;0089155B&quot;/&gt;&lt;wsp:rsid wsp:val=&quot;008958FB&quot;/&gt;&lt;wsp:rsid wsp:val=&quot;00896E8E&quot;/&gt;&lt;wsp:rsid wsp:val=&quot;0089789B&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4981&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22C7&quot;/&gt;&lt;wsp:rsid wsp:val=&quot;0096498C&quot;/&gt;&lt;wsp:rsid wsp:val=&quot;009665EC&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79D5&quot;/&gt;&lt;wsp:rsid wsp:val=&quot;009A26D3&quot;/&gt;&lt;wsp:rsid wsp:val=&quot;009A34BF&quot;/&gt;&lt;wsp:rsid wsp:val=&quot;009A7608&quot;/&gt;&lt;wsp:rsid wsp:val=&quot;009A78C1&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C242A&quot;/&gt;&lt;wsp:rsid wsp:val=&quot;00AC4589&quot;/&gt;&lt;wsp:rsid wsp:val=&quot;00AD11EA&quot;/&gt;&lt;wsp:rsid wsp:val=&quot;00AD2F16&quot;/&gt;&lt;wsp:rsid wsp:val=&quot;00AE452B&quot;/&gt;&lt;wsp:rsid wsp:val=&quot;00AF2C0E&quot;/&gt;&lt;wsp:rsid wsp:val=&quot;00AF6EBE&quot;/&gt;&lt;wsp:rsid wsp:val=&quot;00AF72AB&quot;/&gt;&lt;wsp:rsid wsp:val=&quot;00B1337F&quot;/&gt;&lt;wsp:rsid wsp:val=&quot;00B166A6&quot;/&gt;&lt;wsp:rsid wsp:val=&quot;00B17E21&quot;/&gt;&lt;wsp:rsid wsp:val=&quot;00B20627&quot;/&gt;&lt;wsp:rsid wsp:val=&quot;00B24110&quot;/&gt;&lt;wsp:rsid wsp:val=&quot;00B26595&quot;/&gt;&lt;wsp:rsid wsp:val=&quot;00B26D12&quot;/&gt;&lt;wsp:rsid wsp:val=&quot;00B274CC&quot;/&gt;&lt;wsp:rsid wsp:val=&quot;00B30DF3&quot;/&gt;&lt;wsp:rsid wsp:val=&quot;00B34F32&quot;/&gt;&lt;wsp:rsid wsp:val=&quot;00B36467&quot;/&gt;&lt;wsp:rsid wsp:val=&quot;00B37BF6&quot;/&gt;&lt;wsp:rsid wsp:val=&quot;00B41162&quot;/&gt;&lt;wsp:rsid wsp:val=&quot;00B421FB&quot;/&gt;&lt;wsp:rsid wsp:val=&quot;00B47B8F&quot;/&gt;&lt;wsp:rsid wsp:val=&quot;00B56821&quot;/&gt;&lt;wsp:rsid wsp:val=&quot;00B57C71&quot;/&gt;&lt;wsp:rsid wsp:val=&quot;00B639F2&quot;/&gt;&lt;wsp:rsid wsp:val=&quot;00B640E8&quot;/&gt;&lt;wsp:rsid wsp:val=&quot;00B6576E&quot;/&gt;&lt;wsp:rsid wsp:val=&quot;00B65A29&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125F0&quot;/&gt;&lt;wsp:rsid wsp:val=&quot;00C233C8&quot;/&gt;&lt;wsp:rsid wsp:val=&quot;00C25DD5&quot;/&gt;&lt;wsp:rsid wsp:val=&quot;00C31BF5&quot;/&gt;&lt;wsp:rsid wsp:val=&quot;00C33631&quot;/&gt;&lt;wsp:rsid wsp:val=&quot;00C35324&quot;/&gt;&lt;wsp:rsid wsp:val=&quot;00C447C0&quot;/&gt;&lt;wsp:rsid wsp:val=&quot;00C447E1&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12E9&quot;/&gt;&lt;wsp:rsid wsp:val=&quot;00C86B16&quot;/&gt;&lt;wsp:rsid wsp:val=&quot;00C8760E&quot;/&gt;&lt;wsp:rsid wsp:val=&quot;00C876F3&quot;/&gt;&lt;wsp:rsid wsp:val=&quot;00C9392F&quot;/&gt;&lt;wsp:rsid wsp:val=&quot;00C945E3&quot;/&gt;&lt;wsp:rsid wsp:val=&quot;00C95111&quot;/&gt;&lt;wsp:rsid wsp:val=&quot;00CA0CC0&quot;/&gt;&lt;wsp:rsid wsp:val=&quot;00CA2570&quot;/&gt;&lt;wsp:rsid wsp:val=&quot;00CA3C7D&quot;/&gt;&lt;wsp:rsid wsp:val=&quot;00CA4A7A&quot;/&gt;&lt;wsp:rsid wsp:val=&quot;00CA6582&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9CA&quot;/&gt;&lt;wsp:rsid wsp:val=&quot;00D6056F&quot;/&gt;&lt;wsp:rsid wsp:val=&quot;00D6068F&quot;/&gt;&lt;wsp:rsid wsp:val=&quot;00D6781B&quot;/&gt;&lt;wsp:rsid wsp:val=&quot;00D74165&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156D&quot;/&gt;&lt;wsp:rsid wsp:val=&quot;00DB1B9A&quot;/&gt;&lt;wsp:rsid wsp:val=&quot;00DC10C5&quot;/&gt;&lt;wsp:rsid wsp:val=&quot;00DC1130&quot;/&gt;&lt;wsp:rsid wsp:val=&quot;00DC3942&quot;/&gt;&lt;wsp:rsid wsp:val=&quot;00DD110B&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4B64&quot;/&gt;&lt;wsp:rsid wsp:val=&quot;00E37A8F&quot;/&gt;&lt;wsp:rsid wsp:val=&quot;00E40E1A&quot;/&gt;&lt;wsp:rsid wsp:val=&quot;00E42D58&quot;/&gt;&lt;wsp:rsid wsp:val=&quot;00E450CA&quot;/&gt;&lt;wsp:rsid wsp:val=&quot;00E50645&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A100F&quot;/&gt;&lt;wsp:rsid wsp:val=&quot;00EA2308&quot;/&gt;&lt;wsp:rsid wsp:val=&quot;00EA5698&quot;/&gt;&lt;wsp:rsid wsp:val=&quot;00EA7990&quot;/&gt;&lt;wsp:rsid wsp:val=&quot;00EB24CA&quot;/&gt;&lt;wsp:rsid wsp:val=&quot;00EB37A1&quot;/&gt;&lt;wsp:rsid wsp:val=&quot;00EC111F&quot;/&gt;&lt;wsp:rsid wsp:val=&quot;00EC14C0&quot;/&gt;&lt;wsp:rsid wsp:val=&quot;00EC27BA&quot;/&gt;&lt;wsp:rsid wsp:val=&quot;00EC28CA&quot;/&gt;&lt;wsp:rsid wsp:val=&quot;00EC66DE&quot;/&gt;&lt;wsp:rsid wsp:val=&quot;00EC7B40&quot;/&gt;&lt;wsp:rsid wsp:val=&quot;00ED2E01&quot;/&gt;&lt;wsp:rsid wsp:val=&quot;00ED54E3&quot;/&gt;&lt;wsp:rsid wsp:val=&quot;00EE095E&quot;/&gt;&lt;wsp:rsid wsp:val=&quot;00EE3EBB&quot;/&gt;&lt;wsp:rsid wsp:val=&quot;00EF079E&quot;/&gt;&lt;wsp:rsid wsp:val=&quot;00EF1AAC&quot;/&gt;&lt;wsp:rsid wsp:val=&quot;00EF2B37&quot;/&gt;&lt;wsp:rsid wsp:val=&quot;00EF4981&quot;/&gt;&lt;wsp:rsid wsp:val=&quot;00EF5E4F&quot;/&gt;&lt;wsp:rsid wsp:val=&quot;00EF6F6E&quot;/&gt;&lt;wsp:rsid wsp:val=&quot;00EF7B3B&quot;/&gt;&lt;wsp:rsid wsp:val=&quot;00F000D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A1274&quot;/&gt;&lt;wsp:rsid wsp:val=&quot;00FA56C3&quot;/&gt;&lt;wsp:rsid wsp:val=&quot;00FA7F34&quot;/&gt;&lt;wsp:rsid wsp:val=&quot;00FB131C&quot;/&gt;&lt;wsp:rsid wsp:val=&quot;00FB24F5&quot;/&gt;&lt;wsp:rsid wsp:val=&quot;00FB50F6&quot;/&gt;&lt;wsp:rsid wsp:val=&quot;00FC5F97&quot;/&gt;&lt;wsp:rsid wsp:val=&quot;00FD0246&quot;/&gt;&lt;wsp:rsid wsp:val=&quot;00FD1940&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EF5E4F&quot; wsp:rsidP=&quot;00EF5E4F&quot;&gt;&lt;m:oMathPara&gt;&lt;m:oMath&gt;&lt;m:sSubSup&gt;&lt;m:sSubSupPr&gt;&lt;m:ctrlPr&gt;&lt;w:rPr&gt;&lt;w:rFonts w:ascii=&quot;Cambria Math&quot; w:fareast=&quot;맑은 고딕&quot; w:h-ansi=&quot;Cambria Math&quot;/&gt;&lt;wx:font wx:val=&quot;Cambria Math&quot;/&gt;&lt;w:i/&gt;&lt;w:i-cs/&gt;&lt;w:sz w:val=&quot;22&quot;/&gt;&lt;w:sz-cs w:val=&quot;22&quot;/&gt;&lt;/w:rPr&gt;&lt;/m:ctrlPr&gt;&lt;/m:sSubSupPr&gt;&lt;m:e&gt;&lt;m:r&gt;&lt;w:rPr&gt;&lt;w:rFonts w:ascii=&quot;Cambria Math&quot; w:h-ansi=&quot;Cambria Math&quot;/&gt;&lt;wx:font wx:val=&quot;Cambria Math&quot;/&gt;&lt;w:i/&gt;&lt;w:i-cs/&gt;&lt;/w:rPr&gt;&lt;m:t&gt;N&lt;/m:t&gt;&lt;/m:r&gt;&lt;/m:e&gt;&lt;m:sub&gt;&lt;m:r&gt;&lt;m:rPr&gt;&lt;m:sty m:val=&quot;p&quot;/&gt;&lt;/m:rPr&gt;&lt;w:rPr&gt;&lt;w:rFonts w:ascii=&quot;Cambria Math&quot; w:h-ansi=&quot;Cambria Math&quot;/&gt;&lt;wx:font wx:val=&quot;Cambria Math&quot;/&gt;&lt;/w:rPr&gt;&lt;m:t&gt;PUSCH&lt;/m:t&gt;&lt;/m:r&gt;&lt;/m:sub&gt;&lt;m:sup&gt;&lt;m:r&gt;&lt;m:rPr&gt;&lt;m:sty m:val=&quot;p&quot;/&gt;&lt;/m:rPr&gt;&lt;w:rPr&gt;&lt;w:rFonts w:ascii=&quot;Cambria Math&quot; w:h-ansi=&quot;Cambria Math&quot;/&gt;&lt;wx:font wx:val=&quot;Cambria Math&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fldChar w:fldCharType="end"/>
            </w:r>
            <w:r>
              <w:t xml:space="preserve"> SS/PBCH block indexes, no SS/PBCH block indexes are mapped to the set of</w:t>
            </w:r>
            <w:r>
              <w:rPr>
                <w:lang w:eastAsia="zh-CN"/>
              </w:rPr>
              <w:t xml:space="preserve"> PUSCH</w:t>
            </w:r>
            <w:r>
              <w:t xml:space="preserve"> occasions</w:t>
            </w:r>
            <w:r>
              <w:rPr>
                <w:color w:val="FF0000"/>
                <w:u w:val="single"/>
              </w:rPr>
              <w:t xml:space="preserve"> and associated DMRS resources</w:t>
            </w:r>
            <w:r>
              <w:t xml:space="preserve">. An association pattern period includes one or more association periods and is determined so that a pattern between </w:t>
            </w:r>
            <w:r>
              <w:rPr>
                <w:lang w:eastAsia="zh-CN"/>
              </w:rPr>
              <w:t>PUSCH</w:t>
            </w:r>
            <w:r>
              <w:t xml:space="preserve"> occasions </w:t>
            </w:r>
            <w:r>
              <w:rPr>
                <w:color w:val="FF0000"/>
                <w:u w:val="single"/>
              </w:rPr>
              <w:t xml:space="preserve">with associated DMRS resources </w:t>
            </w:r>
            <w:r>
              <w:t xml:space="preserve">and SS/PBCH block indexes repeats at most every 640 msec. </w:t>
            </w:r>
            <w:r>
              <w:rPr>
                <w:lang w:eastAsia="zh-CN"/>
              </w:rPr>
              <w:t>PUSCH</w:t>
            </w:r>
            <w:r>
              <w:t xml:space="preserve"> occasions</w:t>
            </w:r>
            <w:r>
              <w:rPr>
                <w:color w:val="FF0000"/>
                <w:u w:val="single"/>
              </w:rPr>
              <w:t xml:space="preserve"> and DMRS resources</w:t>
            </w:r>
            <w:r>
              <w:t xml:space="preserve"> not associated with SS/PBCH block indexes after an integer number of association periods, if any, are not used for </w:t>
            </w:r>
            <w:r>
              <w:rPr>
                <w:lang w:eastAsia="zh-CN"/>
              </w:rPr>
              <w:t>PUSCH</w:t>
            </w:r>
            <w:r>
              <w:t xml:space="preserve"> transmissions.</w:t>
            </w:r>
          </w:p>
          <w:p>
            <w:pPr>
              <w:autoSpaceDE w:val="0"/>
              <w:autoSpaceDN w:val="0"/>
              <w:spacing w:after="120"/>
              <w:jc w:val="center"/>
              <w:rPr>
                <w:b/>
                <w:bCs/>
                <w:lang w:val="en-US" w:eastAsia="zh-CN"/>
              </w:rPr>
            </w:pPr>
            <w:r>
              <w:rPr>
                <w:b/>
                <w:bCs/>
                <w:color w:val="FF0000"/>
                <w:lang w:eastAsia="zh-CN"/>
              </w:rPr>
              <w:t>&lt; Unchanged text omitted &gt;</w:t>
            </w:r>
          </w:p>
        </w:tc>
      </w:tr>
    </w:tbl>
    <w:p>
      <w:pPr>
        <w:rPr>
          <w:rFonts w:eastAsia="Malgun Gothic"/>
          <w:sz w:val="22"/>
          <w:szCs w:val="22"/>
          <w:lang w:eastAsia="zh-CN"/>
        </w:rPr>
      </w:pPr>
    </w:p>
    <w:p>
      <w:pPr>
        <w:rPr>
          <w:rFonts w:eastAsia="Malgun Gothic" w:cs="Times"/>
          <w:b/>
          <w:bCs/>
          <w:szCs w:val="20"/>
          <w:lang w:val="en-US" w:eastAsia="ko-KR"/>
        </w:rPr>
      </w:pPr>
      <w:r>
        <w:rPr>
          <w:rFonts w:cs="Times"/>
          <w:b/>
          <w:bCs/>
          <w:szCs w:val="20"/>
          <w:highlight w:val="green"/>
        </w:rPr>
        <w:t>Agreement</w:t>
      </w:r>
    </w:p>
    <w:p>
      <w:pPr>
        <w:rPr>
          <w:rFonts w:eastAsia="Malgun Gothic"/>
          <w:lang w:eastAsia="zh-CN"/>
        </w:rPr>
      </w:pPr>
      <w:r>
        <w:rPr>
          <w:lang w:eastAsia="zh-CN"/>
        </w:rPr>
        <w:t>Non-consecutive SSB indexes are allowed to be configured in SSB subset for SSB to CG PUSCH mapping.</w:t>
      </w:r>
    </w:p>
    <w:p>
      <w:pPr>
        <w:rPr>
          <w:rFonts w:cs="Times"/>
          <w:color w:val="1F497D"/>
          <w:szCs w:val="20"/>
        </w:rPr>
      </w:pPr>
    </w:p>
    <w:p>
      <w:pPr>
        <w:wordWrap w:val="0"/>
        <w:rPr>
          <w:rFonts w:eastAsia="Malgun Gothic" w:cs="Times"/>
          <w:b/>
          <w:bCs/>
          <w:szCs w:val="20"/>
          <w:lang w:val="en-US" w:eastAsia="ko-KR"/>
        </w:rPr>
      </w:pPr>
      <w:r>
        <w:rPr>
          <w:rFonts w:cs="Times"/>
          <w:b/>
          <w:bCs/>
          <w:szCs w:val="20"/>
          <w:highlight w:val="green"/>
        </w:rPr>
        <w:t>Agreement</w:t>
      </w:r>
    </w:p>
    <w:p>
      <w:pPr>
        <w:rPr>
          <w:rFonts w:cs="Times"/>
          <w:szCs w:val="20"/>
          <w:lang w:eastAsia="zh-CN"/>
        </w:rPr>
      </w:pPr>
      <w:r>
        <w:rPr>
          <w:rFonts w:cs="Times"/>
          <w:szCs w:val="20"/>
          <w:lang w:eastAsia="zh-CN"/>
        </w:rPr>
        <w:t>The following TP is endorsed for the editor’s CR on TS38.211.</w:t>
      </w:r>
    </w:p>
    <w:tbl>
      <w:tblPr>
        <w:tblStyle w:val="37"/>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shd w:val="clear" w:color="auto" w:fill="auto"/>
            <w:noWrap w:val="0"/>
            <w:vAlign w:val="top"/>
          </w:tcPr>
          <w:p>
            <w:pPr>
              <w:spacing w:before="120"/>
              <w:jc w:val="center"/>
              <w:rPr>
                <w:b/>
                <w:bCs/>
                <w:iCs/>
                <w:color w:val="0070C0"/>
              </w:rPr>
            </w:pPr>
            <w:r>
              <w:rPr>
                <w:b/>
                <w:bCs/>
                <w:iCs/>
                <w:color w:val="0070C0"/>
              </w:rPr>
              <w:t>------------------------------   TS 38.211-----------------------------------</w:t>
            </w:r>
          </w:p>
          <w:p>
            <w:pPr>
              <w:jc w:val="center"/>
              <w:rPr>
                <w:b/>
                <w:bCs/>
                <w:lang w:eastAsia="zh-CN"/>
              </w:rPr>
            </w:pPr>
            <w:r>
              <w:rPr>
                <w:b/>
                <w:bCs/>
                <w:color w:val="FF0000"/>
                <w:lang w:eastAsia="zh-CN"/>
              </w:rPr>
              <w:t>&lt; Unchanged text omitted &gt;</w:t>
            </w:r>
          </w:p>
          <w:p>
            <w:pPr>
              <w:keepNext/>
              <w:keepLines/>
              <w:spacing w:before="120" w:line="280" w:lineRule="atLeast"/>
              <w:ind w:left="1985" w:hanging="1985"/>
              <w:rPr>
                <w:rFonts w:ascii="Arial" w:hAnsi="Arial" w:eastAsia="Times New Roman"/>
              </w:rPr>
            </w:pPr>
            <w:r>
              <w:rPr>
                <w:rFonts w:ascii="Arial" w:hAnsi="Arial" w:eastAsia="Times New Roman"/>
              </w:rPr>
              <w:t>6.4.1.1.1.1   Sequence generation when transform precoding is disabled</w:t>
            </w:r>
          </w:p>
          <w:p>
            <w:pPr>
              <w:jc w:val="center"/>
              <w:rPr>
                <w:b/>
                <w:bCs/>
                <w:lang w:eastAsia="zh-CN"/>
              </w:rPr>
            </w:pPr>
            <w:r>
              <w:rPr>
                <w:b/>
                <w:bCs/>
                <w:color w:val="FF0000"/>
                <w:lang w:eastAsia="zh-CN"/>
              </w:rPr>
              <w:t>&lt; Unchanged text omitted &gt;</w:t>
            </w:r>
          </w:p>
          <w:p>
            <w:pPr>
              <w:spacing w:before="120"/>
              <w:rPr>
                <w:rFonts w:eastAsia="Times New Roman"/>
              </w:rPr>
            </w:pPr>
            <w:r>
              <w:rPr>
                <w:rFonts w:eastAsia="Times New Roman"/>
              </w:rPr>
              <w:t xml:space="preserve">The quantity </w:t>
            </w:r>
            <w:r>
              <w:rPr>
                <w:rFonts w:eastAsia="Times New Roman"/>
              </w:rPr>
              <w:fldChar w:fldCharType="begin"/>
            </w:r>
            <w:r>
              <w:rPr>
                <w:rFonts w:eastAsia="Times New Roman"/>
              </w:rPr>
              <w:instrText xml:space="preserve"> QUOTE </w:instrText>
            </w:r>
            <w:r>
              <w:rPr>
                <w:position w:val="-5"/>
              </w:rPr>
              <w:pict>
                <v:shape id="_x0000_i1039" o:spt="75" type="#_x0000_t75" style="height:12pt;width:5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76A0D&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F76A0D&quot; wsp:rsidP=&quot;00F76A0D&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n&lt;/m:t&gt;&lt;/m:r&gt;&lt;/m:e&gt;&lt;m:sub&gt;&lt;m:r&gt;&lt;m:rPr&gt;&lt;m:nor/&gt;&lt;/m:rPr&gt;&lt;w:rPr&gt;&lt;w:rFonts w:ascii=&quot;Cambria Math&quot; w:fareast=&quot;Times New Roman&quot; w:h-ansi=&quot;Cambria Math&quot;/&gt;&lt;wx:font wx:val=&quot;Cambria Math&quot;/&gt;&lt;/w:rPr&gt;&lt;m:t&gt;SCID&lt;/m:t&gt;&lt;/m:r&gt;&lt;/m:sub&gt;&lt;/m:sSub&gt;&lt;m:r&gt;&lt;w:rPr&gt;&lt;w:rFonts w:ascii=&quot;Cambria Math&quot; w:fareast=&quot;Times New Roman&quot; w:h-ansi=&quot;Cambria Math&quot;/&gt;&lt;wx:font wx:val=&quot;Cambria Math&quot;/&gt;&lt;w:i/&gt;&lt;/w:rPr&gt;&lt;m:t&gt;∈&lt;/m:t&gt;&lt;/m:r&gt;&lt;m:d&gt;&lt;m:dPr&gt;&lt;m:begChr m:val=&quot;{&quot;/&gt;&lt;m:endChr m:val=&quot;}&quot;/&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0,1&lt;/m:t&gt;&lt;/m:r&gt;&lt;/m:e&gt;&lt;/m:d&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eastAsia="Times New Roman"/>
              </w:rPr>
              <w:instrText xml:space="preserve"> </w:instrText>
            </w:r>
            <w:r>
              <w:rPr>
                <w:rFonts w:eastAsia="Times New Roman"/>
              </w:rPr>
              <w:fldChar w:fldCharType="separate"/>
            </w:r>
            <w:r>
              <w:rPr>
                <w:position w:val="-5"/>
              </w:rPr>
              <w:pict>
                <v:shape id="_x0000_i1040" o:spt="75" type="#_x0000_t75" style="height:12pt;width:5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76A0D&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F76A0D&quot; wsp:rsidP=&quot;00F76A0D&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n&lt;/m:t&gt;&lt;/m:r&gt;&lt;/m:e&gt;&lt;m:sub&gt;&lt;m:r&gt;&lt;m:rPr&gt;&lt;m:nor/&gt;&lt;/m:rPr&gt;&lt;w:rPr&gt;&lt;w:rFonts w:ascii=&quot;Cambria Math&quot; w:fareast=&quot;Times New Roman&quot; w:h-ansi=&quot;Cambria Math&quot;/&gt;&lt;wx:font wx:val=&quot;Cambria Math&quot;/&gt;&lt;/w:rPr&gt;&lt;m:t&gt;SCID&lt;/m:t&gt;&lt;/m:r&gt;&lt;/m:sub&gt;&lt;/m:sSub&gt;&lt;m:r&gt;&lt;w:rPr&gt;&lt;w:rFonts w:ascii=&quot;Cambria Math&quot; w:fareast=&quot;Times New Roman&quot; w:h-ansi=&quot;Cambria Math&quot;/&gt;&lt;wx:font wx:val=&quot;Cambria Math&quot;/&gt;&lt;w:i/&gt;&lt;/w:rPr&gt;&lt;m:t&gt;∈&lt;/m:t&gt;&lt;/m:r&gt;&lt;m:d&gt;&lt;m:dPr&gt;&lt;m:begChr m:val=&quot;{&quot;/&gt;&lt;m:endChr m:val=&quot;}&quot;/&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0,1&lt;/m:t&gt;&lt;/m:r&gt;&lt;/m:e&gt;&lt;/m:d&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eastAsia="Times New Roman"/>
              </w:rPr>
              <w:fldChar w:fldCharType="end"/>
            </w:r>
            <w:r>
              <w:rPr>
                <w:rFonts w:eastAsia="Times New Roman"/>
              </w:rPr>
              <w:t xml:space="preserve"> is</w:t>
            </w:r>
          </w:p>
          <w:p>
            <w:pPr>
              <w:spacing w:before="120"/>
              <w:ind w:left="568" w:hanging="284"/>
              <w:rPr>
                <w:rFonts w:eastAsia="Times New Roman"/>
              </w:rPr>
            </w:pPr>
            <w:r>
              <w:rPr>
                <w:rFonts w:eastAsia="Times New Roman"/>
              </w:rPr>
              <w:t>-</w:t>
            </w:r>
            <w:r>
              <w:rPr>
                <w:rFonts w:eastAsia="Times New Roman"/>
              </w:rPr>
              <w:tab/>
            </w:r>
            <w:r>
              <w:rPr>
                <w:rFonts w:eastAsia="Times New Roman"/>
              </w:rPr>
              <w:t>indicated by the DM-RS initialization field, if present, either in the DCI associated with the PUSCH transmission if DCI format 0_1 or 0_2, in [4, TS 38.212] is used;</w:t>
            </w:r>
          </w:p>
          <w:p>
            <w:pPr>
              <w:spacing w:before="120"/>
              <w:ind w:left="568" w:hanging="284"/>
              <w:rPr>
                <w:rFonts w:eastAsia="Times New Roman"/>
              </w:rPr>
            </w:pPr>
            <w:r>
              <w:rPr>
                <w:rFonts w:eastAsia="Times New Roman"/>
              </w:rPr>
              <w:t>-</w:t>
            </w:r>
            <w:r>
              <w:rPr>
                <w:rFonts w:eastAsia="Times New Roman"/>
              </w:rPr>
              <w:tab/>
            </w:r>
            <w:r>
              <w:rPr>
                <w:rFonts w:eastAsia="Times New Roman"/>
              </w:rPr>
              <w:t xml:space="preserve">indicated by the higher layer parameter </w:t>
            </w:r>
            <w:r>
              <w:rPr>
                <w:rFonts w:eastAsia="Times New Roman"/>
                <w:i/>
              </w:rPr>
              <w:t>dmrs-SeqInitialization</w:t>
            </w:r>
            <w:r>
              <w:rPr>
                <w:rFonts w:eastAsia="Times New Roman"/>
              </w:rPr>
              <w:t xml:space="preserve">, if present, for a Type 1 PUSCH transmission with a configured grant; </w:t>
            </w:r>
          </w:p>
          <w:p>
            <w:pPr>
              <w:spacing w:before="120"/>
              <w:ind w:left="568" w:hanging="284"/>
              <w:rPr>
                <w:rFonts w:eastAsia="Times New Roman"/>
              </w:rPr>
            </w:pPr>
            <w:r>
              <w:rPr>
                <w:rFonts w:eastAsia="Times New Roman"/>
              </w:rPr>
              <w:t>-</w:t>
            </w:r>
            <w:r>
              <w:rPr>
                <w:rFonts w:eastAsia="Times New Roman"/>
              </w:rPr>
              <w:tab/>
            </w:r>
            <w:r>
              <w:rPr>
                <w:rFonts w:eastAsia="Times New Roman"/>
              </w:rPr>
              <w:t>determined by the mapping between preamble(s) and a PUSCH occasion and the associated DMRS resource for a PUSCH transmission of Type-2 random access process in [5, TS 38.213];</w:t>
            </w:r>
          </w:p>
          <w:p>
            <w:pPr>
              <w:spacing w:before="120"/>
              <w:ind w:left="568" w:hanging="284"/>
              <w:rPr>
                <w:rFonts w:eastAsia="Times New Roman"/>
              </w:rPr>
            </w:pPr>
            <w:r>
              <w:rPr>
                <w:rFonts w:eastAsia="Times New Roman"/>
              </w:rPr>
              <w:t>-</w:t>
            </w:r>
            <w:r>
              <w:rPr>
                <w:rFonts w:eastAsia="Times New Roman"/>
              </w:rPr>
              <w:tab/>
            </w:r>
            <w:r>
              <w:rPr>
                <w:rFonts w:eastAsia="Times New Roman"/>
                <w:color w:val="FF0000"/>
                <w:u w:val="single"/>
              </w:rPr>
              <w:t xml:space="preserve">determined by the mapping between SS/PBCH block(s) and a PUSCH occasion and the associated DMRS resource for a </w:t>
            </w:r>
            <w:r>
              <w:rPr>
                <w:rFonts w:eastAsia="Times New Roman"/>
                <w:color w:val="0000FF"/>
                <w:u w:val="single"/>
              </w:rPr>
              <w:t>configured-grant based</w:t>
            </w:r>
            <w:r>
              <w:rPr>
                <w:rFonts w:hint="eastAsia" w:eastAsia="宋体"/>
                <w:color w:val="FF0000"/>
                <w:u w:val="single"/>
                <w:lang w:val="en-US" w:eastAsia="zh-CN"/>
              </w:rPr>
              <w:t xml:space="preserve"> </w:t>
            </w:r>
            <w:r>
              <w:rPr>
                <w:rFonts w:eastAsia="Times New Roman"/>
                <w:color w:val="FF0000"/>
                <w:u w:val="single"/>
              </w:rPr>
              <w:t xml:space="preserve">PUSCH transmission </w:t>
            </w:r>
            <w:r>
              <w:rPr>
                <w:rFonts w:eastAsia="Times New Roman"/>
                <w:strike/>
                <w:color w:val="FF0000"/>
                <w:u w:val="single"/>
              </w:rPr>
              <w:t>with Type-1 configured grant</w:t>
            </w:r>
            <w:r>
              <w:rPr>
                <w:rFonts w:eastAsia="Times New Roman"/>
                <w:color w:val="FF0000"/>
                <w:u w:val="single"/>
              </w:rPr>
              <w:t xml:space="preserve"> in RRC_INACTIVE state [5, TS 38.213];</w:t>
            </w:r>
          </w:p>
          <w:p>
            <w:pPr>
              <w:spacing w:before="120"/>
              <w:ind w:left="568" w:hanging="284"/>
              <w:rPr>
                <w:rFonts w:eastAsia="Times New Roman"/>
              </w:rPr>
            </w:pPr>
            <w:r>
              <w:rPr>
                <w:rFonts w:eastAsia="Times New Roman"/>
              </w:rPr>
              <w:t>-</w:t>
            </w:r>
            <w:r>
              <w:rPr>
                <w:rFonts w:eastAsia="Times New Roman"/>
              </w:rPr>
              <w:tab/>
            </w:r>
            <w:r>
              <w:rPr>
                <w:rFonts w:eastAsia="Times New Roman"/>
              </w:rPr>
              <w:t xml:space="preserve">otherwise </w:t>
            </w:r>
            <w:r>
              <w:rPr>
                <w:rFonts w:eastAsia="Times New Roman"/>
              </w:rPr>
              <w:fldChar w:fldCharType="begin"/>
            </w:r>
            <w:r>
              <w:rPr>
                <w:rFonts w:eastAsia="Times New Roman"/>
              </w:rPr>
              <w:instrText xml:space="preserve"> QUOTE </w:instrText>
            </w:r>
            <w:r>
              <w:rPr>
                <w:position w:val="-5"/>
              </w:rPr>
              <w:pict>
                <v:shape id="_x0000_i1041" o:spt="75" type="#_x0000_t75" style="height:12pt;width:39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0FA3&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C60FA3&quot; wsp:rsidP=&quot;00C60FA3&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n&lt;/m:t&gt;&lt;/m:r&gt;&lt;/m:e&gt;&lt;m:sub&gt;&lt;m:r&gt;&lt;m:rPr&gt;&lt;m:nor/&gt;&lt;/m:rPr&gt;&lt;w:rPr&gt;&lt;w:rFonts w:ascii=&quot;Cambria Math&quot; w:fareast=&quot;Times New Roman&quot; w:h-ansi=&quot;Cambria Math&quot;/&gt;&lt;wx:font wx:val=&quot;Cambria Math&quot;/&gt;&lt;/w:rPr&gt;&lt;m:t&gt;SCID&lt;/m:t&gt;&lt;/m:r&gt;&lt;/m:sub&gt;&lt;/m:sSub&gt;&lt;m:r&gt;&lt;w:rPr&gt;&lt;w:rFonts w:ascii=&quot;Cambria Math&quot; w:fareast=&quot;Times New Roman&quot; w:h-ansi=&quot;Cambria Math&quot;/&gt;&lt;wx:font wx:val=&quot;Cambria Math&quot;/&gt;&lt;w:i/&gt;&lt;/w:rPr&gt;&lt;m:t&gt;=0&lt;/m:t&gt;&lt;/m:r&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eastAsia="Times New Roman"/>
              </w:rPr>
              <w:instrText xml:space="preserve"> </w:instrText>
            </w:r>
            <w:r>
              <w:rPr>
                <w:rFonts w:eastAsia="Times New Roman"/>
              </w:rPr>
              <w:fldChar w:fldCharType="separate"/>
            </w:r>
            <w:r>
              <w:rPr>
                <w:position w:val="-5"/>
              </w:rPr>
              <w:pict>
                <v:shape id="_x0000_i1042" o:spt="75" type="#_x0000_t75" style="height:12pt;width:39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0FA3&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C60FA3&quot; wsp:rsidP=&quot;00C60FA3&quot;&gt;&lt;m:oMathPara&gt;&lt;m:oMath&gt;&lt;m:sSub&gt;&lt;m:sSubPr&gt;&lt;m:ctrlPr&gt;&lt;w:rPr&gt;&lt;w:rFonts w:ascii=&quot;Cambria Math&quot; w:fareast=&quot;Times New Roman&quot; w:h-ansi=&quot;Cambria Math&quot;/&gt;&lt;wx:font wx:val=&quot;Cambria Math&quot;/&gt;&lt;w:i/&gt;&lt;/w:rPr&gt;&lt;/m:ctrlPr&gt;&lt;/m:sSubPr&gt;&lt;m:e&gt;&lt;m:r&gt;&lt;w:rPr&gt;&lt;w:rFonts w:ascii=&quot;Cambria Math&quot; w:fareast=&quot;Times New Roman&quot; w:h-ansi=&quot;Cambria Math&quot;/&gt;&lt;wx:font wx:val=&quot;Cambria Math&quot;/&gt;&lt;w:i/&gt;&lt;/w:rPr&gt;&lt;m:t&gt;n&lt;/m:t&gt;&lt;/m:r&gt;&lt;/m:e&gt;&lt;m:sub&gt;&lt;m:r&gt;&lt;m:rPr&gt;&lt;m:nor/&gt;&lt;/m:rPr&gt;&lt;w:rPr&gt;&lt;w:rFonts w:ascii=&quot;Cambria Math&quot; w:fareast=&quot;Times New Roman&quot; w:h-ansi=&quot;Cambria Math&quot;/&gt;&lt;wx:font wx:val=&quot;Cambria Math&quot;/&gt;&lt;/w:rPr&gt;&lt;m:t&gt;SCID&lt;/m:t&gt;&lt;/m:r&gt;&lt;/m:sub&gt;&lt;/m:sSub&gt;&lt;m:r&gt;&lt;w:rPr&gt;&lt;w:rFonts w:ascii=&quot;Cambria Math&quot; w:fareast=&quot;Times New Roman&quot; w:h-ansi=&quot;Cambria Math&quot;/&gt;&lt;wx:font wx:val=&quot;Cambria Math&quot;/&gt;&lt;w:i/&gt;&lt;/w:rPr&gt;&lt;m:t&gt;=0&lt;/m:t&gt;&lt;/m:r&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eastAsia="Times New Roman"/>
              </w:rPr>
              <w:fldChar w:fldCharType="end"/>
            </w:r>
            <w:r>
              <w:rPr>
                <w:rFonts w:eastAsia="Times New Roman"/>
              </w:rPr>
              <w:t>.</w:t>
            </w:r>
          </w:p>
          <w:p>
            <w:pPr>
              <w:overflowPunct w:val="0"/>
              <w:spacing w:before="120"/>
              <w:jc w:val="center"/>
              <w:textAlignment w:val="baseline"/>
              <w:rPr>
                <w:rFonts w:eastAsia="宋体"/>
                <w:lang w:eastAsia="zh-CN"/>
              </w:rPr>
            </w:pPr>
          </w:p>
        </w:tc>
      </w:tr>
    </w:tbl>
    <w:p>
      <w:pPr>
        <w:rPr>
          <w:lang w:eastAsia="zh-CN"/>
        </w:rPr>
      </w:pPr>
    </w:p>
    <w:p>
      <w:pPr>
        <w:wordWrap w:val="0"/>
        <w:rPr>
          <w:rFonts w:eastAsia="Malgun Gothic" w:cs="Times"/>
          <w:b/>
          <w:bCs/>
          <w:szCs w:val="20"/>
          <w:lang w:val="en-US" w:eastAsia="ko-KR"/>
        </w:rPr>
      </w:pPr>
      <w:r>
        <w:rPr>
          <w:rFonts w:cs="Times"/>
          <w:b/>
          <w:bCs/>
          <w:szCs w:val="20"/>
          <w:highlight w:val="green"/>
        </w:rPr>
        <w:t>Agreement</w:t>
      </w:r>
    </w:p>
    <w:p>
      <w:pPr>
        <w:rPr>
          <w:rFonts w:cs="Times"/>
          <w:szCs w:val="20"/>
          <w:lang w:eastAsia="zh-CN"/>
        </w:rPr>
      </w:pPr>
      <w:r>
        <w:rPr>
          <w:rFonts w:cs="Times"/>
          <w:szCs w:val="20"/>
          <w:lang w:eastAsia="zh-CN"/>
        </w:rPr>
        <w:t>The following TP is endorsed for the editor’s CR on TS38.214.</w:t>
      </w:r>
    </w:p>
    <w:tbl>
      <w:tblPr>
        <w:tblStyle w:val="37"/>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shd w:val="clear" w:color="auto" w:fill="auto"/>
            <w:noWrap w:val="0"/>
            <w:vAlign w:val="top"/>
          </w:tcPr>
          <w:p>
            <w:pPr>
              <w:spacing w:before="120"/>
              <w:jc w:val="center"/>
              <w:rPr>
                <w:b/>
                <w:bCs/>
                <w:iCs/>
                <w:color w:val="0070C0"/>
              </w:rPr>
            </w:pPr>
            <w:r>
              <w:rPr>
                <w:b/>
                <w:bCs/>
                <w:iCs/>
                <w:color w:val="0070C0"/>
              </w:rPr>
              <w:t>------------------------------   TS 38.214-----------------------------------</w:t>
            </w:r>
          </w:p>
          <w:p>
            <w:pPr>
              <w:jc w:val="center"/>
              <w:rPr>
                <w:b/>
                <w:bCs/>
                <w:color w:val="FF0000"/>
                <w:lang w:eastAsia="zh-CN"/>
              </w:rPr>
            </w:pPr>
            <w:r>
              <w:rPr>
                <w:b/>
                <w:bCs/>
                <w:color w:val="FF0000"/>
                <w:lang w:eastAsia="zh-CN"/>
              </w:rPr>
              <w:t>&lt; Unchanged text omitted &gt;</w:t>
            </w:r>
          </w:p>
          <w:p>
            <w:pPr>
              <w:keepNext/>
              <w:keepLines/>
              <w:spacing w:before="120" w:line="280" w:lineRule="atLeast"/>
              <w:outlineLvl w:val="2"/>
              <w:rPr>
                <w:rFonts w:ascii="Arial" w:hAnsi="Arial"/>
                <w:color w:val="000000"/>
                <w:sz w:val="28"/>
              </w:rPr>
            </w:pPr>
            <w:r>
              <w:rPr>
                <w:rFonts w:ascii="Arial" w:hAnsi="Arial"/>
                <w:color w:val="000000"/>
                <w:sz w:val="28"/>
              </w:rPr>
              <w:t>6.2.2</w:t>
            </w:r>
            <w:r>
              <w:rPr>
                <w:rFonts w:ascii="Arial" w:hAnsi="Arial"/>
                <w:color w:val="000000"/>
                <w:sz w:val="28"/>
              </w:rPr>
              <w:tab/>
            </w:r>
            <w:r>
              <w:rPr>
                <w:rFonts w:ascii="Arial" w:hAnsi="Arial"/>
                <w:color w:val="000000"/>
                <w:sz w:val="28"/>
              </w:rPr>
              <w:t>UE DM-RS transmission procedure</w:t>
            </w:r>
          </w:p>
          <w:p>
            <w:pPr>
              <w:jc w:val="center"/>
              <w:rPr>
                <w:b/>
                <w:bCs/>
                <w:color w:val="FF0000"/>
                <w:lang w:eastAsia="zh-CN"/>
              </w:rPr>
            </w:pPr>
            <w:r>
              <w:rPr>
                <w:b/>
                <w:bCs/>
                <w:color w:val="FF0000"/>
                <w:lang w:eastAsia="zh-CN"/>
              </w:rPr>
              <w:t>&lt; Unchanged text omitted &gt;</w:t>
            </w:r>
          </w:p>
          <w:p>
            <w:pPr>
              <w:rPr>
                <w:color w:val="000000"/>
                <w:kern w:val="2"/>
                <w:lang w:eastAsia="ko-KR"/>
              </w:rPr>
            </w:pPr>
            <w:r>
              <w:rPr>
                <w:color w:val="000000"/>
                <w:kern w:val="2"/>
                <w:lang w:eastAsia="ko-KR"/>
              </w:rPr>
              <w:t>When transmitted PUSCH is scheduled by DCI format 0_1 with CRC scrambled by C-RNTI, CS-RNTI</w:t>
            </w:r>
            <w:r>
              <w:rPr>
                <w:rFonts w:hint="eastAsia"/>
                <w:color w:val="000000"/>
                <w:kern w:val="2"/>
                <w:lang w:eastAsia="ko-KR"/>
              </w:rPr>
              <w:t>,</w:t>
            </w:r>
            <w:r>
              <w:rPr>
                <w:rFonts w:hint="eastAsia" w:eastAsia="等线"/>
                <w:color w:val="000000"/>
                <w:kern w:val="2"/>
                <w:lang w:eastAsia="zh-CN"/>
              </w:rPr>
              <w:t xml:space="preserve"> </w:t>
            </w:r>
            <w:r>
              <w:rPr>
                <w:rFonts w:hint="eastAsia"/>
                <w:color w:val="000000"/>
                <w:kern w:val="2"/>
                <w:lang w:eastAsia="ko-KR"/>
              </w:rPr>
              <w:t>SP-CSI-RNTI</w:t>
            </w:r>
            <w:r>
              <w:rPr>
                <w:color w:val="000000"/>
                <w:kern w:val="2"/>
                <w:lang w:eastAsia="ko-KR"/>
              </w:rPr>
              <w:t xml:space="preserve"> or MCS</w:t>
            </w:r>
            <w:r>
              <w:rPr>
                <w:rFonts w:hint="eastAsia" w:eastAsia="等线"/>
                <w:color w:val="000000"/>
                <w:kern w:val="2"/>
                <w:lang w:eastAsia="zh-CN"/>
              </w:rPr>
              <w:t>-C</w:t>
            </w:r>
            <w:r>
              <w:rPr>
                <w:color w:val="000000"/>
                <w:kern w:val="2"/>
                <w:lang w:eastAsia="ko-KR"/>
              </w:rPr>
              <w:t>-RNTI, or corresponding to a configured grant, or being a PUSCH for Type-2 random access procedure,</w:t>
            </w:r>
          </w:p>
          <w:p>
            <w:pPr>
              <w:ind w:left="568" w:hanging="284"/>
              <w:rPr>
                <w:lang w:eastAsia="ko-KR"/>
              </w:rPr>
            </w:pPr>
            <w:r>
              <w:rPr>
                <w:kern w:val="2"/>
                <w:lang w:eastAsia="ko-KR"/>
              </w:rPr>
              <w:t>-</w:t>
            </w:r>
            <w:r>
              <w:rPr>
                <w:kern w:val="2"/>
                <w:lang w:eastAsia="ko-KR"/>
              </w:rPr>
              <w:tab/>
            </w:r>
            <w:r>
              <w:rPr>
                <w:rFonts w:hint="eastAsia" w:eastAsia="宋体"/>
                <w:color w:val="0000FF"/>
                <w:lang w:eastAsia="zh-CN"/>
              </w:rPr>
              <w:t>for a configured-grant based PUSCH transmission</w:t>
            </w:r>
            <w:r>
              <w:rPr>
                <w:color w:val="FF0000"/>
                <w:lang w:eastAsia="zh-CN"/>
              </w:rPr>
              <w:t xml:space="preserve"> in </w:t>
            </w:r>
            <w:r>
              <w:rPr>
                <w:color w:val="FF0000"/>
                <w:kern w:val="2"/>
                <w:lang w:eastAsia="ko-KR"/>
              </w:rPr>
              <w:t xml:space="preserve">RRC_INACTIVE state </w:t>
            </w:r>
            <w:r>
              <w:rPr>
                <w:rFonts w:hint="eastAsia" w:eastAsia="宋体"/>
                <w:strike/>
                <w:color w:val="0000FF"/>
                <w:lang w:eastAsia="ko-KR"/>
              </w:rPr>
              <w:t xml:space="preserve">for PUSCH corresponding to a configured grant </w:t>
            </w:r>
            <w:r>
              <w:rPr>
                <w:strike/>
                <w:color w:val="FF0000"/>
                <w:kern w:val="2"/>
                <w:lang w:eastAsia="ko-KR"/>
              </w:rPr>
              <w:t>in absence of RRC connection</w:t>
            </w:r>
            <w:r>
              <w:rPr>
                <w:kern w:val="2"/>
                <w:lang w:eastAsia="ko-KR"/>
              </w:rPr>
              <w:t xml:space="preserve">, the UE is provided with </w:t>
            </w:r>
            <w:r>
              <w:rPr>
                <w:color w:val="FF0000"/>
                <w:kern w:val="2"/>
                <w:lang w:eastAsia="ko-KR"/>
              </w:rPr>
              <w:t xml:space="preserve">a set of </w:t>
            </w:r>
            <w:r>
              <w:rPr>
                <w:kern w:val="2"/>
                <w:lang w:eastAsia="ko-KR"/>
              </w:rPr>
              <w:t xml:space="preserve">DM-RS port(s) by </w:t>
            </w:r>
            <w:r>
              <w:rPr>
                <w:rFonts w:hint="eastAsia"/>
                <w:i/>
                <w:iCs/>
                <w:color w:val="0000FF"/>
                <w:lang w:eastAsia="zh-CN"/>
              </w:rPr>
              <w:t>sdt-DMRSports</w:t>
            </w:r>
            <w:r>
              <w:rPr>
                <w:color w:val="0000FF"/>
                <w:lang w:eastAsia="ko-KR"/>
              </w:rPr>
              <w:t xml:space="preserve"> </w:t>
            </w:r>
            <w:r>
              <w:rPr>
                <w:strike/>
                <w:color w:val="0000FF"/>
                <w:lang w:eastAsia="ko-KR"/>
              </w:rPr>
              <w:t>[</w:t>
            </w:r>
            <w:r>
              <w:rPr>
                <w:i/>
                <w:iCs/>
                <w:strike/>
                <w:color w:val="0000FF"/>
                <w:lang w:eastAsia="ko-KR"/>
              </w:rPr>
              <w:t>DMRS-UplinkConfig</w:t>
            </w:r>
            <w:r>
              <w:rPr>
                <w:strike/>
                <w:color w:val="0000FF"/>
                <w:lang w:eastAsia="ko-KR"/>
              </w:rPr>
              <w:t>s]</w:t>
            </w:r>
            <w:r>
              <w:rPr>
                <w:strike/>
                <w:color w:val="FF0000"/>
                <w:lang w:eastAsia="ko-KR"/>
              </w:rPr>
              <w:t>,</w:t>
            </w:r>
            <w:r>
              <w:rPr>
                <w:color w:val="FF0000"/>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w:r>
              <w:rPr>
                <w:strike/>
                <w:color w:val="FF0000"/>
                <w:kern w:val="2"/>
                <w:lang w:eastAsia="ko-KR"/>
              </w:rPr>
              <w:fldChar w:fldCharType="begin"/>
            </w:r>
            <w:r>
              <w:rPr>
                <w:strike/>
                <w:color w:val="FF0000"/>
                <w:kern w:val="2"/>
                <w:lang w:eastAsia="ko-KR"/>
              </w:rPr>
              <w:instrText xml:space="preserve"> QUOTE </w:instrText>
            </w:r>
            <w:r>
              <w:rPr>
                <w:position w:val="-5"/>
              </w:rPr>
              <w:pict>
                <v:shape id="_x0000_i1043" o:spt="75" type="#_x0000_t75" style="height:12pt;width:34.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6ACE&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8F6ACE&quot; wsp:rsidP=&quot;008F6ACE&quot;&gt;&lt;m:oMathPara&gt;&lt;m:oMath&gt;&lt;m:r&gt;&lt;w:rPr&gt;&lt;w:rFonts w:ascii=&quot;Cambria Math&quot; w:h-ansi=&quot;Cambria Math&quot;/&gt;&lt;wx:font wx:val=&quot;Cambria Math&quot;/&gt;&lt;w:i/&gt;&lt;w:strike/&gt;&lt;w:color w:val=&quot;FF0000&quot;/&gt;&lt;w:lang w:val=&quot;ZH-CN&quot;/&gt;&lt;/w:rPr&gt;&lt;m:t&gt;DMR&lt;/m:t&gt;&lt;/m:r&gt;&lt;m:sSub&gt;&lt;m:sSubPr&gt;&lt;m:ctrlPr&gt;&lt;w:rPr&gt;&lt;w:rFonts w:ascii=&quot;Cambria Math&quot; w:h-ansi=&quot;Cambria Math&quot;/&gt;&lt;wx:font wx:val=&quot;Cambria Math&quot;/&gt;&lt;w:b-cs/&gt;&lt;w:i/&gt;&lt;w:i-cs/&gt;&lt;w:strike/&gt;&lt;w:color w:val=&quot;FF0000&quot;/&gt;&lt;w:sz w:val=&quot;24&quot;/&gt;&lt;w:lang w:val=&quot;ZH-CN&quot;/&gt;&lt;/w:rPr&gt;&lt;/m:ctrlPr&gt;&lt;/m:sSubPr&gt;&lt;m:e&gt;&lt;m:r&gt;&lt;w:rPr&gt;&lt;w:rFonts w:ascii=&quot;Cambria Math&quot; w:h-ansi=&quot;Cambria Math&quot;/&gt;&lt;wx:font wx:val=&quot;Cambria Math&quot;/&gt;&lt;w:i/&gt;&lt;w:strike/&gt;&lt;w:color w:val=&quot;FF0000&quot;/&gt;&lt;w:lang w:val=&quot;ZH-CN&quot;/&gt;&lt;/w:rPr&gt;&lt;m:t&gt;S&lt;/m:t&gt;&lt;/m:r&gt;&lt;/m:e&gt;&lt;m:sub&gt;&lt;m:r&gt;&lt;w:rPr&gt;&lt;w:rFonts w:ascii=&quot;Cambria Math&quot; w:h-ansi=&quot;Cambria Math&quot;/&gt;&lt;wx:font wx:val=&quot;Cambria Math&quot;/&gt;&lt;w:i/&gt;&lt;w:strike/&gt;&lt;w:color w:val=&quot;FF0000&quot;/&gt;&lt;w:lang w:val=&quot;ZH-CN&quot;/&gt;&lt;/w:rPr&gt;&lt;m:t&gt;id&lt;/m:t&gt;&lt;/m:r&gt;&lt;/m:sub&gt;&lt;/m:sSub&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strike/>
                <w:color w:val="FF0000"/>
                <w:kern w:val="2"/>
                <w:lang w:eastAsia="ko-KR"/>
              </w:rPr>
              <w:instrText xml:space="preserve"> </w:instrText>
            </w:r>
            <w:r>
              <w:rPr>
                <w:strike/>
                <w:color w:val="FF0000"/>
                <w:kern w:val="2"/>
                <w:lang w:eastAsia="ko-KR"/>
              </w:rPr>
              <w:fldChar w:fldCharType="separate"/>
            </w:r>
            <w:r>
              <w:rPr>
                <w:position w:val="-5"/>
              </w:rPr>
              <w:pict>
                <v:shape id="_x0000_i1044" o:spt="75" type="#_x0000_t75" style="height:12pt;width:34.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6ACE&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8F6ACE&quot; wsp:rsidP=&quot;008F6ACE&quot;&gt;&lt;m:oMathPara&gt;&lt;m:oMath&gt;&lt;m:r&gt;&lt;w:rPr&gt;&lt;w:rFonts w:ascii=&quot;Cambria Math&quot; w:h-ansi=&quot;Cambria Math&quot;/&gt;&lt;wx:font wx:val=&quot;Cambria Math&quot;/&gt;&lt;w:i/&gt;&lt;w:strike/&gt;&lt;w:color w:val=&quot;FF0000&quot;/&gt;&lt;w:lang w:val=&quot;ZH-CN&quot;/&gt;&lt;/w:rPr&gt;&lt;m:t&gt;DMR&lt;/m:t&gt;&lt;/m:r&gt;&lt;m:sSub&gt;&lt;m:sSubPr&gt;&lt;m:ctrlPr&gt;&lt;w:rPr&gt;&lt;w:rFonts w:ascii=&quot;Cambria Math&quot; w:h-ansi=&quot;Cambria Math&quot;/&gt;&lt;wx:font wx:val=&quot;Cambria Math&quot;/&gt;&lt;w:b-cs/&gt;&lt;w:i/&gt;&lt;w:i-cs/&gt;&lt;w:strike/&gt;&lt;w:color w:val=&quot;FF0000&quot;/&gt;&lt;w:sz w:val=&quot;24&quot;/&gt;&lt;w:lang w:val=&quot;ZH-CN&quot;/&gt;&lt;/w:rPr&gt;&lt;/m:ctrlPr&gt;&lt;/m:sSubPr&gt;&lt;m:e&gt;&lt;m:r&gt;&lt;w:rPr&gt;&lt;w:rFonts w:ascii=&quot;Cambria Math&quot; w:h-ansi=&quot;Cambria Math&quot;/&gt;&lt;wx:font wx:val=&quot;Cambria Math&quot;/&gt;&lt;w:i/&gt;&lt;w:strike/&gt;&lt;w:color w:val=&quot;FF0000&quot;/&gt;&lt;w:lang w:val=&quot;ZH-CN&quot;/&gt;&lt;/w:rPr&gt;&lt;m:t&gt;S&lt;/m:t&gt;&lt;/m:r&gt;&lt;/m:e&gt;&lt;m:sub&gt;&lt;m:r&gt;&lt;w:rPr&gt;&lt;w:rFonts w:ascii=&quot;Cambria Math&quot; w:h-ansi=&quot;Cambria Math&quot;/&gt;&lt;wx:font wx:val=&quot;Cambria Math&quot;/&gt;&lt;w:i/&gt;&lt;w:strike/&gt;&lt;w:color w:val=&quot;FF0000&quot;/&gt;&lt;w:lang w:val=&quot;ZH-CN&quot;/&gt;&lt;/w:rPr&gt;&lt;m:t&gt;id&lt;/m:t&gt;&lt;/m:r&gt;&lt;/m:sub&gt;&lt;/m:sSub&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9" chromakey="#FFFFFF" o:title=""/>
                  <o:lock v:ext="edit" aspectratio="t"/>
                  <w10:wrap type="none"/>
                  <w10:anchorlock/>
                </v:shape>
              </w:pict>
            </w:r>
            <w:r>
              <w:rPr>
                <w:strike/>
                <w:color w:val="FF0000"/>
                <w:kern w:val="2"/>
                <w:lang w:eastAsia="ko-KR"/>
              </w:rPr>
              <w:fldChar w:fldCharType="end"/>
            </w:r>
            <w:r>
              <w:rPr>
                <w:strike/>
                <w:color w:val="FF0000"/>
                <w:kern w:val="2"/>
                <w:lang w:eastAsia="ko-KR"/>
              </w:rPr>
              <w:t xml:space="preserve"> is determined </w:t>
            </w:r>
            <w:r>
              <w:rPr>
                <w:strike/>
                <w:color w:val="FF0000"/>
              </w:rPr>
              <w:t>as defined</w:t>
            </w:r>
            <w:r>
              <w:rPr>
                <w:color w:val="FF0000"/>
              </w:rPr>
              <w:t xml:space="preserve"> The DMRS port for the PUSCH is determined </w:t>
            </w:r>
            <w:r>
              <w:rPr>
                <w:rFonts w:eastAsia="Times New Roman"/>
                <w:color w:val="FF0000"/>
              </w:rPr>
              <w:t>by the mapping between SS/PBCH block(s) and a PUSCH occasion and the associated DMRS resource</w:t>
            </w:r>
            <w:r>
              <w:rPr>
                <w:rFonts w:hint="eastAsia" w:eastAsia="宋体"/>
                <w:color w:val="FF0000"/>
                <w:lang w:eastAsia="zh-CN"/>
              </w:rPr>
              <w:t xml:space="preserve"> </w:t>
            </w:r>
            <w:r>
              <w:rPr>
                <w:rFonts w:hint="eastAsia" w:eastAsia="宋体"/>
                <w:color w:val="0000FF"/>
                <w:lang w:eastAsia="zh-CN"/>
              </w:rPr>
              <w:t>as described</w:t>
            </w:r>
            <w:r>
              <w:rPr>
                <w:rFonts w:eastAsia="Times New Roman"/>
                <w:color w:val="FF0000"/>
              </w:rPr>
              <w:t xml:space="preserve"> </w:t>
            </w:r>
            <w:r>
              <w:t>in Clause 19.1 of [6, TS 38.213]</w:t>
            </w:r>
            <w:r>
              <w:rPr>
                <w:lang w:eastAsia="ko-KR"/>
              </w:rPr>
              <w:t xml:space="preserve">. </w:t>
            </w:r>
          </w:p>
          <w:p>
            <w:pPr>
              <w:ind w:left="568" w:hanging="284"/>
              <w:rPr>
                <w:lang w:eastAsia="ko-KR"/>
              </w:rPr>
            </w:pPr>
            <w:r>
              <w:rPr>
                <w:kern w:val="2"/>
                <w:lang w:eastAsia="ko-KR"/>
              </w:rPr>
              <w:t>-</w:t>
            </w:r>
            <w:r>
              <w:rPr>
                <w:kern w:val="2"/>
                <w:lang w:eastAsia="ko-KR"/>
              </w:rPr>
              <w:tab/>
            </w:r>
            <w:r>
              <w:rPr>
                <w:kern w:val="2"/>
                <w:lang w:eastAsia="ko-KR"/>
              </w:rPr>
              <w:t>the UE</w:t>
            </w:r>
            <w:r>
              <w:rPr>
                <w:rFonts w:hint="eastAsia"/>
                <w:kern w:val="2"/>
                <w:lang w:eastAsia="ko-KR"/>
              </w:rPr>
              <w:t xml:space="preserve"> </w:t>
            </w:r>
            <w:r>
              <w:rPr>
                <w:kern w:val="2"/>
                <w:lang w:eastAsia="ko-KR"/>
              </w:rPr>
              <w:t xml:space="preserve">may be configured with higher layer parameter </w:t>
            </w:r>
            <w:r>
              <w:rPr>
                <w:i/>
                <w:kern w:val="2"/>
                <w:lang w:eastAsia="ko-KR"/>
              </w:rPr>
              <w:t xml:space="preserve">dmrs-Type </w:t>
            </w:r>
            <w:r>
              <w:rPr>
                <w:kern w:val="2"/>
                <w:lang w:eastAsia="ko-KR"/>
              </w:rPr>
              <w:t>in</w:t>
            </w:r>
            <w:r>
              <w:rPr>
                <w:i/>
                <w:kern w:val="2"/>
                <w:lang w:eastAsia="ko-KR"/>
              </w:rPr>
              <w:t xml:space="preserve"> </w:t>
            </w:r>
            <w:r>
              <w:rPr>
                <w:i/>
              </w:rPr>
              <w:t>DMRS-UplinkConfig</w:t>
            </w:r>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pPr>
              <w:overflowPunct w:val="0"/>
              <w:spacing w:before="120"/>
              <w:jc w:val="center"/>
              <w:textAlignment w:val="baseline"/>
              <w:rPr>
                <w:rFonts w:eastAsia="宋体"/>
                <w:lang w:eastAsia="zh-CN"/>
              </w:rPr>
            </w:pPr>
            <w:r>
              <w:rPr>
                <w:b/>
                <w:bCs/>
                <w:color w:val="FF0000"/>
                <w:lang w:eastAsia="zh-CN"/>
              </w:rPr>
              <w:t>&lt; Unchanged text omitted &gt;</w:t>
            </w:r>
          </w:p>
        </w:tc>
      </w:tr>
    </w:tbl>
    <w:p>
      <w:pPr>
        <w:rPr>
          <w:lang w:eastAsia="zh-CN"/>
        </w:rPr>
      </w:pPr>
    </w:p>
    <w:p>
      <w:pPr>
        <w:rPr>
          <w:lang w:eastAsia="zh-CN"/>
        </w:rPr>
      </w:pPr>
    </w:p>
    <w:p>
      <w:pPr>
        <w:wordWrap w:val="0"/>
        <w:rPr>
          <w:rFonts w:eastAsia="Malgun Gothic" w:cs="Times"/>
          <w:b/>
          <w:bCs/>
          <w:szCs w:val="20"/>
          <w:lang w:val="en-US" w:eastAsia="ko-KR"/>
        </w:rPr>
      </w:pPr>
      <w:r>
        <w:rPr>
          <w:rFonts w:cs="Times"/>
          <w:b/>
          <w:bCs/>
          <w:szCs w:val="20"/>
          <w:highlight w:val="green"/>
        </w:rPr>
        <w:t>Agreement</w:t>
      </w:r>
    </w:p>
    <w:p>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lang w:eastAsia="zh-CN"/>
        </w:rPr>
        <w:t xml:space="preserve"> </w:t>
      </w:r>
      <w:r>
        <w:rPr>
          <w:lang w:eastAsia="zh-CN"/>
        </w:rPr>
        <w:t>PUSCH transmission.</w:t>
      </w:r>
    </w:p>
    <w:p>
      <w:pPr>
        <w:rPr>
          <w:lang w:eastAsia="zh-CN"/>
        </w:rPr>
      </w:pPr>
    </w:p>
    <w:p>
      <w:pPr>
        <w:wordWrap w:val="0"/>
        <w:rPr>
          <w:rFonts w:eastAsia="Malgun Gothic" w:cs="Times"/>
          <w:b/>
          <w:bCs/>
          <w:szCs w:val="20"/>
          <w:lang w:val="en-US" w:eastAsia="ko-KR"/>
        </w:rPr>
      </w:pPr>
      <w:r>
        <w:rPr>
          <w:rFonts w:cs="Times"/>
          <w:b/>
          <w:bCs/>
          <w:szCs w:val="20"/>
          <w:highlight w:val="green"/>
        </w:rPr>
        <w:t>Agreement</w:t>
      </w:r>
    </w:p>
    <w:p>
      <w:pPr>
        <w:rPr>
          <w:rFonts w:cs="Times"/>
          <w:szCs w:val="20"/>
          <w:lang w:eastAsia="zh-CN"/>
        </w:rPr>
      </w:pPr>
      <w:r>
        <w:rPr>
          <w:rFonts w:cs="Times"/>
          <w:szCs w:val="20"/>
          <w:lang w:eastAsia="zh-CN"/>
        </w:rPr>
        <w:t>The following TP is endorsed for the editor’s CR on TS38.213.</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noWrap w:val="0"/>
            <w:vAlign w:val="top"/>
          </w:tcPr>
          <w:p>
            <w:pPr>
              <w:spacing w:before="120"/>
              <w:jc w:val="center"/>
              <w:rPr>
                <w:b/>
                <w:bCs/>
                <w:iCs/>
                <w:color w:val="0070C0"/>
              </w:rPr>
            </w:pPr>
            <w:r>
              <w:rPr>
                <w:b/>
                <w:bCs/>
                <w:iCs/>
                <w:color w:val="0070C0"/>
              </w:rPr>
              <w:t>------------------------------   TS 38.213-----------------------------------</w:t>
            </w:r>
          </w:p>
          <w:p>
            <w:pPr>
              <w:jc w:val="center"/>
              <w:rPr>
                <w:b/>
                <w:bCs/>
                <w:lang w:eastAsia="zh-CN"/>
              </w:rPr>
            </w:pPr>
            <w:r>
              <w:rPr>
                <w:b/>
                <w:bCs/>
                <w:color w:val="FF0000"/>
                <w:lang w:eastAsia="zh-CN"/>
              </w:rPr>
              <w:t>&lt; Unchanged text omitted &gt;</w:t>
            </w:r>
          </w:p>
          <w:p>
            <w:pPr>
              <w:spacing w:before="120" w:line="280" w:lineRule="atLeast"/>
            </w:pPr>
            <w:r>
              <w:rPr>
                <w:rFonts w:ascii="Arial" w:hAnsi="Arial"/>
                <w:sz w:val="32"/>
              </w:rPr>
              <w:t>19.1</w:t>
            </w:r>
            <w:r>
              <w:rPr>
                <w:rFonts w:ascii="Arial" w:hAnsi="Arial"/>
                <w:sz w:val="32"/>
              </w:rPr>
              <w:tab/>
            </w:r>
            <w:r>
              <w:rPr>
                <w:rFonts w:ascii="Arial" w:hAnsi="Arial"/>
                <w:sz w:val="32"/>
              </w:rPr>
              <w:t>Configured-grant based PUSCH transmission</w:t>
            </w:r>
          </w:p>
          <w:p>
            <w:pPr>
              <w:jc w:val="center"/>
              <w:rPr>
                <w:b/>
                <w:bCs/>
                <w:lang w:eastAsia="zh-CN"/>
              </w:rPr>
            </w:pPr>
            <w:r>
              <w:rPr>
                <w:b/>
                <w:bCs/>
                <w:color w:val="FF0000"/>
                <w:lang w:eastAsia="zh-CN"/>
              </w:rPr>
              <w:t>&lt; Unchanged text omitted &gt;</w:t>
            </w:r>
          </w:p>
          <w:p>
            <w:pPr>
              <w:spacing w:before="120"/>
              <w:rPr>
                <w:iCs/>
              </w:rPr>
            </w:pPr>
            <w:r>
              <w:rPr>
                <w:iCs/>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w:t>
            </w:r>
            <w:r>
              <w:rPr>
                <w:rFonts w:hint="eastAsia"/>
                <w:lang w:eastAsia="zh-CN"/>
              </w:rPr>
              <w:t xml:space="preserve">, </w:t>
            </w:r>
            <w:r>
              <w:rPr>
                <w:color w:val="FF0000"/>
                <w:u w:val="single"/>
              </w:rPr>
              <w:t xml:space="preserve">with a same spatial domain transmission filter </w:t>
            </w:r>
            <w:r>
              <w:rPr>
                <w:strike/>
                <w:color w:val="FF0000"/>
                <w:u w:val="single"/>
              </w:rPr>
              <w:t>in a same active UL BWP</w:t>
            </w:r>
            <w:r>
              <w:rPr>
                <w:color w:val="FF0000"/>
                <w:u w:val="single"/>
              </w:rPr>
              <w:t xml:space="preserve"> as the </w:t>
            </w:r>
            <w:r>
              <w:rPr>
                <w:strike/>
                <w:color w:val="FF0000"/>
                <w:u w:val="single"/>
              </w:rPr>
              <w:t>latest</w:t>
            </w:r>
            <w:r>
              <w:rPr>
                <w:color w:val="FF0000"/>
                <w:u w:val="single"/>
              </w:rPr>
              <w:t xml:space="preserve"> </w:t>
            </w:r>
            <w:r>
              <w:rPr>
                <w:rFonts w:hint="eastAsia"/>
                <w:color w:val="FF0000"/>
                <w:u w:val="single"/>
                <w:lang w:val="en-US" w:eastAsia="zh-CN"/>
              </w:rPr>
              <w:t xml:space="preserve">last </w:t>
            </w:r>
            <w:r>
              <w:rPr>
                <w:color w:val="FF0000"/>
                <w:u w:val="single"/>
              </w:rPr>
              <w:t>PUSCH transmission.</w:t>
            </w:r>
          </w:p>
          <w:p>
            <w:pPr>
              <w:jc w:val="center"/>
              <w:rPr>
                <w:b/>
                <w:bCs/>
                <w:lang w:eastAsia="zh-CN"/>
              </w:rPr>
            </w:pPr>
            <w:r>
              <w:rPr>
                <w:b/>
                <w:bCs/>
                <w:color w:val="FF0000"/>
                <w:lang w:eastAsia="zh-CN"/>
              </w:rPr>
              <w:t>&lt; Unchanged text omitted &gt;</w:t>
            </w:r>
          </w:p>
        </w:tc>
      </w:tr>
    </w:tbl>
    <w:p>
      <w:pPr>
        <w:rPr>
          <w:lang w:eastAsia="zh-CN"/>
        </w:rPr>
      </w:pPr>
    </w:p>
    <w:p>
      <w:pPr>
        <w:wordWrap w:val="0"/>
        <w:rPr>
          <w:rFonts w:eastAsia="Malgun Gothic" w:cs="Times"/>
          <w:b/>
          <w:bCs/>
          <w:szCs w:val="20"/>
          <w:lang w:val="en-US" w:eastAsia="ko-KR"/>
        </w:rPr>
      </w:pPr>
      <w:r>
        <w:rPr>
          <w:rFonts w:cs="Times"/>
          <w:b/>
          <w:bCs/>
          <w:szCs w:val="20"/>
          <w:highlight w:val="green"/>
        </w:rPr>
        <w:t>Agreement</w:t>
      </w:r>
    </w:p>
    <w:p>
      <w:pPr>
        <w:autoSpaceDE w:val="0"/>
        <w:autoSpaceDN w:val="0"/>
        <w:adjustRightInd w:val="0"/>
        <w:snapToGrid w:val="0"/>
        <w:spacing w:after="120" w:line="259" w:lineRule="auto"/>
        <w:jc w:val="both"/>
        <w:rPr>
          <w:lang w:eastAsia="zh-CN"/>
        </w:rPr>
      </w:pPr>
      <w:r>
        <w:rPr>
          <w:rFonts w:hint="eastAsia"/>
          <w:lang w:eastAsia="zh-CN"/>
        </w:rPr>
        <w:t>The validation rule defined for CG-SDT in FD-FDD mode can be reused for RedCap UE performing CG-SDT in HD-FDD mode.</w:t>
      </w:r>
    </w:p>
    <w:p>
      <w:pPr>
        <w:rPr>
          <w:lang w:eastAsia="zh-CN"/>
        </w:rPr>
      </w:pPr>
    </w:p>
    <w:p>
      <w:pPr>
        <w:wordWrap w:val="0"/>
        <w:rPr>
          <w:rFonts w:eastAsia="Malgun Gothic" w:cs="Times"/>
          <w:b/>
          <w:bCs/>
          <w:szCs w:val="20"/>
          <w:lang w:val="en-US" w:eastAsia="ko-KR"/>
        </w:rPr>
      </w:pPr>
      <w:r>
        <w:rPr>
          <w:rFonts w:cs="Times"/>
          <w:b/>
          <w:bCs/>
          <w:szCs w:val="20"/>
          <w:highlight w:val="green"/>
        </w:rPr>
        <w:t>Agreement</w:t>
      </w:r>
    </w:p>
    <w:p>
      <w:pPr>
        <w:rPr>
          <w:rFonts w:cs="Times"/>
          <w:szCs w:val="20"/>
          <w:lang w:eastAsia="zh-CN"/>
        </w:rPr>
      </w:pPr>
      <w:r>
        <w:rPr>
          <w:rFonts w:cs="Times"/>
          <w:szCs w:val="20"/>
          <w:lang w:eastAsia="zh-CN"/>
        </w:rPr>
        <w:t>The following TP is endorsed for the editor’s CR on TS38.213.</w:t>
      </w:r>
    </w:p>
    <w:tbl>
      <w:tblPr>
        <w:tblStyle w:val="37"/>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shd w:val="clear" w:color="auto" w:fill="auto"/>
            <w:noWrap w:val="0"/>
            <w:vAlign w:val="top"/>
          </w:tcPr>
          <w:p>
            <w:pPr>
              <w:rPr>
                <w:rFonts w:eastAsia="宋体"/>
                <w:b/>
                <w:bCs/>
                <w:lang w:eastAsia="zh-CN"/>
              </w:rPr>
            </w:pPr>
            <w:r>
              <w:rPr>
                <w:b/>
                <w:bCs/>
              </w:rPr>
              <w:t>19.1</w:t>
            </w:r>
            <w:r>
              <w:rPr>
                <w:b/>
                <w:bCs/>
              </w:rPr>
              <w:tab/>
            </w:r>
            <w:r>
              <w:rPr>
                <w:b/>
                <w:bCs/>
              </w:rPr>
              <w:t>Configured-grant based PUSCH transmission</w:t>
            </w:r>
          </w:p>
          <w:p>
            <w:pPr>
              <w:spacing w:before="120" w:beforeLines="50" w:after="120" w:afterLines="50"/>
              <w:jc w:val="center"/>
              <w:rPr>
                <w:lang w:eastAsia="zh-CN"/>
              </w:rPr>
            </w:pPr>
            <w:r>
              <w:rPr>
                <w:rFonts w:hint="eastAsia"/>
                <w:color w:val="C00000"/>
              </w:rPr>
              <w:t>&lt; Start of text proposal&gt;</w:t>
            </w:r>
          </w:p>
          <w:p>
            <w:pPr>
              <w:spacing w:before="180"/>
            </w:pPr>
            <w:r>
              <w:rPr>
                <w:strike/>
                <w:color w:val="FF0000"/>
              </w:rPr>
              <w:t>Each</w:t>
            </w:r>
            <w:r>
              <w:rPr>
                <w:color w:val="FF0000"/>
              </w:rPr>
              <w:t xml:space="preserve"> </w:t>
            </w:r>
            <w:r>
              <w:rPr>
                <w:strike/>
                <w:color w:val="FF0000"/>
              </w:rPr>
              <w:t>consecutive</w:t>
            </w:r>
            <w:r>
              <w:t xml:space="preserve"> </w:t>
            </w:r>
            <w:r>
              <w:rPr>
                <w:strike/>
                <w:color w:val="FF0000"/>
              </w:rPr>
              <w:t>number of</w:t>
            </w:r>
            <w:r>
              <w:rPr>
                <w:color w:val="FF0000"/>
              </w:rPr>
              <w:t xml:space="preserve"> </w:t>
            </w:r>
            <w:r>
              <w:fldChar w:fldCharType="begin"/>
            </w:r>
            <w:r>
              <w:instrText xml:space="preserve"> QUOTE </w:instrText>
            </w:r>
            <w:r>
              <w:rPr>
                <w:position w:val="-8"/>
              </w:rPr>
              <w:pict>
                <v:shape id="_x0000_i1045" o:spt="75" type="#_x0000_t75" style="height:15pt;width:38.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01C6&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2E01C6&quot; wsp:rsidP=&quot;002E01C6&quot;&gt;&lt;m:oMathPara&gt;&lt;m:oMath&gt;&lt;m:sSubSup&gt;&lt;m:sSubSupPr&gt;&lt;m:ctrlPr&gt;&lt;w:rPr&gt;&lt;w:rFonts w:ascii=&quot;Cambria Math&quot; w:h-ansi=&quot;Cambria Math&quot;/&gt;&lt;wx:font wx:val=&quot;Cambria Math&quot;/&gt;&lt;w:i/&gt;&lt;w:color w:val=&quot;FF0000&quot;/&gt;&lt;/w:rPr&gt;&lt;/m:ctrlPr&gt;&lt;/m:sSubSupPr&gt;&lt;m:e&gt;&lt;m:r&gt;&lt;w:rPr&gt;&lt;w:rFonts w:ascii=&quot;Cambria Math&quot; w:h-ansi=&quot;Cambria Math&quot;/&gt;&lt;wx:font wx:val=&quot;Cambria Math&quot;/&gt;&lt;w:i/&gt;&lt;w:color w:val=&quot;FF0000&quot;/&gt;&lt;/w:rPr&gt;&lt;m:t&gt;N&lt;/m:t&gt;&lt;/m:r&gt;&lt;/m:e&gt;&lt;m:sub&gt;&lt;m:r&gt;&lt;m:rPr&gt;&lt;m:sty m:val=&quot;p&quot;/&gt;&lt;/m:rPr&gt;&lt;w:rPr&gt;&lt;w:rFonts w:ascii=&quot;Cambria Math&quot; w:h-ansi=&quot;Cambria Math&quot;/&gt;&lt;wx:font wx:val=&quot;Cambria Math&quot;/&gt;&lt;w:color w:val=&quot;FF0000&quot;/&gt;&lt;/w:rPr&gt;&lt;m:t&gt;PUSCH&lt;/m:t&gt;&lt;/m:r&gt;&lt;/m:sub&gt;&lt;m:sup&gt;&lt;m:r&gt;&lt;m:rPr&gt;&lt;m:sty m:val=&quot;p&quot;/&gt;&lt;/m:rPr&gt;&lt;w:rPr&gt;&lt;w:rFonts w:ascii=&quot;Cambria Math&quot; w:h-ansi=&quot;Cambria Math&quot;/&gt;&lt;wx:font wx:val=&quot;Cambria Math&quot;/&gt;&lt;w:color w:val=&quot;FF0000&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instrText xml:space="preserve"> </w:instrText>
            </w:r>
            <w:r>
              <w:fldChar w:fldCharType="separate"/>
            </w:r>
            <w:r>
              <w:rPr>
                <w:position w:val="-8"/>
              </w:rPr>
              <w:pict>
                <v:shape id="_x0000_i1046" o:spt="75" type="#_x0000_t75" style="height:15pt;width:38.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01C6&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2E01C6&quot; wsp:rsidP=&quot;002E01C6&quot;&gt;&lt;m:oMathPara&gt;&lt;m:oMath&gt;&lt;m:sSubSup&gt;&lt;m:sSubSupPr&gt;&lt;m:ctrlPr&gt;&lt;w:rPr&gt;&lt;w:rFonts w:ascii=&quot;Cambria Math&quot; w:h-ansi=&quot;Cambria Math&quot;/&gt;&lt;wx:font wx:val=&quot;Cambria Math&quot;/&gt;&lt;w:i/&gt;&lt;w:color w:val=&quot;FF0000&quot;/&gt;&lt;/w:rPr&gt;&lt;/m:ctrlPr&gt;&lt;/m:sSubSupPr&gt;&lt;m:e&gt;&lt;m:r&gt;&lt;w:rPr&gt;&lt;w:rFonts w:ascii=&quot;Cambria Math&quot; w:h-ansi=&quot;Cambria Math&quot;/&gt;&lt;wx:font wx:val=&quot;Cambria Math&quot;/&gt;&lt;w:i/&gt;&lt;w:color w:val=&quot;FF0000&quot;/&gt;&lt;/w:rPr&gt;&lt;m:t&gt;N&lt;/m:t&gt;&lt;/m:r&gt;&lt;/m:e&gt;&lt;m:sub&gt;&lt;m:r&gt;&lt;m:rPr&gt;&lt;m:sty m:val=&quot;p&quot;/&gt;&lt;/m:rPr&gt;&lt;w:rPr&gt;&lt;w:rFonts w:ascii=&quot;Cambria Math&quot; w:h-ansi=&quot;Cambria Math&quot;/&gt;&lt;wx:font wx:val=&quot;Cambria Math&quot;/&gt;&lt;w:color w:val=&quot;FF0000&quot;/&gt;&lt;/w:rPr&gt;&lt;m:t&gt;PUSCH&lt;/m:t&gt;&lt;/m:r&gt;&lt;/m:sub&gt;&lt;m:sup&gt;&lt;m:r&gt;&lt;m:rPr&gt;&lt;m:sty m:val=&quot;p&quot;/&gt;&lt;/m:rPr&gt;&lt;w:rPr&gt;&lt;w:rFonts w:ascii=&quot;Cambria Math&quot; w:h-ansi=&quot;Cambria Math&quot;/&gt;&lt;wx:font wx:val=&quot;Cambria Math&quot;/&gt;&lt;w:color w:val=&quot;FF0000&quot;/&gt;&lt;/w:rPr&gt;&lt;m:t&gt;SS/PBCH&lt;/m:t&gt;&lt;/m:r&gt;&lt;/m:sup&gt;&lt;/m:sSubSup&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fldChar w:fldCharType="end"/>
            </w:r>
            <w:r>
              <w:t xml:space="preserve"> SS/PBCH block indexes are mapped to valid PUSCH occasions and associated DMRS resources </w:t>
            </w:r>
            <w:r>
              <w:rPr>
                <w:color w:val="FF0000"/>
              </w:rPr>
              <w:t>in the following order.</w:t>
            </w:r>
          </w:p>
          <w:p>
            <w:pPr>
              <w:pStyle w:val="74"/>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w:r>
              <w:rPr>
                <w:bCs/>
                <w:iCs/>
              </w:rPr>
              <w:fldChar w:fldCharType="begin"/>
            </w:r>
            <w:r>
              <w:rPr>
                <w:bCs/>
                <w:iCs/>
              </w:rPr>
              <w:instrText xml:space="preserve"> QUOTE </w:instrText>
            </w:r>
            <w:r>
              <w:rPr>
                <w:position w:val="-5"/>
              </w:rPr>
              <w:pict>
                <v:shape id="_x0000_i1047" o:spt="75" type="#_x0000_t75" style="height:12pt;width:34.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4B20&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DA4B20&quot; wsp:rsidP=&quot;00DA4B20&quot;&gt;&lt;m:oMathPara&gt;&lt;m:oMath&gt;&lt;m:r&gt;&lt;w:rPr&gt;&lt;w:rFonts w:ascii=&quot;Cambria Math&quot; w:h-ansi=&quot;Cambria Math&quot;/&gt;&lt;wx:font wx:val=&quot;Cambria Math&quot;/&gt;&lt;w:i/&gt;&lt;/w:rPr&gt;&lt;m:t&gt;DMR&lt;/m:t&gt;&lt;/m:r&gt;&lt;m:sSub&gt;&lt;m:sSubPr&gt;&lt;m:ctrlPr&gt;&lt;w:rPr&gt;&lt;w:rFonts w:ascii=&quot;Cambria Math&quot; w:h-ansi=&quot;Cambria Math&quot;/&gt;&lt;wx:font wx:val=&quot;Cambria Math&quot;/&gt;&lt;w:b-cs/&gt;&lt;w:i/&gt;&lt;w:i-cs/&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id&lt;/m:t&gt;&lt;/m:r&gt;&lt;/m:sub&gt;&lt;/m:sSub&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11" chromakey="#FFFFFF" o:title=""/>
                  <o:lock v:ext="edit" aspectratio="t"/>
                  <w10:wrap type="none"/>
                  <w10:anchorlock/>
                </v:shape>
              </w:pict>
            </w:r>
            <w:r>
              <w:rPr>
                <w:bCs/>
                <w:iCs/>
              </w:rPr>
              <w:instrText xml:space="preserve"> </w:instrText>
            </w:r>
            <w:r>
              <w:rPr>
                <w:bCs/>
                <w:iCs/>
              </w:rPr>
              <w:fldChar w:fldCharType="separate"/>
            </w:r>
            <w:r>
              <w:rPr>
                <w:position w:val="-5"/>
              </w:rPr>
              <w:pict>
                <v:shape id="_x0000_i1048" o:spt="75" type="#_x0000_t75" style="height:12pt;width:34.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bordersDontSurroundHeader/&gt;&lt;w:bordersDontSurroundFooter/&gt;&lt;w:defaultTabStop w:val=&quot;800&quot;/&gt;&lt;w:displayHorizontalDrawingGridEvery w:val=&quot;0&quot;/&gt;&lt;w:displayVerticalDrawingGridEvery w:val=&quot;2&quot;/&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12C2&quot;/&gt;&lt;wsp:rsid wsp:val=&quot;00003DE3&quot;/&gt;&lt;wsp:rsid wsp:val=&quot;000049DC&quot;/&gt;&lt;wsp:rsid wsp:val=&quot;00005C68&quot;/&gt;&lt;wsp:rsid wsp:val=&quot;0001249E&quot;/&gt;&lt;wsp:rsid wsp:val=&quot;0001477A&quot;/&gt;&lt;wsp:rsid wsp:val=&quot;0001501F&quot;/&gt;&lt;wsp:rsid wsp:val=&quot;000205D7&quot;/&gt;&lt;wsp:rsid wsp:val=&quot;000206F5&quot;/&gt;&lt;wsp:rsid wsp:val=&quot;00021A46&quot;/&gt;&lt;wsp:rsid wsp:val=&quot;00024A8C&quot;/&gt;&lt;wsp:rsid wsp:val=&quot;00024EBF&quot;/&gt;&lt;wsp:rsid wsp:val=&quot;0002630F&quot;/&gt;&lt;wsp:rsid wsp:val=&quot;00027418&quot;/&gt;&lt;wsp:rsid wsp:val=&quot;000279B6&quot;/&gt;&lt;wsp:rsid wsp:val=&quot;00027BED&quot;/&gt;&lt;wsp:rsid wsp:val=&quot;00031339&quot;/&gt;&lt;wsp:rsid wsp:val=&quot;00031A3C&quot;/&gt;&lt;wsp:rsid wsp:val=&quot;00036704&quot;/&gt;&lt;wsp:rsid wsp:val=&quot;00047F10&quot;/&gt;&lt;wsp:rsid wsp:val=&quot;000524CD&quot;/&gt;&lt;wsp:rsid wsp:val=&quot;00053611&quot;/&gt;&lt;wsp:rsid wsp:val=&quot;0005412B&quot;/&gt;&lt;wsp:rsid wsp:val=&quot;000551AD&quot;/&gt;&lt;wsp:rsid wsp:val=&quot;000566B5&quot;/&gt;&lt;wsp:rsid wsp:val=&quot;000566C7&quot;/&gt;&lt;wsp:rsid wsp:val=&quot;00062A4E&quot;/&gt;&lt;wsp:rsid wsp:val=&quot;00064CF1&quot;/&gt;&lt;wsp:rsid wsp:val=&quot;000727D4&quot;/&gt;&lt;wsp:rsid wsp:val=&quot;0007295E&quot;/&gt;&lt;wsp:rsid wsp:val=&quot;00073C45&quot;/&gt;&lt;wsp:rsid wsp:val=&quot;00073E91&quot;/&gt;&lt;wsp:rsid wsp:val=&quot;00074A3E&quot;/&gt;&lt;wsp:rsid wsp:val=&quot;00076C50&quot;/&gt;&lt;wsp:rsid wsp:val=&quot;000845D8&quot;/&gt;&lt;wsp:rsid wsp:val=&quot;00084952&quot;/&gt;&lt;wsp:rsid wsp:val=&quot;0008505F&quot;/&gt;&lt;wsp:rsid wsp:val=&quot;00087BCE&quot;/&gt;&lt;wsp:rsid wsp:val=&quot;00091CAF&quot;/&gt;&lt;wsp:rsid wsp:val=&quot;0009407D&quot;/&gt;&lt;wsp:rsid wsp:val=&quot;000942E7&quot;/&gt;&lt;wsp:rsid wsp:val=&quot;00096275&quot;/&gt;&lt;wsp:rsid wsp:val=&quot;000967F6&quot;/&gt;&lt;wsp:rsid wsp:val=&quot;000978C7&quot;/&gt;&lt;wsp:rsid wsp:val=&quot;000A0641&quot;/&gt;&lt;wsp:rsid wsp:val=&quot;000A09CE&quot;/&gt;&lt;wsp:rsid wsp:val=&quot;000A21B1&quot;/&gt;&lt;wsp:rsid wsp:val=&quot;000A724D&quot;/&gt;&lt;wsp:rsid wsp:val=&quot;000B15F4&quot;/&gt;&lt;wsp:rsid wsp:val=&quot;000B22CD&quot;/&gt;&lt;wsp:rsid wsp:val=&quot;000B497A&quot;/&gt;&lt;wsp:rsid wsp:val=&quot;000B4D7B&quot;/&gt;&lt;wsp:rsid wsp:val=&quot;000B50CB&quot;/&gt;&lt;wsp:rsid wsp:val=&quot;000B77EA&quot;/&gt;&lt;wsp:rsid wsp:val=&quot;000B7988&quot;/&gt;&lt;wsp:rsid wsp:val=&quot;000C256E&quot;/&gt;&lt;wsp:rsid wsp:val=&quot;000C5F91&quot;/&gt;&lt;wsp:rsid wsp:val=&quot;000C7D05&quot;/&gt;&lt;wsp:rsid wsp:val=&quot;000D152B&quot;/&gt;&lt;wsp:rsid wsp:val=&quot;000D1665&quot;/&gt;&lt;wsp:rsid wsp:val=&quot;000D18A1&quot;/&gt;&lt;wsp:rsid wsp:val=&quot;000D35B1&quot;/&gt;&lt;wsp:rsid wsp:val=&quot;000D3955&quot;/&gt;&lt;wsp:rsid wsp:val=&quot;000D66CF&quot;/&gt;&lt;wsp:rsid wsp:val=&quot;000D6AAF&quot;/&gt;&lt;wsp:rsid wsp:val=&quot;000E3178&quot;/&gt;&lt;wsp:rsid wsp:val=&quot;000E369E&quot;/&gt;&lt;wsp:rsid wsp:val=&quot;000E5123&quot;/&gt;&lt;wsp:rsid wsp:val=&quot;000E7B8E&quot;/&gt;&lt;wsp:rsid wsp:val=&quot;000F5201&quot;/&gt;&lt;wsp:rsid wsp:val=&quot;000F66FC&quot;/&gt;&lt;wsp:rsid wsp:val=&quot;001007A2&quot;/&gt;&lt;wsp:rsid wsp:val=&quot;00100BB0&quot;/&gt;&lt;wsp:rsid wsp:val=&quot;001014E9&quot;/&gt;&lt;wsp:rsid wsp:val=&quot;00105D13&quot;/&gt;&lt;wsp:rsid wsp:val=&quot;00106713&quot;/&gt;&lt;wsp:rsid wsp:val=&quot;001072EC&quot;/&gt;&lt;wsp:rsid wsp:val=&quot;001100C6&quot;/&gt;&lt;wsp:rsid wsp:val=&quot;0011075B&quot;/&gt;&lt;wsp:rsid wsp:val=&quot;0011312A&quot;/&gt;&lt;wsp:rsid wsp:val=&quot;001145B9&quot;/&gt;&lt;wsp:rsid wsp:val=&quot;001172D8&quot;/&gt;&lt;wsp:rsid wsp:val=&quot;00123E32&quot;/&gt;&lt;wsp:rsid wsp:val=&quot;00125F48&quot;/&gt;&lt;wsp:rsid wsp:val=&quot;001263E6&quot;/&gt;&lt;wsp:rsid wsp:val=&quot;00127849&quot;/&gt;&lt;wsp:rsid wsp:val=&quot;00130B01&quot;/&gt;&lt;wsp:rsid wsp:val=&quot;00131316&quot;/&gt;&lt;wsp:rsid wsp:val=&quot;00131CB0&quot;/&gt;&lt;wsp:rsid wsp:val=&quot;00132BA5&quot;/&gt;&lt;wsp:rsid wsp:val=&quot;00145648&quot;/&gt;&lt;wsp:rsid wsp:val=&quot;001461C5&quot;/&gt;&lt;wsp:rsid wsp:val=&quot;00150BB2&quot;/&gt;&lt;wsp:rsid wsp:val=&quot;00163591&quot;/&gt;&lt;wsp:rsid wsp:val=&quot;00166083&quot;/&gt;&lt;wsp:rsid wsp:val=&quot;00166A11&quot;/&gt;&lt;wsp:rsid wsp:val=&quot;001671FB&quot;/&gt;&lt;wsp:rsid wsp:val=&quot;001679A4&quot;/&gt;&lt;wsp:rsid wsp:val=&quot;0017184C&quot;/&gt;&lt;wsp:rsid wsp:val=&quot;00175C65&quot;/&gt;&lt;wsp:rsid wsp:val=&quot;00176D47&quot;/&gt;&lt;wsp:rsid wsp:val=&quot;00177342&quot;/&gt;&lt;wsp:rsid wsp:val=&quot;00177C07&quot;/&gt;&lt;wsp:rsid wsp:val=&quot;0018004F&quot;/&gt;&lt;wsp:rsid wsp:val=&quot;001802B5&quot;/&gt;&lt;wsp:rsid wsp:val=&quot;0018139C&quot;/&gt;&lt;wsp:rsid wsp:val=&quot;0018173B&quot;/&gt;&lt;wsp:rsid wsp:val=&quot;0019119A&quot;/&gt;&lt;wsp:rsid wsp:val=&quot;001937F7&quot;/&gt;&lt;wsp:rsid wsp:val=&quot;001962F3&quot;/&gt;&lt;wsp:rsid wsp:val=&quot;00196974&quot;/&gt;&lt;wsp:rsid wsp:val=&quot;001A14E5&quot;/&gt;&lt;wsp:rsid wsp:val=&quot;001A294B&quot;/&gt;&lt;wsp:rsid wsp:val=&quot;001A3074&quot;/&gt;&lt;wsp:rsid wsp:val=&quot;001A31C4&quot;/&gt;&lt;wsp:rsid wsp:val=&quot;001A3868&quot;/&gt;&lt;wsp:rsid wsp:val=&quot;001B1A2C&quot;/&gt;&lt;wsp:rsid wsp:val=&quot;001B2A68&quot;/&gt;&lt;wsp:rsid wsp:val=&quot;001B2E59&quot;/&gt;&lt;wsp:rsid wsp:val=&quot;001B4C0A&quot;/&gt;&lt;wsp:rsid wsp:val=&quot;001B7345&quot;/&gt;&lt;wsp:rsid wsp:val=&quot;001C31C4&quot;/&gt;&lt;wsp:rsid wsp:val=&quot;001C40D9&quot;/&gt;&lt;wsp:rsid wsp:val=&quot;001D150F&quot;/&gt;&lt;wsp:rsid wsp:val=&quot;001D43E1&quot;/&gt;&lt;wsp:rsid wsp:val=&quot;001D7AE8&quot;/&gt;&lt;wsp:rsid wsp:val=&quot;001F0131&quot;/&gt;&lt;wsp:rsid wsp:val=&quot;001F22C5&quot;/&gt;&lt;wsp:rsid wsp:val=&quot;001F2A37&quot;/&gt;&lt;wsp:rsid wsp:val=&quot;001F3CF8&quot;/&gt;&lt;wsp:rsid wsp:val=&quot;001F7502&quot;/&gt;&lt;wsp:rsid wsp:val=&quot;00204B0F&quot;/&gt;&lt;wsp:rsid wsp:val=&quot;00204C55&quot;/&gt;&lt;wsp:rsid wsp:val=&quot;0021014A&quot;/&gt;&lt;wsp:rsid wsp:val=&quot;00211448&quot;/&gt;&lt;wsp:rsid wsp:val=&quot;00212883&quot;/&gt;&lt;wsp:rsid wsp:val=&quot;00214171&quot;/&gt;&lt;wsp:rsid wsp:val=&quot;00214FCA&quot;/&gt;&lt;wsp:rsid wsp:val=&quot;002163CB&quot;/&gt;&lt;wsp:rsid wsp:val=&quot;00217EB7&quot;/&gt;&lt;wsp:rsid wsp:val=&quot;00221F72&quot;/&gt;&lt;wsp:rsid wsp:val=&quot;00226E20&quot;/&gt;&lt;wsp:rsid wsp:val=&quot;00227418&quot;/&gt;&lt;wsp:rsid wsp:val=&quot;002332A5&quot;/&gt;&lt;wsp:rsid wsp:val=&quot;00236E90&quot;/&gt;&lt;wsp:rsid wsp:val=&quot;00241091&quot;/&gt;&lt;wsp:rsid wsp:val=&quot;00241A87&quot;/&gt;&lt;wsp:rsid wsp:val=&quot;00244808&quot;/&gt;&lt;wsp:rsid wsp:val=&quot;00244D20&quot;/&gt;&lt;wsp:rsid wsp:val=&quot;002455C6&quot;/&gt;&lt;wsp:rsid wsp:val=&quot;00246595&quot;/&gt;&lt;wsp:rsid wsp:val=&quot;002471A2&quot;/&gt;&lt;wsp:rsid wsp:val=&quot;002509E7&quot;/&gt;&lt;wsp:rsid wsp:val=&quot;00251D11&quot;/&gt;&lt;wsp:rsid wsp:val=&quot;0025466B&quot;/&gt;&lt;wsp:rsid wsp:val=&quot;00254D78&quot;/&gt;&lt;wsp:rsid wsp:val=&quot;00255814&quot;/&gt;&lt;wsp:rsid wsp:val=&quot;00255996&quot;/&gt;&lt;wsp:rsid wsp:val=&quot;002572D0&quot;/&gt;&lt;wsp:rsid wsp:val=&quot;00265760&quot;/&gt;&lt;wsp:rsid wsp:val=&quot;00267DC5&quot;/&gt;&lt;wsp:rsid wsp:val=&quot;00270746&quot;/&gt;&lt;wsp:rsid wsp:val=&quot;00271CD9&quot;/&gt;&lt;wsp:rsid wsp:val=&quot;00275397&quot;/&gt;&lt;wsp:rsid wsp:val=&quot;002846DB&quot;/&gt;&lt;wsp:rsid wsp:val=&quot;00285924&quot;/&gt;&lt;wsp:rsid wsp:val=&quot;00293C36&quot;/&gt;&lt;wsp:rsid wsp:val=&quot;0029433B&quot;/&gt;&lt;wsp:rsid wsp:val=&quot;00296128&quot;/&gt;&lt;wsp:rsid wsp:val=&quot;00296695&quot;/&gt;&lt;wsp:rsid wsp:val=&quot;002968B3&quot;/&gt;&lt;wsp:rsid wsp:val=&quot;00296D7D&quot;/&gt;&lt;wsp:rsid wsp:val=&quot;0029757E&quot;/&gt;&lt;wsp:rsid wsp:val=&quot;002A1E7D&quot;/&gt;&lt;wsp:rsid wsp:val=&quot;002A3466&quot;/&gt;&lt;wsp:rsid wsp:val=&quot;002A5341&quot;/&gt;&lt;wsp:rsid wsp:val=&quot;002A6851&quot;/&gt;&lt;wsp:rsid wsp:val=&quot;002A790D&quot;/&gt;&lt;wsp:rsid wsp:val=&quot;002B4513&quot;/&gt;&lt;wsp:rsid wsp:val=&quot;002B4BC5&quot;/&gt;&lt;wsp:rsid wsp:val=&quot;002B5C1E&quot;/&gt;&lt;wsp:rsid wsp:val=&quot;002B6A1C&quot;/&gt;&lt;wsp:rsid wsp:val=&quot;002C33F7&quot;/&gt;&lt;wsp:rsid wsp:val=&quot;002D2CFC&quot;/&gt;&lt;wsp:rsid wsp:val=&quot;002D37AC&quot;/&gt;&lt;wsp:rsid wsp:val=&quot;002D4D40&quot;/&gt;&lt;wsp:rsid wsp:val=&quot;002D5DF6&quot;/&gt;&lt;wsp:rsid wsp:val=&quot;002D703D&quot;/&gt;&lt;wsp:rsid wsp:val=&quot;002E1F51&quot;/&gt;&lt;wsp:rsid wsp:val=&quot;002E41B0&quot;/&gt;&lt;wsp:rsid wsp:val=&quot;002F3405&quot;/&gt;&lt;wsp:rsid wsp:val=&quot;002F4411&quot;/&gt;&lt;wsp:rsid wsp:val=&quot;002F57DF&quot;/&gt;&lt;wsp:rsid wsp:val=&quot;003009C5&quot;/&gt;&lt;wsp:rsid wsp:val=&quot;0030110A&quot;/&gt;&lt;wsp:rsid wsp:val=&quot;00302AE9&quot;/&gt;&lt;wsp:rsid wsp:val=&quot;00303FC4&quot;/&gt;&lt;wsp:rsid wsp:val=&quot;003052BE&quot;/&gt;&lt;wsp:rsid wsp:val=&quot;00305EA3&quot;/&gt;&lt;wsp:rsid wsp:val=&quot;003067DD&quot;/&gt;&lt;wsp:rsid wsp:val=&quot;00310CFF&quot;/&gt;&lt;wsp:rsid wsp:val=&quot;003149DE&quot;/&gt;&lt;wsp:rsid wsp:val=&quot;00314DA2&quot;/&gt;&lt;wsp:rsid wsp:val=&quot;00317DC4&quot;/&gt;&lt;wsp:rsid wsp:val=&quot;003254C4&quot;/&gt;&lt;wsp:rsid wsp:val=&quot;00326B9F&quot;/&gt;&lt;wsp:rsid wsp:val=&quot;003367A8&quot;/&gt;&lt;wsp:rsid wsp:val=&quot;00341246&quot;/&gt;&lt;wsp:rsid wsp:val=&quot;00341E79&quot;/&gt;&lt;wsp:rsid wsp:val=&quot;00343E6D&quot;/&gt;&lt;wsp:rsid wsp:val=&quot;00345EEA&quot;/&gt;&lt;wsp:rsid wsp:val=&quot;003479AA&quot;/&gt;&lt;wsp:rsid wsp:val=&quot;00350118&quot;/&gt;&lt;wsp:rsid wsp:val=&quot;00352316&quot;/&gt;&lt;wsp:rsid wsp:val=&quot;0036495C&quot;/&gt;&lt;wsp:rsid wsp:val=&quot;003701E1&quot;/&gt;&lt;wsp:rsid wsp:val=&quot;00373AC8&quot;/&gt;&lt;wsp:rsid wsp:val=&quot;003746E0&quot;/&gt;&lt;wsp:rsid wsp:val=&quot;003753E2&quot;/&gt;&lt;wsp:rsid wsp:val=&quot;00376D4A&quot;/&gt;&lt;wsp:rsid wsp:val=&quot;00380A06&quot;/&gt;&lt;wsp:rsid wsp:val=&quot;00382901&quot;/&gt;&lt;wsp:rsid wsp:val=&quot;00385635&quot;/&gt;&lt;wsp:rsid wsp:val=&quot;00385F62&quot;/&gt;&lt;wsp:rsid wsp:val=&quot;00392E00&quot;/&gt;&lt;wsp:rsid wsp:val=&quot;0039369B&quot;/&gt;&lt;wsp:rsid wsp:val=&quot;0039475F&quot;/&gt;&lt;wsp:rsid wsp:val=&quot;00394D77&quot;/&gt;&lt;wsp:rsid wsp:val=&quot;003A011A&quot;/&gt;&lt;wsp:rsid wsp:val=&quot;003A135F&quot;/&gt;&lt;wsp:rsid wsp:val=&quot;003A4507&quot;/&gt;&lt;wsp:rsid wsp:val=&quot;003A5A0B&quot;/&gt;&lt;wsp:rsid wsp:val=&quot;003A613C&quot;/&gt;&lt;wsp:rsid wsp:val=&quot;003A7215&quot;/&gt;&lt;wsp:rsid wsp:val=&quot;003B0BF8&quot;/&gt;&lt;wsp:rsid wsp:val=&quot;003B1D16&quot;/&gt;&lt;wsp:rsid wsp:val=&quot;003B209F&quot;/&gt;&lt;wsp:rsid wsp:val=&quot;003B7FC9&quot;/&gt;&lt;wsp:rsid wsp:val=&quot;003C11C7&quot;/&gt;&lt;wsp:rsid wsp:val=&quot;003C4AD1&quot;/&gt;&lt;wsp:rsid wsp:val=&quot;003E0305&quot;/&gt;&lt;wsp:rsid wsp:val=&quot;003E0604&quot;/&gt;&lt;wsp:rsid wsp:val=&quot;003F33B9&quot;/&gt;&lt;wsp:rsid wsp:val=&quot;003F4797&quot;/&gt;&lt;wsp:rsid wsp:val=&quot;003F47B5&quot;/&gt;&lt;wsp:rsid wsp:val=&quot;004003F7&quot;/&gt;&lt;wsp:rsid wsp:val=&quot;0040076A&quot;/&gt;&lt;wsp:rsid wsp:val=&quot;00405A63&quot;/&gt;&lt;wsp:rsid wsp:val=&quot;004079FB&quot;/&gt;&lt;wsp:rsid wsp:val=&quot;00410E89&quot;/&gt;&lt;wsp:rsid wsp:val=&quot;00411527&quot;/&gt;&lt;wsp:rsid wsp:val=&quot;00412EFE&quot;/&gt;&lt;wsp:rsid wsp:val=&quot;00413686&quot;/&gt;&lt;wsp:rsid wsp:val=&quot;004147EE&quot;/&gt;&lt;wsp:rsid wsp:val=&quot;004206FA&quot;/&gt;&lt;wsp:rsid wsp:val=&quot;00420914&quot;/&gt;&lt;wsp:rsid wsp:val=&quot;00421D7D&quot;/&gt;&lt;wsp:rsid wsp:val=&quot;00422962&quot;/&gt;&lt;wsp:rsid wsp:val=&quot;00423546&quot;/&gt;&lt;wsp:rsid wsp:val=&quot;0043053E&quot;/&gt;&lt;wsp:rsid wsp:val=&quot;00431439&quot;/&gt;&lt;wsp:rsid wsp:val=&quot;00431B10&quot;/&gt;&lt;wsp:rsid wsp:val=&quot;00431E83&quot;/&gt;&lt;wsp:rsid wsp:val=&quot;00432F62&quot;/&gt;&lt;wsp:rsid wsp:val=&quot;004346F2&quot;/&gt;&lt;wsp:rsid wsp:val=&quot;004348F0&quot;/&gt;&lt;wsp:rsid wsp:val=&quot;00434A0E&quot;/&gt;&lt;wsp:rsid wsp:val=&quot;00437B5E&quot;/&gt;&lt;wsp:rsid wsp:val=&quot;00446E0A&quot;/&gt;&lt;wsp:rsid wsp:val=&quot;0045311F&quot;/&gt;&lt;wsp:rsid wsp:val=&quot;0045467E&quot;/&gt;&lt;wsp:rsid wsp:val=&quot;0045713D&quot;/&gt;&lt;wsp:rsid wsp:val=&quot;00460DBF&quot;/&gt;&lt;wsp:rsid wsp:val=&quot;00462876&quot;/&gt;&lt;wsp:rsid wsp:val=&quot;0046298B&quot;/&gt;&lt;wsp:rsid wsp:val=&quot;00462AF2&quot;/&gt;&lt;wsp:rsid wsp:val=&quot;00462B68&quot;/&gt;&lt;wsp:rsid wsp:val=&quot;00462BD0&quot;/&gt;&lt;wsp:rsid wsp:val=&quot;004643FE&quot;/&gt;&lt;wsp:rsid wsp:val=&quot;0046464A&quot;/&gt;&lt;wsp:rsid wsp:val=&quot;00467287&quot;/&gt;&lt;wsp:rsid wsp:val=&quot;00477611&quot;/&gt;&lt;wsp:rsid wsp:val=&quot;00480450&quot;/&gt;&lt;wsp:rsid wsp:val=&quot;00480B43&quot;/&gt;&lt;wsp:rsid wsp:val=&quot;00481737&quot;/&gt;&lt;wsp:rsid wsp:val=&quot;00484726&quot;/&gt;&lt;wsp:rsid wsp:val=&quot;00486003&quot;/&gt;&lt;wsp:rsid wsp:val=&quot;00486B98&quot;/&gt;&lt;wsp:rsid wsp:val=&quot;00490547&quot;/&gt;&lt;wsp:rsid wsp:val=&quot;00491740&quot;/&gt;&lt;wsp:rsid wsp:val=&quot;00491C2A&quot;/&gt;&lt;wsp:rsid wsp:val=&quot;004933F9&quot;/&gt;&lt;wsp:rsid wsp:val=&quot;004952EA&quot;/&gt;&lt;wsp:rsid wsp:val=&quot;004964A7&quot;/&gt;&lt;wsp:rsid wsp:val=&quot;004974E8&quot;/&gt;&lt;wsp:rsid wsp:val=&quot;004A2946&quot;/&gt;&lt;wsp:rsid wsp:val=&quot;004A3DA5&quot;/&gt;&lt;wsp:rsid wsp:val=&quot;004A52ED&quot;/&gt;&lt;wsp:rsid wsp:val=&quot;004A61FD&quot;/&gt;&lt;wsp:rsid wsp:val=&quot;004B0F2A&quot;/&gt;&lt;wsp:rsid wsp:val=&quot;004B42C4&quot;/&gt;&lt;wsp:rsid wsp:val=&quot;004B5D21&quot;/&gt;&lt;wsp:rsid wsp:val=&quot;004B5F6C&quot;/&gt;&lt;wsp:rsid wsp:val=&quot;004B7530&quot;/&gt;&lt;wsp:rsid wsp:val=&quot;004B7F42&quot;/&gt;&lt;wsp:rsid wsp:val=&quot;004C056D&quot;/&gt;&lt;wsp:rsid wsp:val=&quot;004C2028&quot;/&gt;&lt;wsp:rsid wsp:val=&quot;004C20CB&quot;/&gt;&lt;wsp:rsid wsp:val=&quot;004C2FAE&quot;/&gt;&lt;wsp:rsid wsp:val=&quot;004C5181&quot;/&gt;&lt;wsp:rsid wsp:val=&quot;004C5FE5&quot;/&gt;&lt;wsp:rsid wsp:val=&quot;004C6C1E&quot;/&gt;&lt;wsp:rsid wsp:val=&quot;004C7700&quot;/&gt;&lt;wsp:rsid wsp:val=&quot;004D5A75&quot;/&gt;&lt;wsp:rsid wsp:val=&quot;004D72F2&quot;/&gt;&lt;wsp:rsid wsp:val=&quot;004E1DF7&quot;/&gt;&lt;wsp:rsid wsp:val=&quot;004E2221&quot;/&gt;&lt;wsp:rsid wsp:val=&quot;004E40C3&quot;/&gt;&lt;wsp:rsid wsp:val=&quot;004E592B&quot;/&gt;&lt;wsp:rsid wsp:val=&quot;004F03F9&quot;/&gt;&lt;wsp:rsid wsp:val=&quot;004F20B4&quot;/&gt;&lt;wsp:rsid wsp:val=&quot;004F4705&quot;/&gt;&lt;wsp:rsid wsp:val=&quot;004F509D&quot;/&gt;&lt;wsp:rsid wsp:val=&quot;004F70A2&quot;/&gt;&lt;wsp:rsid wsp:val=&quot;005010D4&quot;/&gt;&lt;wsp:rsid wsp:val=&quot;005063B0&quot;/&gt;&lt;wsp:rsid wsp:val=&quot;00506A4F&quot;/&gt;&lt;wsp:rsid wsp:val=&quot;00507792&quot;/&gt;&lt;wsp:rsid wsp:val=&quot;00507BF0&quot;/&gt;&lt;wsp:rsid wsp:val=&quot;00507FF9&quot;/&gt;&lt;wsp:rsid wsp:val=&quot;00513DE2&quot;/&gt;&lt;wsp:rsid wsp:val=&quot;00514701&quot;/&gt;&lt;wsp:rsid wsp:val=&quot;00514B68&quot;/&gt;&lt;wsp:rsid wsp:val=&quot;00523133&quot;/&gt;&lt;wsp:rsid wsp:val=&quot;005327C9&quot;/&gt;&lt;wsp:rsid wsp:val=&quot;0053595D&quot;/&gt;&lt;wsp:rsid wsp:val=&quot;0053660A&quot;/&gt;&lt;wsp:rsid wsp:val=&quot;005368EB&quot;/&gt;&lt;wsp:rsid wsp:val=&quot;00540963&quot;/&gt;&lt;wsp:rsid wsp:val=&quot;00546BEF&quot;/&gt;&lt;wsp:rsid wsp:val=&quot;00553A5F&quot;/&gt;&lt;wsp:rsid wsp:val=&quot;00554056&quot;/&gt;&lt;wsp:rsid wsp:val=&quot;00554E95&quot;/&gt;&lt;wsp:rsid wsp:val=&quot;005629C3&quot;/&gt;&lt;wsp:rsid wsp:val=&quot;0056693D&quot;/&gt;&lt;wsp:rsid wsp:val=&quot;005674C5&quot;/&gt;&lt;wsp:rsid wsp:val=&quot;00570536&quot;/&gt;&lt;wsp:rsid wsp:val=&quot;0057113B&quot;/&gt;&lt;wsp:rsid wsp:val=&quot;00571A20&quot;/&gt;&lt;wsp:rsid wsp:val=&quot;005765F4&quot;/&gt;&lt;wsp:rsid wsp:val=&quot;00581199&quot;/&gt;&lt;wsp:rsid wsp:val=&quot;00582341&quot;/&gt;&lt;wsp:rsid wsp:val=&quot;0058440D&quot;/&gt;&lt;wsp:rsid wsp:val=&quot;00585CC3&quot;/&gt;&lt;wsp:rsid wsp:val=&quot;00586113&quot;/&gt;&lt;wsp:rsid wsp:val=&quot;00586518&quot;/&gt;&lt;wsp:rsid wsp:val=&quot;0058665A&quot;/&gt;&lt;wsp:rsid wsp:val=&quot;005910D4&quot;/&gt;&lt;wsp:rsid wsp:val=&quot;00595069&quot;/&gt;&lt;wsp:rsid wsp:val=&quot;005979F0&quot;/&gt;&lt;wsp:rsid wsp:val=&quot;005A0CA8&quot;/&gt;&lt;wsp:rsid wsp:val=&quot;005A36E9&quot;/&gt;&lt;wsp:rsid wsp:val=&quot;005A63C4&quot;/&gt;&lt;wsp:rsid wsp:val=&quot;005B2776&quot;/&gt;&lt;wsp:rsid wsp:val=&quot;005B4A97&quot;/&gt;&lt;wsp:rsid wsp:val=&quot;005B5639&quot;/&gt;&lt;wsp:rsid wsp:val=&quot;005C51B2&quot;/&gt;&lt;wsp:rsid wsp:val=&quot;005C536B&quot;/&gt;&lt;wsp:rsid wsp:val=&quot;005C5D57&quot;/&gt;&lt;wsp:rsid wsp:val=&quot;005D0E46&quot;/&gt;&lt;wsp:rsid wsp:val=&quot;005D132F&quot;/&gt;&lt;wsp:rsid wsp:val=&quot;005D2FF3&quot;/&gt;&lt;wsp:rsid wsp:val=&quot;005D4467&quot;/&gt;&lt;wsp:rsid wsp:val=&quot;005D796E&quot;/&gt;&lt;wsp:rsid wsp:val=&quot;005E2FF3&quot;/&gt;&lt;wsp:rsid wsp:val=&quot;005E4C37&quot;/&gt;&lt;wsp:rsid wsp:val=&quot;005F4150&quot;/&gt;&lt;wsp:rsid wsp:val=&quot;005F6187&quot;/&gt;&lt;wsp:rsid wsp:val=&quot;0060047A&quot;/&gt;&lt;wsp:rsid wsp:val=&quot;00602A27&quot;/&gt;&lt;wsp:rsid wsp:val=&quot;00605AA9&quot;/&gt;&lt;wsp:rsid wsp:val=&quot;00612A8C&quot;/&gt;&lt;wsp:rsid wsp:val=&quot;006159EC&quot;/&gt;&lt;wsp:rsid wsp:val=&quot;00616B2D&quot;/&gt;&lt;wsp:rsid wsp:val=&quot;00616E45&quot;/&gt;&lt;wsp:rsid wsp:val=&quot;00624DF8&quot;/&gt;&lt;wsp:rsid wsp:val=&quot;00625DB6&quot;/&gt;&lt;wsp:rsid wsp:val=&quot;006262C0&quot;/&gt;&lt;wsp:rsid wsp:val=&quot;00627BC8&quot;/&gt;&lt;wsp:rsid wsp:val=&quot;00630FFB&quot;/&gt;&lt;wsp:rsid wsp:val=&quot;00631F3B&quot;/&gt;&lt;wsp:rsid wsp:val=&quot;00633442&quot;/&gt;&lt;wsp:rsid wsp:val=&quot;00640051&quot;/&gt;&lt;wsp:rsid wsp:val=&quot;00640D6B&quot;/&gt;&lt;wsp:rsid wsp:val=&quot;00642409&quot;/&gt;&lt;wsp:rsid wsp:val=&quot;00645CFD&quot;/&gt;&lt;wsp:rsid wsp:val=&quot;00645E6A&quot;/&gt;&lt;wsp:rsid wsp:val=&quot;00646424&quot;/&gt;&lt;wsp:rsid wsp:val=&quot;00646534&quot;/&gt;&lt;wsp:rsid wsp:val=&quot;0064728B&quot;/&gt;&lt;wsp:rsid wsp:val=&quot;00650B55&quot;/&gt;&lt;wsp:rsid wsp:val=&quot;00654DCA&quot;/&gt;&lt;wsp:rsid wsp:val=&quot;006571E1&quot;/&gt;&lt;wsp:rsid wsp:val=&quot;00665F4E&quot;/&gt;&lt;wsp:rsid wsp:val=&quot;006662D3&quot;/&gt;&lt;wsp:rsid wsp:val=&quot;006728BE&quot;/&gt;&lt;wsp:rsid wsp:val=&quot;00673C01&quot;/&gt;&lt;wsp:rsid wsp:val=&quot;0067415C&quot;/&gt;&lt;wsp:rsid wsp:val=&quot;006771E5&quot;/&gt;&lt;wsp:rsid wsp:val=&quot;006804C3&quot;/&gt;&lt;wsp:rsid wsp:val=&quot;00683F5D&quot;/&gt;&lt;wsp:rsid wsp:val=&quot;006849D5&quot;/&gt;&lt;wsp:rsid wsp:val=&quot;00684D82&quot;/&gt;&lt;wsp:rsid wsp:val=&quot;00690B3E&quot;/&gt;&lt;wsp:rsid wsp:val=&quot;006A0236&quot;/&gt;&lt;wsp:rsid wsp:val=&quot;006A05E6&quot;/&gt;&lt;wsp:rsid wsp:val=&quot;006A0602&quot;/&gt;&lt;wsp:rsid wsp:val=&quot;006A0BF2&quot;/&gt;&lt;wsp:rsid wsp:val=&quot;006A18C4&quot;/&gt;&lt;wsp:rsid wsp:val=&quot;006A3895&quot;/&gt;&lt;wsp:rsid wsp:val=&quot;006A71D7&quot;/&gt;&lt;wsp:rsid wsp:val=&quot;006B2660&quot;/&gt;&lt;wsp:rsid wsp:val=&quot;006B3BB5&quot;/&gt;&lt;wsp:rsid wsp:val=&quot;006C75FD&quot;/&gt;&lt;wsp:rsid wsp:val=&quot;006D46A8&quot;/&gt;&lt;wsp:rsid wsp:val=&quot;006D5C77&quot;/&gt;&lt;wsp:rsid wsp:val=&quot;006D69E6&quot;/&gt;&lt;wsp:rsid wsp:val=&quot;006E689D&quot;/&gt;&lt;wsp:rsid wsp:val=&quot;006E7DDD&quot;/&gt;&lt;wsp:rsid wsp:val=&quot;006F1592&quot;/&gt;&lt;wsp:rsid wsp:val=&quot;006F4666&quot;/&gt;&lt;wsp:rsid wsp:val=&quot;006F6804&quot;/&gt;&lt;wsp:rsid wsp:val=&quot;006F7EF2&quot;/&gt;&lt;wsp:rsid wsp:val=&quot;007003FC&quot;/&gt;&lt;wsp:rsid wsp:val=&quot;007040C1&quot;/&gt;&lt;wsp:rsid wsp:val=&quot;00704D87&quot;/&gt;&lt;wsp:rsid wsp:val=&quot;00705170&quot;/&gt;&lt;wsp:rsid wsp:val=&quot;007066EA&quot;/&gt;&lt;wsp:rsid wsp:val=&quot;0071432A&quot;/&gt;&lt;wsp:rsid wsp:val=&quot;00717063&quot;/&gt;&lt;wsp:rsid wsp:val=&quot;00720284&quot;/&gt;&lt;wsp:rsid wsp:val=&quot;007247E2&quot;/&gt;&lt;wsp:rsid wsp:val=&quot;007309FF&quot;/&gt;&lt;wsp:rsid wsp:val=&quot;00731591&quot;/&gt;&lt;wsp:rsid wsp:val=&quot;007333B3&quot;/&gt;&lt;wsp:rsid wsp:val=&quot;007351BA&quot;/&gt;&lt;wsp:rsid wsp:val=&quot;00737671&quot;/&gt;&lt;wsp:rsid wsp:val=&quot;00740370&quot;/&gt;&lt;wsp:rsid wsp:val=&quot;00741AFE&quot;/&gt;&lt;wsp:rsid wsp:val=&quot;007436B8&quot;/&gt;&lt;wsp:rsid wsp:val=&quot;00744E73&quot;/&gt;&lt;wsp:rsid wsp:val=&quot;0074763F&quot;/&gt;&lt;wsp:rsid wsp:val=&quot;00756D09&quot;/&gt;&lt;wsp:rsid wsp:val=&quot;00757321&quot;/&gt;&lt;wsp:rsid wsp:val=&quot;00767365&quot;/&gt;&lt;wsp:rsid wsp:val=&quot;00770E42&quot;/&gt;&lt;wsp:rsid wsp:val=&quot;00771ADB&quot;/&gt;&lt;wsp:rsid wsp:val=&quot;00777298&quot;/&gt;&lt;wsp:rsid wsp:val=&quot;0078262A&quot;/&gt;&lt;wsp:rsid wsp:val=&quot;00783A4A&quot;/&gt;&lt;wsp:rsid wsp:val=&quot;007841B6&quot;/&gt;&lt;wsp:rsid wsp:val=&quot;007864FE&quot;/&gt;&lt;wsp:rsid wsp:val=&quot;00792320&quot;/&gt;&lt;wsp:rsid wsp:val=&quot;00793072&quot;/&gt;&lt;wsp:rsid wsp:val=&quot;007A0B4A&quot;/&gt;&lt;wsp:rsid wsp:val=&quot;007A24A4&quot;/&gt;&lt;wsp:rsid wsp:val=&quot;007A270B&quot;/&gt;&lt;wsp:rsid wsp:val=&quot;007A5493&quot;/&gt;&lt;wsp:rsid wsp:val=&quot;007A7760&quot;/&gt;&lt;wsp:rsid wsp:val=&quot;007B25A3&quot;/&gt;&lt;wsp:rsid wsp:val=&quot;007B7F47&quot;/&gt;&lt;wsp:rsid wsp:val=&quot;007C2E4C&quot;/&gt;&lt;wsp:rsid wsp:val=&quot;007C3C20&quot;/&gt;&lt;wsp:rsid wsp:val=&quot;007C3C64&quot;/&gt;&lt;wsp:rsid wsp:val=&quot;007C3F85&quot;/&gt;&lt;wsp:rsid wsp:val=&quot;007D1675&quot;/&gt;&lt;wsp:rsid wsp:val=&quot;007D53C9&quot;/&gt;&lt;wsp:rsid wsp:val=&quot;007D611D&quot;/&gt;&lt;wsp:rsid wsp:val=&quot;007E09CD&quot;/&gt;&lt;wsp:rsid wsp:val=&quot;007E13FA&quot;/&gt;&lt;wsp:rsid wsp:val=&quot;007E5906&quot;/&gt;&lt;wsp:rsid wsp:val=&quot;007E763C&quot;/&gt;&lt;wsp:rsid wsp:val=&quot;007F1873&quot;/&gt;&lt;wsp:rsid wsp:val=&quot;007F1D92&quot;/&gt;&lt;wsp:rsid wsp:val=&quot;007F2069&quot;/&gt;&lt;wsp:rsid wsp:val=&quot;007F2509&quot;/&gt;&lt;wsp:rsid wsp:val=&quot;007F5599&quot;/&gt;&lt;wsp:rsid wsp:val=&quot;007F7632&quot;/&gt;&lt;wsp:rsid wsp:val=&quot;00800F4C&quot;/&gt;&lt;wsp:rsid wsp:val=&quot;008053C6&quot;/&gt;&lt;wsp:rsid wsp:val=&quot;00807555&quot;/&gt;&lt;wsp:rsid wsp:val=&quot;00807DB3&quot;/&gt;&lt;wsp:rsid wsp:val=&quot;0081280A&quot;/&gt;&lt;wsp:rsid wsp:val=&quot;008152D5&quot;/&gt;&lt;wsp:rsid wsp:val=&quot;0082238F&quot;/&gt;&lt;wsp:rsid wsp:val=&quot;00822C7F&quot;/&gt;&lt;wsp:rsid wsp:val=&quot;00826073&quot;/&gt;&lt;wsp:rsid wsp:val=&quot;00833EB9&quot;/&gt;&lt;wsp:rsid wsp:val=&quot;00834F00&quot;/&gt;&lt;wsp:rsid wsp:val=&quot;0083660D&quot;/&gt;&lt;wsp:rsid wsp:val=&quot;008409B4&quot;/&gt;&lt;wsp:rsid wsp:val=&quot;0084126E&quot;/&gt;&lt;wsp:rsid wsp:val=&quot;008432CD&quot;/&gt;&lt;wsp:rsid wsp:val=&quot;00851361&quot;/&gt;&lt;wsp:rsid wsp:val=&quot;008521BD&quot;/&gt;&lt;wsp:rsid wsp:val=&quot;00852606&quot;/&gt;&lt;wsp:rsid wsp:val=&quot;0085451A&quot;/&gt;&lt;wsp:rsid wsp:val=&quot;00854556&quot;/&gt;&lt;wsp:rsid wsp:val=&quot;008631BA&quot;/&gt;&lt;wsp:rsid wsp:val=&quot;00864296&quot;/&gt;&lt;wsp:rsid wsp:val=&quot;008676F8&quot;/&gt;&lt;wsp:rsid wsp:val=&quot;00870FBF&quot;/&gt;&lt;wsp:rsid wsp:val=&quot;00877898&quot;/&gt;&lt;wsp:rsid wsp:val=&quot;00880CA9&quot;/&gt;&lt;wsp:rsid wsp:val=&quot;00882709&quot;/&gt;&lt;wsp:rsid wsp:val=&quot;0089040C&quot;/&gt;&lt;wsp:rsid wsp:val=&quot;0089155B&quot;/&gt;&lt;wsp:rsid wsp:val=&quot;008958FB&quot;/&gt;&lt;wsp:rsid wsp:val=&quot;00896E8E&quot;/&gt;&lt;wsp:rsid wsp:val=&quot;0089789B&quot;/&gt;&lt;wsp:rsid wsp:val=&quot;008A06E2&quot;/&gt;&lt;wsp:rsid wsp:val=&quot;008A1801&quot;/&gt;&lt;wsp:rsid wsp:val=&quot;008A1FBE&quot;/&gt;&lt;wsp:rsid wsp:val=&quot;008A25CF&quot;/&gt;&lt;wsp:rsid wsp:val=&quot;008A34F1&quot;/&gt;&lt;wsp:rsid wsp:val=&quot;008A360E&quot;/&gt;&lt;wsp:rsid wsp:val=&quot;008A372E&quot;/&gt;&lt;wsp:rsid wsp:val=&quot;008A7D9A&quot;/&gt;&lt;wsp:rsid wsp:val=&quot;008B01C4&quot;/&gt;&lt;wsp:rsid wsp:val=&quot;008B0A51&quot;/&gt;&lt;wsp:rsid wsp:val=&quot;008B4981&quot;/&gt;&lt;wsp:rsid wsp:val=&quot;008B5B7F&quot;/&gt;&lt;wsp:rsid wsp:val=&quot;008C3C48&quot;/&gt;&lt;wsp:rsid wsp:val=&quot;008C5344&quot;/&gt;&lt;wsp:rsid wsp:val=&quot;008C6626&quot;/&gt;&lt;wsp:rsid wsp:val=&quot;008E278A&quot;/&gt;&lt;wsp:rsid wsp:val=&quot;008E3830&quot;/&gt;&lt;wsp:rsid wsp:val=&quot;008E64BF&quot;/&gt;&lt;wsp:rsid wsp:val=&quot;008F2159&quot;/&gt;&lt;wsp:rsid wsp:val=&quot;008F33E8&quot;/&gt;&lt;wsp:rsid wsp:val=&quot;008F4554&quot;/&gt;&lt;wsp:rsid wsp:val=&quot;008F7C25&quot;/&gt;&lt;wsp:rsid wsp:val=&quot;0090024C&quot;/&gt;&lt;wsp:rsid wsp:val=&quot;00901CB9&quot;/&gt;&lt;wsp:rsid wsp:val=&quot;00910AA7&quot;/&gt;&lt;wsp:rsid wsp:val=&quot;0091322B&quot;/&gt;&lt;wsp:rsid wsp:val=&quot;009144FF&quot;/&gt;&lt;wsp:rsid wsp:val=&quot;00920A4D&quot;/&gt;&lt;wsp:rsid wsp:val=&quot;00924E2C&quot;/&gt;&lt;wsp:rsid wsp:val=&quot;0093197D&quot;/&gt;&lt;wsp:rsid wsp:val=&quot;00931DD4&quot;/&gt;&lt;wsp:rsid wsp:val=&quot;00932D3A&quot;/&gt;&lt;wsp:rsid wsp:val=&quot;0093397E&quot;/&gt;&lt;wsp:rsid wsp:val=&quot;00934390&quot;/&gt;&lt;wsp:rsid wsp:val=&quot;0093445B&quot;/&gt;&lt;wsp:rsid wsp:val=&quot;009347F2&quot;/&gt;&lt;wsp:rsid wsp:val=&quot;0094010A&quot;/&gt;&lt;wsp:rsid wsp:val=&quot;0094127E&quot;/&gt;&lt;wsp:rsid wsp:val=&quot;009550BF&quot;/&gt;&lt;wsp:rsid wsp:val=&quot;0095758A&quot;/&gt;&lt;wsp:rsid wsp:val=&quot;009600B0&quot;/&gt;&lt;wsp:rsid wsp:val=&quot;009622C7&quot;/&gt;&lt;wsp:rsid wsp:val=&quot;0096498C&quot;/&gt;&lt;wsp:rsid wsp:val=&quot;0096573B&quot;/&gt;&lt;wsp:rsid wsp:val=&quot;009665EC&quot;/&gt;&lt;wsp:rsid wsp:val=&quot;00966A7C&quot;/&gt;&lt;wsp:rsid wsp:val=&quot;009677F7&quot;/&gt;&lt;wsp:rsid wsp:val=&quot;00967F88&quot;/&gt;&lt;wsp:rsid wsp:val=&quot;00970873&quot;/&gt;&lt;wsp:rsid wsp:val=&quot;00971303&quot;/&gt;&lt;wsp:rsid wsp:val=&quot;009729BF&quot;/&gt;&lt;wsp:rsid wsp:val=&quot;00973FA2&quot;/&gt;&lt;wsp:rsid wsp:val=&quot;0097441E&quot;/&gt;&lt;wsp:rsid wsp:val=&quot;0097538F&quot;/&gt;&lt;wsp:rsid wsp:val=&quot;00981D9F&quot;/&gt;&lt;wsp:rsid wsp:val=&quot;00983A36&quot;/&gt;&lt;wsp:rsid wsp:val=&quot;00995E1A&quot;/&gt;&lt;wsp:rsid wsp:val=&quot;00996EEE&quot;/&gt;&lt;wsp:rsid wsp:val=&quot;009979D5&quot;/&gt;&lt;wsp:rsid wsp:val=&quot;009A26D3&quot;/&gt;&lt;wsp:rsid wsp:val=&quot;009A34BF&quot;/&gt;&lt;wsp:rsid wsp:val=&quot;009A7608&quot;/&gt;&lt;wsp:rsid wsp:val=&quot;009A78C1&quot;/&gt;&lt;wsp:rsid wsp:val=&quot;009B0AC7&quot;/&gt;&lt;wsp:rsid wsp:val=&quot;009B1D77&quot;/&gt;&lt;wsp:rsid wsp:val=&quot;009B386A&quot;/&gt;&lt;wsp:rsid wsp:val=&quot;009B47BD&quot;/&gt;&lt;wsp:rsid wsp:val=&quot;009B5DF6&quot;/&gt;&lt;wsp:rsid wsp:val=&quot;009B64D0&quot;/&gt;&lt;wsp:rsid wsp:val=&quot;009C12AA&quot;/&gt;&lt;wsp:rsid wsp:val=&quot;009C17E8&quot;/&gt;&lt;wsp:rsid wsp:val=&quot;009C3B25&quot;/&gt;&lt;wsp:rsid wsp:val=&quot;009C70B0&quot;/&gt;&lt;wsp:rsid wsp:val=&quot;009D0F73&quot;/&gt;&lt;wsp:rsid wsp:val=&quot;009D2B09&quot;/&gt;&lt;wsp:rsid wsp:val=&quot;009D323C&quot;/&gt;&lt;wsp:rsid wsp:val=&quot;009D67F8&quot;/&gt;&lt;wsp:rsid wsp:val=&quot;009E6A10&quot;/&gt;&lt;wsp:rsid wsp:val=&quot;009F051A&quot;/&gt;&lt;wsp:rsid wsp:val=&quot;009F4223&quot;/&gt;&lt;wsp:rsid wsp:val=&quot;00A05409&quot;/&gt;&lt;wsp:rsid wsp:val=&quot;00A13B99&quot;/&gt;&lt;wsp:rsid wsp:val=&quot;00A16B41&quot;/&gt;&lt;wsp:rsid wsp:val=&quot;00A1717F&quot;/&gt;&lt;wsp:rsid wsp:val=&quot;00A26724&quot;/&gt;&lt;wsp:rsid wsp:val=&quot;00A26B78&quot;/&gt;&lt;wsp:rsid wsp:val=&quot;00A300CB&quot;/&gt;&lt;wsp:rsid wsp:val=&quot;00A357E9&quot;/&gt;&lt;wsp:rsid wsp:val=&quot;00A36C0A&quot;/&gt;&lt;wsp:rsid wsp:val=&quot;00A377B5&quot;/&gt;&lt;wsp:rsid wsp:val=&quot;00A460A7&quot;/&gt;&lt;wsp:rsid wsp:val=&quot;00A5098B&quot;/&gt;&lt;wsp:rsid wsp:val=&quot;00A52322&quot;/&gt;&lt;wsp:rsid wsp:val=&quot;00A53019&quot;/&gt;&lt;wsp:rsid wsp:val=&quot;00A57C24&quot;/&gt;&lt;wsp:rsid wsp:val=&quot;00A64A72&quot;/&gt;&lt;wsp:rsid wsp:val=&quot;00A75492&quot;/&gt;&lt;wsp:rsid wsp:val=&quot;00A76F80&quot;/&gt;&lt;wsp:rsid wsp:val=&quot;00A77A2D&quot;/&gt;&lt;wsp:rsid wsp:val=&quot;00A80006&quot;/&gt;&lt;wsp:rsid wsp:val=&quot;00A85ADE&quot;/&gt;&lt;wsp:rsid wsp:val=&quot;00A86E29&quot;/&gt;&lt;wsp:rsid wsp:val=&quot;00A91306&quot;/&gt;&lt;wsp:rsid wsp:val=&quot;00A93FE5&quot;/&gt;&lt;wsp:rsid wsp:val=&quot;00AA1F42&quot;/&gt;&lt;wsp:rsid wsp:val=&quot;00AA22FB&quot;/&gt;&lt;wsp:rsid wsp:val=&quot;00AA29EB&quot;/&gt;&lt;wsp:rsid wsp:val=&quot;00AA341E&quot;/&gt;&lt;wsp:rsid wsp:val=&quot;00AA4442&quot;/&gt;&lt;wsp:rsid wsp:val=&quot;00AA7549&quot;/&gt;&lt;wsp:rsid wsp:val=&quot;00AB41F5&quot;/&gt;&lt;wsp:rsid wsp:val=&quot;00AB4551&quot;/&gt;&lt;wsp:rsid wsp:val=&quot;00AB6B23&quot;/&gt;&lt;wsp:rsid wsp:val=&quot;00AB6BC1&quot;/&gt;&lt;wsp:rsid wsp:val=&quot;00AB6EF3&quot;/&gt;&lt;wsp:rsid wsp:val=&quot;00AC242A&quot;/&gt;&lt;wsp:rsid wsp:val=&quot;00AC4589&quot;/&gt;&lt;wsp:rsid wsp:val=&quot;00AD11EA&quot;/&gt;&lt;wsp:rsid wsp:val=&quot;00AD2F16&quot;/&gt;&lt;wsp:rsid wsp:val=&quot;00AE33B3&quot;/&gt;&lt;wsp:rsid wsp:val=&quot;00AE452B&quot;/&gt;&lt;wsp:rsid wsp:val=&quot;00AF2C0E&quot;/&gt;&lt;wsp:rsid wsp:val=&quot;00AF6EBE&quot;/&gt;&lt;wsp:rsid wsp:val=&quot;00AF72AB&quot;/&gt;&lt;wsp:rsid wsp:val=&quot;00B041BC&quot;/&gt;&lt;wsp:rsid wsp:val=&quot;00B13072&quot;/&gt;&lt;wsp:rsid wsp:val=&quot;00B1337F&quot;/&gt;&lt;wsp:rsid wsp:val=&quot;00B166A6&quot;/&gt;&lt;wsp:rsid wsp:val=&quot;00B17E21&quot;/&gt;&lt;wsp:rsid wsp:val=&quot;00B20627&quot;/&gt;&lt;wsp:rsid wsp:val=&quot;00B24110&quot;/&gt;&lt;wsp:rsid wsp:val=&quot;00B24F1E&quot;/&gt;&lt;wsp:rsid wsp:val=&quot;00B26595&quot;/&gt;&lt;wsp:rsid wsp:val=&quot;00B26D12&quot;/&gt;&lt;wsp:rsid wsp:val=&quot;00B274CC&quot;/&gt;&lt;wsp:rsid wsp:val=&quot;00B30DF3&quot;/&gt;&lt;wsp:rsid wsp:val=&quot;00B343F6&quot;/&gt;&lt;wsp:rsid wsp:val=&quot;00B34F32&quot;/&gt;&lt;wsp:rsid wsp:val=&quot;00B36467&quot;/&gt;&lt;wsp:rsid wsp:val=&quot;00B37BF6&quot;/&gt;&lt;wsp:rsid wsp:val=&quot;00B41162&quot;/&gt;&lt;wsp:rsid wsp:val=&quot;00B421FB&quot;/&gt;&lt;wsp:rsid wsp:val=&quot;00B4346D&quot;/&gt;&lt;wsp:rsid wsp:val=&quot;00B47B8F&quot;/&gt;&lt;wsp:rsid wsp:val=&quot;00B56821&quot;/&gt;&lt;wsp:rsid wsp:val=&quot;00B572CD&quot;/&gt;&lt;wsp:rsid wsp:val=&quot;00B57C71&quot;/&gt;&lt;wsp:rsid wsp:val=&quot;00B639F2&quot;/&gt;&lt;wsp:rsid wsp:val=&quot;00B63BE1&quot;/&gt;&lt;wsp:rsid wsp:val=&quot;00B640E8&quot;/&gt;&lt;wsp:rsid wsp:val=&quot;00B6576E&quot;/&gt;&lt;wsp:rsid wsp:val=&quot;00B65A29&quot;/&gt;&lt;wsp:rsid wsp:val=&quot;00B665B5&quot;/&gt;&lt;wsp:rsid wsp:val=&quot;00B66CCD&quot;/&gt;&lt;wsp:rsid wsp:val=&quot;00B70A05&quot;/&gt;&lt;wsp:rsid wsp:val=&quot;00B71359&quot;/&gt;&lt;wsp:rsid wsp:val=&quot;00B737DB&quot;/&gt;&lt;wsp:rsid wsp:val=&quot;00B75626&quot;/&gt;&lt;wsp:rsid wsp:val=&quot;00B75DE1&quot;/&gt;&lt;wsp:rsid wsp:val=&quot;00B80ABB&quot;/&gt;&lt;wsp:rsid wsp:val=&quot;00B85089&quot;/&gt;&lt;wsp:rsid wsp:val=&quot;00B85AA2&quot;/&gt;&lt;wsp:rsid wsp:val=&quot;00B9776A&quot;/&gt;&lt;wsp:rsid wsp:val=&quot;00B97AAA&quot;/&gt;&lt;wsp:rsid wsp:val=&quot;00BA1D23&quot;/&gt;&lt;wsp:rsid wsp:val=&quot;00BA30DD&quot;/&gt;&lt;wsp:rsid wsp:val=&quot;00BA3E7D&quot;/&gt;&lt;wsp:rsid wsp:val=&quot;00BA5E7F&quot;/&gt;&lt;wsp:rsid wsp:val=&quot;00BA6556&quot;/&gt;&lt;wsp:rsid wsp:val=&quot;00BB13C6&quot;/&gt;&lt;wsp:rsid wsp:val=&quot;00BB6C8D&quot;/&gt;&lt;wsp:rsid wsp:val=&quot;00BB7CDB&quot;/&gt;&lt;wsp:rsid wsp:val=&quot;00BC0F6B&quot;/&gt;&lt;wsp:rsid wsp:val=&quot;00BC138E&quot;/&gt;&lt;wsp:rsid wsp:val=&quot;00BC1651&quot;/&gt;&lt;wsp:rsid wsp:val=&quot;00BC3D43&quot;/&gt;&lt;wsp:rsid wsp:val=&quot;00BC5824&quot;/&gt;&lt;wsp:rsid wsp:val=&quot;00BC59DD&quot;/&gt;&lt;wsp:rsid wsp:val=&quot;00BC7815&quot;/&gt;&lt;wsp:rsid wsp:val=&quot;00BD5C51&quot;/&gt;&lt;wsp:rsid wsp:val=&quot;00BD5E6D&quot;/&gt;&lt;wsp:rsid wsp:val=&quot;00BE13BA&quot;/&gt;&lt;wsp:rsid wsp:val=&quot;00BE304A&quot;/&gt;&lt;wsp:rsid wsp:val=&quot;00BE510B&quot;/&gt;&lt;wsp:rsid wsp:val=&quot;00BE548B&quot;/&gt;&lt;wsp:rsid wsp:val=&quot;00BE599D&quot;/&gt;&lt;wsp:rsid wsp:val=&quot;00BE5DEC&quot;/&gt;&lt;wsp:rsid wsp:val=&quot;00BF146D&quot;/&gt;&lt;wsp:rsid wsp:val=&quot;00BF1F78&quot;/&gt;&lt;wsp:rsid wsp:val=&quot;00BF5970&quot;/&gt;&lt;wsp:rsid wsp:val=&quot;00C014A7&quot;/&gt;&lt;wsp:rsid wsp:val=&quot;00C03C27&quot;/&gt;&lt;wsp:rsid wsp:val=&quot;00C05E60&quot;/&gt;&lt;wsp:rsid wsp:val=&quot;00C06022&quot;/&gt;&lt;wsp:rsid wsp:val=&quot;00C125F0&quot;/&gt;&lt;wsp:rsid wsp:val=&quot;00C15D81&quot;/&gt;&lt;wsp:rsid wsp:val=&quot;00C233C8&quot;/&gt;&lt;wsp:rsid wsp:val=&quot;00C25DD5&quot;/&gt;&lt;wsp:rsid wsp:val=&quot;00C31BF5&quot;/&gt;&lt;wsp:rsid wsp:val=&quot;00C33631&quot;/&gt;&lt;wsp:rsid wsp:val=&quot;00C35324&quot;/&gt;&lt;wsp:rsid wsp:val=&quot;00C447C0&quot;/&gt;&lt;wsp:rsid wsp:val=&quot;00C447E1&quot;/&gt;&lt;wsp:rsid wsp:val=&quot;00C44933&quot;/&gt;&lt;wsp:rsid wsp:val=&quot;00C51723&quot;/&gt;&lt;wsp:rsid wsp:val=&quot;00C5388E&quot;/&gt;&lt;wsp:rsid wsp:val=&quot;00C54169&quot;/&gt;&lt;wsp:rsid wsp:val=&quot;00C552B8&quot;/&gt;&lt;wsp:rsid wsp:val=&quot;00C554E5&quot;/&gt;&lt;wsp:rsid wsp:val=&quot;00C569CC&quot;/&gt;&lt;wsp:rsid wsp:val=&quot;00C5750A&quot;/&gt;&lt;wsp:rsid wsp:val=&quot;00C57916&quot;/&gt;&lt;wsp:rsid wsp:val=&quot;00C60726&quot;/&gt;&lt;wsp:rsid wsp:val=&quot;00C62AE2&quot;/&gt;&lt;wsp:rsid wsp:val=&quot;00C62FFB&quot;/&gt;&lt;wsp:rsid wsp:val=&quot;00C636AD&quot;/&gt;&lt;wsp:rsid wsp:val=&quot;00C63C00&quot;/&gt;&lt;wsp:rsid wsp:val=&quot;00C66AE2&quot;/&gt;&lt;wsp:rsid wsp:val=&quot;00C707D9&quot;/&gt;&lt;wsp:rsid wsp:val=&quot;00C70AFB&quot;/&gt;&lt;wsp:rsid wsp:val=&quot;00C758A0&quot;/&gt;&lt;wsp:rsid wsp:val=&quot;00C80A8B&quot;/&gt;&lt;wsp:rsid wsp:val=&quot;00C812E9&quot;/&gt;&lt;wsp:rsid wsp:val=&quot;00C86B16&quot;/&gt;&lt;wsp:rsid wsp:val=&quot;00C8760E&quot;/&gt;&lt;wsp:rsid wsp:val=&quot;00C876F3&quot;/&gt;&lt;wsp:rsid wsp:val=&quot;00C919FA&quot;/&gt;&lt;wsp:rsid wsp:val=&quot;00C9392F&quot;/&gt;&lt;wsp:rsid wsp:val=&quot;00C945E3&quot;/&gt;&lt;wsp:rsid wsp:val=&quot;00C95111&quot;/&gt;&lt;wsp:rsid wsp:val=&quot;00CA0CC0&quot;/&gt;&lt;wsp:rsid wsp:val=&quot;00CA225D&quot;/&gt;&lt;wsp:rsid wsp:val=&quot;00CA2570&quot;/&gt;&lt;wsp:rsid wsp:val=&quot;00CA3C7D&quot;/&gt;&lt;wsp:rsid wsp:val=&quot;00CA4A7A&quot;/&gt;&lt;wsp:rsid wsp:val=&quot;00CA6582&quot;/&gt;&lt;wsp:rsid wsp:val=&quot;00CB02E1&quot;/&gt;&lt;wsp:rsid wsp:val=&quot;00CB0B7F&quot;/&gt;&lt;wsp:rsid wsp:val=&quot;00CB218B&quot;/&gt;&lt;wsp:rsid wsp:val=&quot;00CB7A83&quot;/&gt;&lt;wsp:rsid wsp:val=&quot;00CC1BDF&quot;/&gt;&lt;wsp:rsid wsp:val=&quot;00CC3B2E&quot;/&gt;&lt;wsp:rsid wsp:val=&quot;00CC42DD&quot;/&gt;&lt;wsp:rsid wsp:val=&quot;00CC5B8F&quot;/&gt;&lt;wsp:rsid wsp:val=&quot;00CD1153&quot;/&gt;&lt;wsp:rsid wsp:val=&quot;00CD7F7A&quot;/&gt;&lt;wsp:rsid wsp:val=&quot;00CE0AC5&quot;/&gt;&lt;wsp:rsid wsp:val=&quot;00CE26D2&quot;/&gt;&lt;wsp:rsid wsp:val=&quot;00CE3692&quot;/&gt;&lt;wsp:rsid wsp:val=&quot;00CE528C&quot;/&gt;&lt;wsp:rsid wsp:val=&quot;00CE55D2&quot;/&gt;&lt;wsp:rsid wsp:val=&quot;00CF0DF5&quot;/&gt;&lt;wsp:rsid wsp:val=&quot;00CF2A46&quot;/&gt;&lt;wsp:rsid wsp:val=&quot;00CF6D67&quot;/&gt;&lt;wsp:rsid wsp:val=&quot;00D0138D&quot;/&gt;&lt;wsp:rsid wsp:val=&quot;00D0225C&quot;/&gt;&lt;wsp:rsid wsp:val=&quot;00D04740&quot;/&gt;&lt;wsp:rsid wsp:val=&quot;00D12F51&quot;/&gt;&lt;wsp:rsid wsp:val=&quot;00D15429&quot;/&gt;&lt;wsp:rsid wsp:val=&quot;00D15FAF&quot;/&gt;&lt;wsp:rsid wsp:val=&quot;00D16789&quot;/&gt;&lt;wsp:rsid wsp:val=&quot;00D24ECF&quot;/&gt;&lt;wsp:rsid wsp:val=&quot;00D32800&quot;/&gt;&lt;wsp:rsid wsp:val=&quot;00D35751&quot;/&gt;&lt;wsp:rsid wsp:val=&quot;00D37AF7&quot;/&gt;&lt;wsp:rsid wsp:val=&quot;00D46823&quot;/&gt;&lt;wsp:rsid wsp:val=&quot;00D4786C&quot;/&gt;&lt;wsp:rsid wsp:val=&quot;00D47FAB&quot;/&gt;&lt;wsp:rsid wsp:val=&quot;00D545AE&quot;/&gt;&lt;wsp:rsid wsp:val=&quot;00D567FD&quot;/&gt;&lt;wsp:rsid wsp:val=&quot;00D57367&quot;/&gt;&lt;wsp:rsid wsp:val=&quot;00D579CA&quot;/&gt;&lt;wsp:rsid wsp:val=&quot;00D6056F&quot;/&gt;&lt;wsp:rsid wsp:val=&quot;00D6068F&quot;/&gt;&lt;wsp:rsid wsp:val=&quot;00D64C38&quot;/&gt;&lt;wsp:rsid wsp:val=&quot;00D6781B&quot;/&gt;&lt;wsp:rsid wsp:val=&quot;00D71912&quot;/&gt;&lt;wsp:rsid wsp:val=&quot;00D74165&quot;/&gt;&lt;wsp:rsid wsp:val=&quot;00D76C7F&quot;/&gt;&lt;wsp:rsid wsp:val=&quot;00D77670&quot;/&gt;&lt;wsp:rsid wsp:val=&quot;00D82772&quot;/&gt;&lt;wsp:rsid wsp:val=&quot;00D91D13&quot;/&gt;&lt;wsp:rsid wsp:val=&quot;00D94532&quot;/&gt;&lt;wsp:rsid wsp:val=&quot;00D96A1C&quot;/&gt;&lt;wsp:rsid wsp:val=&quot;00D978A0&quot;/&gt;&lt;wsp:rsid wsp:val=&quot;00DA1F6D&quot;/&gt;&lt;wsp:rsid wsp:val=&quot;00DA4B20&quot;/&gt;&lt;wsp:rsid wsp:val=&quot;00DA753C&quot;/&gt;&lt;wsp:rsid wsp:val=&quot;00DB0343&quot;/&gt;&lt;wsp:rsid wsp:val=&quot;00DB156D&quot;/&gt;&lt;wsp:rsid wsp:val=&quot;00DB1B9A&quot;/&gt;&lt;wsp:rsid wsp:val=&quot;00DC10C5&quot;/&gt;&lt;wsp:rsid wsp:val=&quot;00DC1130&quot;/&gt;&lt;wsp:rsid wsp:val=&quot;00DC3942&quot;/&gt;&lt;wsp:rsid wsp:val=&quot;00DC3BE2&quot;/&gt;&lt;wsp:rsid wsp:val=&quot;00DD110B&quot;/&gt;&lt;wsp:rsid wsp:val=&quot;00DD4E4D&quot;/&gt;&lt;wsp:rsid wsp:val=&quot;00DD5063&quot;/&gt;&lt;wsp:rsid wsp:val=&quot;00DD55AA&quot;/&gt;&lt;wsp:rsid wsp:val=&quot;00DD637C&quot;/&gt;&lt;wsp:rsid wsp:val=&quot;00DD7801&quot;/&gt;&lt;wsp:rsid wsp:val=&quot;00DE0E4C&quot;/&gt;&lt;wsp:rsid wsp:val=&quot;00DE1988&quot;/&gt;&lt;wsp:rsid wsp:val=&quot;00DE439E&quot;/&gt;&lt;wsp:rsid wsp:val=&quot;00DF0929&quot;/&gt;&lt;wsp:rsid wsp:val=&quot;00DF7560&quot;/&gt;&lt;wsp:rsid wsp:val=&quot;00E1496D&quot;/&gt;&lt;wsp:rsid wsp:val=&quot;00E208F1&quot;/&gt;&lt;wsp:rsid wsp:val=&quot;00E209C1&quot;/&gt;&lt;wsp:rsid wsp:val=&quot;00E23255&quot;/&gt;&lt;wsp:rsid wsp:val=&quot;00E235E3&quot;/&gt;&lt;wsp:rsid wsp:val=&quot;00E3004F&quot;/&gt;&lt;wsp:rsid wsp:val=&quot;00E31947&quot;/&gt;&lt;wsp:rsid wsp:val=&quot;00E32D5B&quot;/&gt;&lt;wsp:rsid wsp:val=&quot;00E332E8&quot;/&gt;&lt;wsp:rsid wsp:val=&quot;00E34B64&quot;/&gt;&lt;wsp:rsid wsp:val=&quot;00E37A8F&quot;/&gt;&lt;wsp:rsid wsp:val=&quot;00E40E1A&quot;/&gt;&lt;wsp:rsid wsp:val=&quot;00E42D58&quot;/&gt;&lt;wsp:rsid wsp:val=&quot;00E450CA&quot;/&gt;&lt;wsp:rsid wsp:val=&quot;00E50645&quot;/&gt;&lt;wsp:rsid wsp:val=&quot;00E51E7A&quot;/&gt;&lt;wsp:rsid wsp:val=&quot;00E524D0&quot;/&gt;&lt;wsp:rsid wsp:val=&quot;00E56826&quot;/&gt;&lt;wsp:rsid wsp:val=&quot;00E611A0&quot;/&gt;&lt;wsp:rsid wsp:val=&quot;00E63AAF&quot;/&gt;&lt;wsp:rsid wsp:val=&quot;00E64FC5&quot;/&gt;&lt;wsp:rsid wsp:val=&quot;00E675CC&quot;/&gt;&lt;wsp:rsid wsp:val=&quot;00E71328&quot;/&gt;&lt;wsp:rsid wsp:val=&quot;00E75A14&quot;/&gt;&lt;wsp:rsid wsp:val=&quot;00E76583&quot;/&gt;&lt;wsp:rsid wsp:val=&quot;00E7769E&quot;/&gt;&lt;wsp:rsid wsp:val=&quot;00E8206F&quot;/&gt;&lt;wsp:rsid wsp:val=&quot;00E82332&quot;/&gt;&lt;wsp:rsid wsp:val=&quot;00E841F1&quot;/&gt;&lt;wsp:rsid wsp:val=&quot;00E86800&quot;/&gt;&lt;wsp:rsid wsp:val=&quot;00EA07A6&quot;/&gt;&lt;wsp:rsid wsp:val=&quot;00EA100F&quot;/&gt;&lt;wsp:rsid wsp:val=&quot;00EA2308&quot;/&gt;&lt;wsp:rsid wsp:val=&quot;00EA315E&quot;/&gt;&lt;wsp:rsid wsp:val=&quot;00EA5698&quot;/&gt;&lt;wsp:rsid wsp:val=&quot;00EA7990&quot;/&gt;&lt;wsp:rsid wsp:val=&quot;00EA7E8A&quot;/&gt;&lt;wsp:rsid wsp:val=&quot;00EB24CA&quot;/&gt;&lt;wsp:rsid wsp:val=&quot;00EB37A1&quot;/&gt;&lt;wsp:rsid wsp:val=&quot;00EC111F&quot;/&gt;&lt;wsp:rsid wsp:val=&quot;00EC14C0&quot;/&gt;&lt;wsp:rsid wsp:val=&quot;00EC27BA&quot;/&gt;&lt;wsp:rsid wsp:val=&quot;00EC28CA&quot;/&gt;&lt;wsp:rsid wsp:val=&quot;00EC2984&quot;/&gt;&lt;wsp:rsid wsp:val=&quot;00EC66DE&quot;/&gt;&lt;wsp:rsid wsp:val=&quot;00EC7B40&quot;/&gt;&lt;wsp:rsid wsp:val=&quot;00ED2E01&quot;/&gt;&lt;wsp:rsid wsp:val=&quot;00ED32DD&quot;/&gt;&lt;wsp:rsid wsp:val=&quot;00ED54E3&quot;/&gt;&lt;wsp:rsid wsp:val=&quot;00EE095E&quot;/&gt;&lt;wsp:rsid wsp:val=&quot;00EE3EBB&quot;/&gt;&lt;wsp:rsid wsp:val=&quot;00EE562C&quot;/&gt;&lt;wsp:rsid wsp:val=&quot;00EF079E&quot;/&gt;&lt;wsp:rsid wsp:val=&quot;00EF1AAC&quot;/&gt;&lt;wsp:rsid wsp:val=&quot;00EF2B37&quot;/&gt;&lt;wsp:rsid wsp:val=&quot;00EF3203&quot;/&gt;&lt;wsp:rsid wsp:val=&quot;00EF4981&quot;/&gt;&lt;wsp:rsid wsp:val=&quot;00EF6542&quot;/&gt;&lt;wsp:rsid wsp:val=&quot;00EF6F6E&quot;/&gt;&lt;wsp:rsid wsp:val=&quot;00EF7B3B&quot;/&gt;&lt;wsp:rsid wsp:val=&quot;00F000D6&quot;/&gt;&lt;wsp:rsid wsp:val=&quot;00F06276&quot;/&gt;&lt;wsp:rsid wsp:val=&quot;00F07B8D&quot;/&gt;&lt;wsp:rsid wsp:val=&quot;00F07C18&quot;/&gt;&lt;wsp:rsid wsp:val=&quot;00F11EE9&quot;/&gt;&lt;wsp:rsid wsp:val=&quot;00F133BF&quot;/&gt;&lt;wsp:rsid wsp:val=&quot;00F16BE3&quot;/&gt;&lt;wsp:rsid wsp:val=&quot;00F174A1&quot;/&gt;&lt;wsp:rsid wsp:val=&quot;00F17852&quot;/&gt;&lt;wsp:rsid wsp:val=&quot;00F230BA&quot;/&gt;&lt;wsp:rsid wsp:val=&quot;00F2317B&quot;/&gt;&lt;wsp:rsid wsp:val=&quot;00F23620&quot;/&gt;&lt;wsp:rsid wsp:val=&quot;00F23C81&quot;/&gt;&lt;wsp:rsid wsp:val=&quot;00F25DD4&quot;/&gt;&lt;wsp:rsid wsp:val=&quot;00F26BD4&quot;/&gt;&lt;wsp:rsid wsp:val=&quot;00F30FD9&quot;/&gt;&lt;wsp:rsid wsp:val=&quot;00F31CB3&quot;/&gt;&lt;wsp:rsid wsp:val=&quot;00F3249C&quot;/&gt;&lt;wsp:rsid wsp:val=&quot;00F370CF&quot;/&gt;&lt;wsp:rsid wsp:val=&quot;00F37828&quot;/&gt;&lt;wsp:rsid wsp:val=&quot;00F44ADB&quot;/&gt;&lt;wsp:rsid wsp:val=&quot;00F468F4&quot;/&gt;&lt;wsp:rsid wsp:val=&quot;00F52B54&quot;/&gt;&lt;wsp:rsid wsp:val=&quot;00F54263&quot;/&gt;&lt;wsp:rsid wsp:val=&quot;00F5632D&quot;/&gt;&lt;wsp:rsid wsp:val=&quot;00F6085C&quot;/&gt;&lt;wsp:rsid wsp:val=&quot;00F60CE3&quot;/&gt;&lt;wsp:rsid wsp:val=&quot;00F656E6&quot;/&gt;&lt;wsp:rsid wsp:val=&quot;00F6616F&quot;/&gt;&lt;wsp:rsid wsp:val=&quot;00F724AE&quot;/&gt;&lt;wsp:rsid wsp:val=&quot;00F75372&quot;/&gt;&lt;wsp:rsid wsp:val=&quot;00F7684C&quot;/&gt;&lt;wsp:rsid wsp:val=&quot;00F82E18&quot;/&gt;&lt;wsp:rsid wsp:val=&quot;00F86A1E&quot;/&gt;&lt;wsp:rsid wsp:val=&quot;00F93BE5&quot;/&gt;&lt;wsp:rsid wsp:val=&quot;00F9692E&quot;/&gt;&lt;wsp:rsid wsp:val=&quot;00F975CF&quot;/&gt;&lt;wsp:rsid wsp:val=&quot;00FA1274&quot;/&gt;&lt;wsp:rsid wsp:val=&quot;00FA56C3&quot;/&gt;&lt;wsp:rsid wsp:val=&quot;00FA7F34&quot;/&gt;&lt;wsp:rsid wsp:val=&quot;00FA7FE3&quot;/&gt;&lt;wsp:rsid wsp:val=&quot;00FB131C&quot;/&gt;&lt;wsp:rsid wsp:val=&quot;00FB24F5&quot;/&gt;&lt;wsp:rsid wsp:val=&quot;00FB50F6&quot;/&gt;&lt;wsp:rsid wsp:val=&quot;00FC366E&quot;/&gt;&lt;wsp:rsid wsp:val=&quot;00FC5F97&quot;/&gt;&lt;wsp:rsid wsp:val=&quot;00FD0246&quot;/&gt;&lt;wsp:rsid wsp:val=&quot;00FD1940&quot;/&gt;&lt;wsp:rsid wsp:val=&quot;00FD31A7&quot;/&gt;&lt;wsp:rsid wsp:val=&quot;00FD43E6&quot;/&gt;&lt;wsp:rsid wsp:val=&quot;00FD5E06&quot;/&gt;&lt;wsp:rsid wsp:val=&quot;00FE1FEE&quot;/&gt;&lt;wsp:rsid wsp:val=&quot;00FE6A52&quot;/&gt;&lt;wsp:rsid wsp:val=&quot;00FF1AC8&quot;/&gt;&lt;wsp:rsid wsp:val=&quot;00FF3EA0&quot;/&gt;&lt;/wsp:rsids&gt;&lt;/w:docPr&gt;&lt;w:body&gt;&lt;wx:sect&gt;&lt;w:p wsp:rsidR=&quot;00000000&quot; wsp:rsidRDefault=&quot;00DA4B20&quot; wsp:rsidP=&quot;00DA4B20&quot;&gt;&lt;m:oMathPara&gt;&lt;m:oMath&gt;&lt;m:r&gt;&lt;w:rPr&gt;&lt;w:rFonts w:ascii=&quot;Cambria Math&quot; w:h-ansi=&quot;Cambria Math&quot;/&gt;&lt;wx:font wx:val=&quot;Cambria Math&quot;/&gt;&lt;w:i/&gt;&lt;/w:rPr&gt;&lt;m:t&gt;DMR&lt;/m:t&gt;&lt;/m:r&gt;&lt;m:sSub&gt;&lt;m:sSubPr&gt;&lt;m:ctrlPr&gt;&lt;w:rPr&gt;&lt;w:rFonts w:ascii=&quot;Cambria Math&quot; w:h-ansi=&quot;Cambria Math&quot;/&gt;&lt;wx:font wx:val=&quot;Cambria Math&quot;/&gt;&lt;w:b-cs/&gt;&lt;w:i/&gt;&lt;w:i-cs/&gt;&lt;/w:rPr&gt;&lt;/m:ctrlPr&gt;&lt;/m:sSubPr&gt;&lt;m:e&gt;&lt;m:r&gt;&lt;w:rPr&gt;&lt;w:rFonts w:ascii=&quot;Cambria Math&quot; w:h-ansi=&quot;Cambria Math&quot;/&gt;&lt;wx:font wx:val=&quot;Cambria Math&quot;/&gt;&lt;w:i/&gt;&lt;/w:rPr&gt;&lt;m:t&gt;S&lt;/m:t&gt;&lt;/m:r&gt;&lt;/m:e&gt;&lt;m:sub&gt;&lt;m:r&gt;&lt;w:rPr&gt;&lt;w:rFonts w:ascii=&quot;Cambria Math&quot; w:h-ansi=&quot;Cambria Math&quot;/&gt;&lt;wx:font wx:val=&quot;Cambria Math&quot;/&gt;&lt;w:i/&gt;&lt;/w:rPr&gt;&lt;m:t&gt;id&lt;/m:t&gt;&lt;/m:r&gt;&lt;/m:sub&gt;&lt;/m:sSub&gt;&lt;/m:oMath&gt;&lt;/m:oMathPara&gt;&lt;/w:p&gt;&lt;w:sectPr wsp:rsidR=&quot;00000000&quot;&gt;&lt;w:pgSz w:w=&quot;12240&quot; w:h=&quot;15840&quot;/&gt;&lt;w:pgMar w:top=&quot;1701&quot; w:right=&quot;1440&quot; w:bottom=&quot;1440&quot; w:left=&quot;1440&quot; w:header=&quot;720&quot; w:footer=&quot;720&quot; w:gutter=&quot;0&quot;/&gt;&lt;w:cols w:space=&quot;720&quot;/&gt;&lt;/w:sectPr&gt;&lt;/wx:sect&gt;&lt;/w:body&gt;&lt;/w:wordDocument&gt;">
                  <v:path/>
                  <v:fill on="f" focussize="0,0"/>
                  <v:stroke on="f"/>
                  <v:imagedata r:id="rId11" chromakey="#FFFFFF" o:title=""/>
                  <o:lock v:ext="edit" aspectratio="t"/>
                  <w10:wrap type="none"/>
                  <w10:anchorlock/>
                </v:shape>
              </w:pict>
            </w:r>
            <w:r>
              <w:rPr>
                <w:bCs/>
                <w:iCs/>
              </w:rPr>
              <w:fldChar w:fldCharType="end"/>
            </w:r>
            <w:r>
              <w:rPr>
                <w:bCs/>
                <w:iCs/>
              </w:rPr>
              <w:t xml:space="preserve"> is </w:t>
            </w:r>
            <w:r>
              <w:t>determined first in an ascending order of a DMRS port index and second in an ascending order of a DMRS sequence index [4, TS 38.211]</w:t>
            </w:r>
          </w:p>
          <w:p>
            <w:pPr>
              <w:pStyle w:val="74"/>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pPr>
              <w:overflowPunct w:val="0"/>
              <w:spacing w:before="120"/>
              <w:jc w:val="center"/>
              <w:textAlignment w:val="baseline"/>
              <w:rPr>
                <w:rFonts w:eastAsia="宋体"/>
                <w:lang w:eastAsia="zh-CN"/>
              </w:rPr>
            </w:pPr>
            <w:r>
              <w:rPr>
                <w:rFonts w:hint="eastAsia"/>
                <w:color w:val="C00000"/>
              </w:rPr>
              <w:t>&lt; End of text proposal&gt;</w:t>
            </w:r>
          </w:p>
        </w:tc>
      </w:tr>
    </w:tbl>
    <w:p>
      <w:pPr>
        <w:rPr>
          <w:rFonts w:hint="default"/>
          <w:lang w:val="en-US" w:eastAsia="zh-CN"/>
        </w:rPr>
      </w:pPr>
    </w:p>
    <w:p>
      <w:pPr>
        <w:rPr>
          <w:rFonts w:hint="default" w:eastAsia="宋体"/>
          <w:lang w:val="en-US" w:eastAsia="zh-CN"/>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 xml:space="preserve">Outgoing </w:t>
      </w:r>
      <w:r>
        <w:rPr>
          <w:rFonts w:ascii="Arial" w:hAnsi="Arial" w:eastAsia="Times New Roman"/>
          <w:sz w:val="36"/>
          <w:szCs w:val="20"/>
        </w:rPr>
        <w:t>LS</w:t>
      </w:r>
    </w:p>
    <w:p>
      <w:r>
        <w:t>RAN1#10</w:t>
      </w:r>
      <w:r>
        <w:rPr>
          <w:rFonts w:hint="eastAsia" w:eastAsia="宋体"/>
          <w:lang w:val="en-US" w:eastAsia="zh-CN"/>
        </w:rPr>
        <w:t>4</w:t>
      </w:r>
      <w:r>
        <w:t>e:</w:t>
      </w:r>
    </w:p>
    <w:p/>
    <w:p>
      <w:pPr>
        <w:rPr>
          <w:rFonts w:hint="default"/>
          <w:lang w:val="en-US" w:eastAsia="zh-CN"/>
        </w:rPr>
      </w:pPr>
      <w:r>
        <w:rPr>
          <w:rFonts w:hint="eastAsia"/>
          <w:lang w:val="en-US" w:eastAsia="zh-CN"/>
        </w:rPr>
        <w:fldChar w:fldCharType="begin"/>
      </w:r>
      <w:r>
        <w:rPr>
          <w:rFonts w:hint="eastAsia"/>
          <w:lang w:val="en-US" w:eastAsia="zh-CN"/>
        </w:rPr>
        <w:instrText xml:space="preserve"> HYPERLINK "https://www.3gpp.org/ftp/tsg_ran/WG1_RL1/TSGR1_104-e/Docs/R1-2102125.zip" </w:instrText>
      </w:r>
      <w:r>
        <w:rPr>
          <w:rFonts w:hint="eastAsia"/>
          <w:lang w:val="en-US" w:eastAsia="zh-CN"/>
        </w:rPr>
        <w:fldChar w:fldCharType="separate"/>
      </w:r>
      <w:r>
        <w:rPr>
          <w:rStyle w:val="45"/>
          <w:rFonts w:hint="eastAsia"/>
          <w:lang w:val="en-US" w:eastAsia="zh-CN"/>
        </w:rPr>
        <w:t>R1-2102125</w:t>
      </w:r>
      <w:r>
        <w:rPr>
          <w:rFonts w:hint="eastAsia"/>
          <w:lang w:val="en-US" w:eastAsia="zh-CN"/>
        </w:rPr>
        <w:fldChar w:fldCharType="end"/>
      </w:r>
      <w:r>
        <w:rPr>
          <w:rFonts w:hint="eastAsia"/>
          <w:lang w:val="en-US" w:eastAsia="zh-CN"/>
        </w:rPr>
        <w:t xml:space="preserve">   </w:t>
      </w:r>
      <w:r>
        <w:rPr>
          <w:lang w:eastAsia="zh-CN"/>
        </w:rPr>
        <w:t>Reply LS on physical layer aspects of small data transmission</w:t>
      </w:r>
      <w:r>
        <w:rPr>
          <w:rFonts w:hint="eastAsia"/>
          <w:lang w:val="en-US" w:eastAsia="zh-CN"/>
        </w:rPr>
        <w:t xml:space="preserve">   </w:t>
      </w:r>
      <w:r>
        <w:rPr>
          <w:lang w:eastAsia="zh-CN"/>
        </w:rPr>
        <w:t>RAN</w:t>
      </w:r>
      <w:r>
        <w:rPr>
          <w:rFonts w:hint="eastAsia"/>
          <w:lang w:val="en-US" w:eastAsia="zh-CN"/>
        </w:rPr>
        <w:t>1</w:t>
      </w:r>
      <w:r>
        <w:rPr>
          <w:lang w:eastAsia="zh-CN"/>
        </w:rPr>
        <w:t xml:space="preserve">, </w:t>
      </w:r>
      <w:r>
        <w:rPr>
          <w:rFonts w:hint="eastAsia"/>
          <w:lang w:val="en-US" w:eastAsia="zh-CN"/>
        </w:rPr>
        <w:t>ZTE</w:t>
      </w:r>
    </w:p>
    <w:p/>
    <w:p>
      <w:pPr>
        <w:rPr>
          <w:rFonts w:hint="default" w:eastAsia="宋体"/>
          <w:lang w:val="en-US" w:eastAsia="zh-CN"/>
        </w:rPr>
      </w:pPr>
      <w:r>
        <w:rPr>
          <w:rFonts w:hint="eastAsia" w:eastAsia="宋体"/>
          <w:lang w:val="en-US" w:eastAsia="zh-CN"/>
        </w:rPr>
        <w:t>RAN1#104bis-e: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"https://www.3gpp.org/ftp/tsg_ran/WG1_RL1/TSGR1_104b-e/Docs/R1-2104012.zip" </w:instrText>
      </w:r>
      <w:r>
        <w:rPr>
          <w:rFonts w:hint="default" w:eastAsia="宋体"/>
          <w:lang w:val="en-US" w:eastAsia="zh-CN"/>
        </w:rPr>
        <w:fldChar w:fldCharType="separate"/>
      </w:r>
      <w:r>
        <w:rPr>
          <w:rStyle w:val="45"/>
          <w:rFonts w:hint="default" w:eastAsia="宋体"/>
          <w:lang w:val="en-US" w:eastAsia="zh-CN"/>
        </w:rPr>
        <w:t>R1-2104012</w:t>
      </w:r>
      <w:r>
        <w:rPr>
          <w:rFonts w:hint="default" w:eastAsia="宋体"/>
          <w:lang w:val="en-US" w:eastAsia="zh-CN"/>
        </w:rPr>
        <w:fldChar w:fldCharType="end"/>
      </w:r>
      <w:r>
        <w:rPr>
          <w:rFonts w:hint="eastAsia" w:eastAsia="宋体"/>
          <w:lang w:val="en-US" w:eastAsia="zh-CN"/>
        </w:rPr>
        <w:t xml:space="preserve">   Reply LS on </w:t>
      </w:r>
      <w:bookmarkStart w:id="5" w:name="_Hlk67924397"/>
      <w:r>
        <w:rPr>
          <w:rFonts w:hint="eastAsia" w:eastAsia="宋体"/>
          <w:lang w:val="en-US" w:eastAsia="zh-CN"/>
        </w:rPr>
        <w:t>uplink timing alignment for small data transmissions</w:t>
      </w:r>
      <w:bookmarkEnd w:id="5"/>
      <w:r>
        <w:rPr>
          <w:rFonts w:hint="eastAsia" w:eastAsia="宋体"/>
          <w:lang w:val="en-US" w:eastAsia="zh-CN"/>
        </w:rPr>
        <w:t xml:space="preserve">   RAN1, Lenovo</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RAN1#105e:</w:t>
      </w:r>
    </w:p>
    <w:p>
      <w:pPr>
        <w:rPr>
          <w:rFonts w:hint="default"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"https://www.3gpp.org/ftp/tsg_ran/WG1_RL1/TSGR1_105-e/Docs/R1-2106309.zip" </w:instrText>
      </w:r>
      <w:r>
        <w:rPr>
          <w:rFonts w:hint="default" w:eastAsia="宋体"/>
          <w:lang w:val="en-US" w:eastAsia="zh-CN"/>
        </w:rPr>
        <w:fldChar w:fldCharType="separate"/>
      </w:r>
      <w:r>
        <w:rPr>
          <w:rStyle w:val="45"/>
          <w:rFonts w:hint="default" w:eastAsia="宋体"/>
          <w:lang w:val="en-US" w:eastAsia="zh-CN"/>
        </w:rPr>
        <w:t>R1-2106309</w:t>
      </w:r>
      <w:r>
        <w:rPr>
          <w:rFonts w:hint="default" w:eastAsia="宋体"/>
          <w:lang w:val="en-US" w:eastAsia="zh-CN"/>
        </w:rPr>
        <w:fldChar w:fldCharType="end"/>
      </w:r>
      <w:r>
        <w:rPr>
          <w:rFonts w:hint="eastAsia" w:eastAsia="宋体"/>
          <w:lang w:val="en-US" w:eastAsia="zh-CN"/>
        </w:rPr>
        <w:t xml:space="preserve">   LS on Beam correspondence with Small Data Transmission in Inactive State   RAN1, Nokia</w:t>
      </w:r>
    </w:p>
    <w:p>
      <w:pPr>
        <w:rPr>
          <w:rFonts w:hint="default" w:eastAsia="宋体"/>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"https://www.3gpp.org/ftp/tsg_ran/WG1_RL1/TSGR1_105-e/Docs/R1-2106335.zip" </w:instrText>
      </w:r>
      <w:r>
        <w:rPr>
          <w:rFonts w:hint="default" w:eastAsia="宋体"/>
          <w:lang w:val="en-US" w:eastAsia="zh-CN"/>
        </w:rPr>
        <w:fldChar w:fldCharType="separate"/>
      </w:r>
      <w:r>
        <w:rPr>
          <w:rStyle w:val="45"/>
          <w:rFonts w:hint="default" w:eastAsia="宋体"/>
          <w:lang w:val="en-US" w:eastAsia="zh-CN"/>
        </w:rPr>
        <w:t>R1-2106335</w:t>
      </w:r>
      <w:r>
        <w:rPr>
          <w:rFonts w:hint="default" w:eastAsia="宋体"/>
          <w:lang w:val="en-US" w:eastAsia="zh-CN"/>
        </w:rPr>
        <w:fldChar w:fldCharType="end"/>
      </w:r>
      <w:r>
        <w:rPr>
          <w:rFonts w:hint="eastAsia" w:eastAsia="宋体"/>
          <w:lang w:val="en-US" w:eastAsia="zh-CN"/>
        </w:rPr>
        <w:t xml:space="preserve">   LS on the physical layer aspects of small data transmission   RAN1, ZTE</w:t>
      </w:r>
    </w:p>
    <w:p>
      <w:pPr>
        <w:rPr>
          <w:rFonts w:hint="default" w:eastAsia="宋体"/>
          <w:lang w:val="en-US" w:eastAsia="zh-CN"/>
        </w:rPr>
      </w:pPr>
    </w:p>
    <w:p>
      <w:pPr>
        <w:rPr>
          <w:rFonts w:hint="eastAsia" w:eastAsia="宋体"/>
          <w:lang w:val="en-US" w:eastAsia="zh-CN"/>
        </w:rPr>
      </w:pPr>
      <w:r>
        <w:rPr>
          <w:rFonts w:hint="eastAsia" w:eastAsia="宋体"/>
          <w:lang w:val="en-US" w:eastAsia="zh-CN"/>
        </w:rPr>
        <w:t>RAN1#106e: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"https://www.3gpp.org/ftp/tsg_ran/WG1_RL1/TSGR1_106-e/Docs/R1-2108649.zip" </w:instrText>
      </w:r>
      <w:r>
        <w:rPr>
          <w:rFonts w:hint="default" w:eastAsia="宋体"/>
          <w:lang w:val="en-US" w:eastAsia="zh-CN"/>
        </w:rPr>
        <w:fldChar w:fldCharType="separate"/>
      </w:r>
      <w:r>
        <w:rPr>
          <w:rStyle w:val="45"/>
          <w:rFonts w:hint="default" w:eastAsia="宋体"/>
          <w:lang w:val="en-US" w:eastAsia="zh-CN"/>
        </w:rPr>
        <w:t>R1-2108649</w:t>
      </w:r>
      <w:r>
        <w:rPr>
          <w:rFonts w:hint="default" w:eastAsia="宋体"/>
          <w:lang w:val="en-US" w:eastAsia="zh-CN"/>
        </w:rPr>
        <w:fldChar w:fldCharType="end"/>
      </w:r>
      <w:r>
        <w:rPr>
          <w:rFonts w:hint="eastAsia" w:eastAsia="宋体"/>
          <w:lang w:val="en-US" w:eastAsia="zh-CN"/>
        </w:rPr>
        <w:t xml:space="preserve">   LS on the TA validation and mapping details for CG-SDT   RAN1, ZTE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"https://www.3gpp.org/ftp/tsg_ran/WG1_RL1/TSGR1_106-e/Docs/R1-2108533.zip" </w:instrText>
      </w:r>
      <w:r>
        <w:rPr>
          <w:rFonts w:hint="default" w:eastAsia="宋体"/>
          <w:lang w:val="en-US" w:eastAsia="zh-CN"/>
        </w:rPr>
        <w:fldChar w:fldCharType="separate"/>
      </w:r>
      <w:r>
        <w:rPr>
          <w:rStyle w:val="45"/>
          <w:rFonts w:hint="default" w:eastAsia="宋体"/>
          <w:lang w:val="en-US" w:eastAsia="zh-CN"/>
        </w:rPr>
        <w:t>R1-2108533</w:t>
      </w:r>
      <w:r>
        <w:rPr>
          <w:rFonts w:hint="default" w:eastAsia="宋体"/>
          <w:lang w:val="en-US" w:eastAsia="zh-CN"/>
        </w:rPr>
        <w:fldChar w:fldCharType="end"/>
      </w:r>
      <w:r>
        <w:rPr>
          <w:rFonts w:hint="eastAsia" w:eastAsia="宋体"/>
          <w:lang w:val="en-US" w:eastAsia="zh-CN"/>
        </w:rPr>
        <w:t xml:space="preserve">   Reply LS on on physical layer aspects of small data transmission   RAN1, vivo</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RAN1#106bis-e: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"https://www.3gpp.org/ftp/tsg_ran/WG1_RL1/TSGR1_106b-e/Docs/R1-2110661.zip" </w:instrText>
      </w:r>
      <w:r>
        <w:rPr>
          <w:rFonts w:hint="default" w:eastAsia="宋体"/>
          <w:lang w:val="en-US" w:eastAsia="zh-CN"/>
        </w:rPr>
        <w:fldChar w:fldCharType="separate"/>
      </w:r>
      <w:r>
        <w:rPr>
          <w:rStyle w:val="45"/>
          <w:rFonts w:hint="default" w:eastAsia="宋体"/>
          <w:lang w:val="en-US" w:eastAsia="zh-CN"/>
        </w:rPr>
        <w:t>R1-2110661</w:t>
      </w:r>
      <w:r>
        <w:rPr>
          <w:rFonts w:hint="default" w:eastAsia="宋体"/>
          <w:lang w:val="en-US" w:eastAsia="zh-CN"/>
        </w:rPr>
        <w:fldChar w:fldCharType="end"/>
      </w:r>
      <w:r>
        <w:rPr>
          <w:rFonts w:hint="eastAsia" w:eastAsia="宋体"/>
          <w:lang w:val="en-US" w:eastAsia="zh-CN"/>
        </w:rPr>
        <w:t xml:space="preserve">   Reply LS on the physical layer aspects of small data transmission   RAN1, ZTE</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RAN1#107-e:</w:t>
      </w:r>
    </w:p>
    <w:p>
      <w:pPr>
        <w:rPr>
          <w:rFonts w:hint="eastAsia" w:eastAsia="宋体"/>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"https://www.3gpp.org/ftp/tsg_ran/WG1_RL1/TSGR1_107-e/Inbox/R1-2112782.zip" </w:instrText>
      </w:r>
      <w:r>
        <w:rPr>
          <w:rFonts w:hint="default" w:eastAsia="宋体"/>
          <w:lang w:val="en-US" w:eastAsia="zh-CN"/>
        </w:rPr>
        <w:fldChar w:fldCharType="separate"/>
      </w:r>
      <w:r>
        <w:rPr>
          <w:rStyle w:val="45"/>
          <w:rFonts w:hint="default" w:eastAsia="宋体"/>
          <w:lang w:val="en-US" w:eastAsia="zh-CN"/>
        </w:rPr>
        <w:t>R1-2112782</w:t>
      </w:r>
      <w:r>
        <w:rPr>
          <w:rFonts w:hint="default" w:eastAsia="宋体"/>
          <w:lang w:val="en-US" w:eastAsia="zh-CN"/>
        </w:rPr>
        <w:fldChar w:fldCharType="end"/>
      </w:r>
      <w:r>
        <w:rPr>
          <w:rFonts w:hint="default" w:eastAsia="宋体"/>
          <w:lang w:val="en-US" w:eastAsia="zh-CN"/>
        </w:rPr>
        <w:tab/>
      </w:r>
      <w:r>
        <w:rPr>
          <w:rFonts w:hint="default" w:eastAsia="宋体"/>
          <w:lang w:val="en-US" w:eastAsia="zh-CN"/>
        </w:rPr>
        <w:t xml:space="preserve">Reply LS on the physical layer aspects of small data transmission </w:t>
      </w:r>
      <w:r>
        <w:rPr>
          <w:rFonts w:hint="default" w:eastAsia="宋体"/>
          <w:lang w:val="en-US" w:eastAsia="zh-CN"/>
        </w:rPr>
        <w:tab/>
      </w:r>
      <w:r>
        <w:rPr>
          <w:rFonts w:hint="eastAsia" w:eastAsia="宋体"/>
          <w:lang w:val="en-US" w:eastAsia="zh-CN"/>
        </w:rPr>
        <w:t>RAN1, ZTE</w:t>
      </w:r>
    </w:p>
    <w:p>
      <w:pPr>
        <w:rPr>
          <w:rFonts w:hint="default" w:eastAsia="宋体"/>
          <w:lang w:val="en-US" w:eastAsia="zh-CN"/>
        </w:rPr>
      </w:pPr>
    </w:p>
    <w:p>
      <w:pPr>
        <w:rPr>
          <w:rFonts w:hint="eastAsia" w:eastAsia="宋体"/>
          <w:lang w:val="en-US" w:eastAsia="zh-CN"/>
        </w:rPr>
      </w:pPr>
      <w:r>
        <w:rPr>
          <w:rFonts w:hint="eastAsia" w:eastAsia="宋体"/>
          <w:lang w:val="en-US" w:eastAsia="zh-CN"/>
        </w:rPr>
        <w:t>RAN1#108-e</w:t>
      </w:r>
    </w:p>
    <w:p>
      <w:pPr>
        <w:rPr>
          <w:rFonts w:hint="eastAsia" w:eastAsia="宋体"/>
          <w:lang w:val="en-US" w:eastAsia="zh-CN"/>
        </w:rPr>
      </w:pPr>
    </w:p>
    <w:p>
      <w:pPr>
        <w:rPr>
          <w:rFonts w:cs="Times"/>
          <w:szCs w:val="20"/>
        </w:rPr>
      </w:pPr>
      <w:r>
        <w:rPr>
          <w:rFonts w:cs="Times"/>
          <w:szCs w:val="20"/>
        </w:rPr>
        <w:fldChar w:fldCharType="begin"/>
      </w:r>
      <w:r>
        <w:rPr>
          <w:rFonts w:cs="Times"/>
          <w:szCs w:val="20"/>
        </w:rPr>
        <w:instrText xml:space="preserve"> HYPERLINK "https://www.3gpp.org/ftp/tsg_ran/WG1_RL1/TSGR1_108-e/Inbox/R1-2202656.zip" </w:instrText>
      </w:r>
      <w:r>
        <w:rPr>
          <w:rFonts w:cs="Times"/>
          <w:szCs w:val="20"/>
        </w:rPr>
        <w:fldChar w:fldCharType="separate"/>
      </w:r>
      <w:r>
        <w:rPr>
          <w:rStyle w:val="45"/>
          <w:rFonts w:cs="Times"/>
          <w:szCs w:val="20"/>
        </w:rPr>
        <w:t>R1-2202656</w:t>
      </w:r>
      <w:r>
        <w:rPr>
          <w:rFonts w:cs="Times"/>
          <w:szCs w:val="20"/>
        </w:rPr>
        <w:fldChar w:fldCharType="end"/>
      </w:r>
      <w:r>
        <w:rPr>
          <w:rFonts w:cs="Times"/>
          <w:szCs w:val="20"/>
        </w:rPr>
        <w:tab/>
      </w:r>
      <w:r>
        <w:rPr>
          <w:rFonts w:cs="Times"/>
          <w:szCs w:val="20"/>
        </w:rPr>
        <w:t>Reply LS on the phy</w:t>
      </w:r>
      <w:bookmarkStart w:id="11" w:name="_GoBack"/>
      <w:bookmarkEnd w:id="11"/>
      <w:r>
        <w:rPr>
          <w:rFonts w:cs="Times"/>
          <w:szCs w:val="20"/>
        </w:rPr>
        <w:t>sical layer aspects of small data transmission</w:t>
      </w:r>
      <w:r>
        <w:rPr>
          <w:rFonts w:cs="Times"/>
          <w:szCs w:val="20"/>
        </w:rPr>
        <w:tab/>
      </w:r>
      <w:r>
        <w:rPr>
          <w:rFonts w:cs="Times"/>
          <w:szCs w:val="20"/>
        </w:rPr>
        <w:t>RAN1, ZTE</w:t>
      </w:r>
    </w:p>
    <w:p>
      <w:pPr>
        <w:rPr>
          <w:rFonts w:hint="default" w:eastAsia="宋体"/>
          <w:lang w:val="en-US" w:eastAsia="zh-CN"/>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Incoming LS</w:t>
      </w:r>
    </w:p>
    <w:p>
      <w:r>
        <w:t>RAN1#10</w:t>
      </w:r>
      <w:r>
        <w:rPr>
          <w:rFonts w:hint="eastAsia" w:eastAsia="宋体"/>
          <w:lang w:val="en-US" w:eastAsia="zh-CN"/>
        </w:rPr>
        <w:t>4</w:t>
      </w:r>
      <w:r>
        <w:t>e:</w:t>
      </w:r>
    </w:p>
    <w:p/>
    <w:p>
      <w:pPr>
        <w:rPr>
          <w:rFonts w:hint="eastAsia"/>
          <w:lang w:val="en-US" w:eastAsia="zh-CN"/>
        </w:rPr>
      </w:pPr>
      <w:r>
        <w:rPr>
          <w:rFonts w:hint="eastAsia"/>
          <w:lang w:val="en-US" w:eastAsia="zh-CN"/>
        </w:rPr>
        <w:fldChar w:fldCharType="begin"/>
      </w:r>
      <w:r>
        <w:rPr>
          <w:rFonts w:hint="eastAsia"/>
          <w:lang w:val="en-US" w:eastAsia="zh-CN"/>
        </w:rPr>
        <w:instrText xml:space="preserve"> HYPERLINK "https://www.3gpp.org/ftp/tsg_ran/WG1_RL1/TSGR1_104-e/Docs/R1-2100025.zip" </w:instrText>
      </w:r>
      <w:r>
        <w:rPr>
          <w:rFonts w:hint="eastAsia"/>
          <w:lang w:val="en-US" w:eastAsia="zh-CN"/>
        </w:rPr>
        <w:fldChar w:fldCharType="separate"/>
      </w:r>
      <w:r>
        <w:rPr>
          <w:rStyle w:val="43"/>
          <w:rFonts w:hint="eastAsia"/>
          <w:lang w:val="en-US" w:eastAsia="zh-CN"/>
        </w:rPr>
        <w:t>R1-2100025</w:t>
      </w:r>
      <w:r>
        <w:rPr>
          <w:rFonts w:hint="eastAsia"/>
          <w:lang w:val="en-US" w:eastAsia="zh-CN"/>
        </w:rPr>
        <w:fldChar w:fldCharType="end"/>
      </w:r>
      <w:r>
        <w:rPr>
          <w:rFonts w:hint="eastAsia"/>
          <w:lang w:val="en-US" w:eastAsia="zh-CN"/>
        </w:rPr>
        <w:t xml:space="preserve">   LS on physical layer aspects of small data transmission RAN2, ZTE</w:t>
      </w:r>
    </w:p>
    <w:p>
      <w:pPr>
        <w:rPr>
          <w:rFonts w:hint="eastAsia"/>
          <w:lang w:val="en-US" w:eastAsia="zh-CN"/>
        </w:rPr>
      </w:pPr>
    </w:p>
    <w:p>
      <w:pPr>
        <w:rPr>
          <w:rFonts w:hint="eastAsia"/>
          <w:lang w:val="en-US" w:eastAsia="zh-CN"/>
        </w:rPr>
      </w:pPr>
      <w:r>
        <w:rPr>
          <w:rFonts w:hint="eastAsia"/>
          <w:lang w:val="en-US" w:eastAsia="zh-CN"/>
        </w:rPr>
        <w:t>RAN1#104bis-e:</w:t>
      </w:r>
    </w:p>
    <w:p>
      <w:pPr>
        <w:rPr>
          <w:rFonts w:hint="eastAsia"/>
          <w:lang w:val="en-US" w:eastAsia="zh-CN"/>
        </w:rPr>
      </w:pPr>
    </w:p>
    <w:p>
      <w:pPr>
        <w:rPr>
          <w:rFonts w:hint="default"/>
          <w:lang w:val="en-US" w:eastAsia="zh-CN"/>
        </w:rPr>
      </w:pPr>
      <w:r>
        <w:rPr>
          <w:rFonts w:hint="default"/>
          <w:lang w:val="en-US" w:eastAsia="zh-CN"/>
        </w:rPr>
        <w:fldChar w:fldCharType="begin"/>
      </w:r>
      <w:r>
        <w:rPr>
          <w:rFonts w:hint="default"/>
          <w:lang w:val="en-US" w:eastAsia="zh-CN"/>
        </w:rPr>
        <w:instrText xml:space="preserve"> HYPERLINK "https://www.3gpp.org/ftp/tsg_ran/WG1_RL1/TSGR1_104b-e/Docs/R1-2102286.zip" </w:instrText>
      </w:r>
      <w:r>
        <w:rPr>
          <w:rFonts w:hint="default"/>
          <w:lang w:val="en-US" w:eastAsia="zh-CN"/>
        </w:rPr>
        <w:fldChar w:fldCharType="separate"/>
      </w:r>
      <w:r>
        <w:rPr>
          <w:rStyle w:val="45"/>
          <w:rFonts w:hint="default"/>
          <w:lang w:val="en-US" w:eastAsia="zh-CN"/>
        </w:rPr>
        <w:t>R1-2102286</w:t>
      </w:r>
      <w:r>
        <w:rPr>
          <w:rFonts w:hint="default"/>
          <w:lang w:val="en-US" w:eastAsia="zh-CN"/>
        </w:rPr>
        <w:fldChar w:fldCharType="end"/>
      </w:r>
      <w:r>
        <w:rPr>
          <w:rFonts w:hint="eastAsia"/>
          <w:lang w:val="en-US" w:eastAsia="zh-CN"/>
        </w:rPr>
        <w:t xml:space="preserve">   LS on uplink timing alignment for small data transmissions   RAN2, Lenovo</w:t>
      </w:r>
    </w:p>
    <w:p>
      <w:pPr>
        <w:rPr>
          <w:rFonts w:hint="default"/>
          <w:lang w:val="en-US" w:eastAsia="zh-CN"/>
        </w:rPr>
      </w:pPr>
    </w:p>
    <w:p>
      <w:pPr>
        <w:rPr>
          <w:rFonts w:hint="eastAsia"/>
          <w:lang w:val="en-US" w:eastAsia="zh-CN"/>
        </w:rPr>
      </w:pPr>
      <w:r>
        <w:rPr>
          <w:rFonts w:hint="eastAsia"/>
          <w:lang w:val="en-US" w:eastAsia="zh-CN"/>
        </w:rPr>
        <w:t>RAN1#106e:</w:t>
      </w:r>
    </w:p>
    <w:p>
      <w:pPr>
        <w:rPr>
          <w:rFonts w:hint="eastAsia"/>
          <w:lang w:val="en-US" w:eastAsia="zh-CN"/>
        </w:rPr>
      </w:pPr>
    </w:p>
    <w:p>
      <w:pPr>
        <w:rPr>
          <w:rFonts w:hint="eastAsia"/>
          <w:lang w:val="en-US" w:eastAsia="zh-CN"/>
        </w:rPr>
      </w:pPr>
      <w:r>
        <w:rPr>
          <w:rFonts w:hint="default"/>
          <w:lang w:val="en-US" w:eastAsia="zh-CN"/>
        </w:rPr>
        <w:fldChar w:fldCharType="begin"/>
      </w:r>
      <w:r>
        <w:rPr>
          <w:rFonts w:hint="default"/>
          <w:lang w:val="en-US" w:eastAsia="zh-CN"/>
        </w:rPr>
        <w:instrText xml:space="preserve"> HYPERLINK "https://www.3gpp.org/ftp/tsg_ran/WG1_RL1/TSGR1_106-e/Docs/R1-2106405.zip" </w:instrText>
      </w:r>
      <w:r>
        <w:rPr>
          <w:rFonts w:hint="default"/>
          <w:lang w:val="en-US" w:eastAsia="zh-CN"/>
        </w:rPr>
        <w:fldChar w:fldCharType="separate"/>
      </w:r>
      <w:r>
        <w:rPr>
          <w:rStyle w:val="45"/>
          <w:rFonts w:hint="default"/>
          <w:lang w:val="en-US" w:eastAsia="zh-CN"/>
        </w:rPr>
        <w:t>R1-2106405</w:t>
      </w:r>
      <w:r>
        <w:rPr>
          <w:rFonts w:hint="default"/>
          <w:lang w:val="en-US" w:eastAsia="zh-CN"/>
        </w:rPr>
        <w:fldChar w:fldCharType="end"/>
      </w:r>
      <w:r>
        <w:rPr>
          <w:rFonts w:hint="eastAsia"/>
          <w:lang w:val="en-US" w:eastAsia="zh-CN"/>
        </w:rPr>
        <w:t xml:space="preserve">   Reply LS to RAN1 on physical layer aspects of small data transmission   RAN2, vivo</w:t>
      </w:r>
    </w:p>
    <w:p>
      <w:pPr>
        <w:rPr>
          <w:rFonts w:hint="eastAsia"/>
          <w:lang w:val="en-US" w:eastAsia="zh-CN"/>
        </w:rPr>
      </w:pPr>
    </w:p>
    <w:p>
      <w:pPr>
        <w:rPr>
          <w:rFonts w:hint="eastAsia"/>
          <w:lang w:val="en-US" w:eastAsia="zh-CN"/>
        </w:rPr>
      </w:pPr>
      <w:r>
        <w:rPr>
          <w:rFonts w:hint="eastAsia"/>
          <w:lang w:val="en-US" w:eastAsia="zh-CN"/>
        </w:rPr>
        <w:t>RAN1#106bis-e:</w:t>
      </w:r>
    </w:p>
    <w:p>
      <w:pPr>
        <w:rPr>
          <w:rFonts w:hint="eastAsia"/>
          <w:lang w:val="en-US" w:eastAsia="zh-CN"/>
        </w:rPr>
      </w:pPr>
    </w:p>
    <w:p>
      <w:pPr>
        <w:rPr>
          <w:rFonts w:hint="eastAsia"/>
          <w:lang w:val="en-US" w:eastAsia="zh-CN"/>
        </w:rPr>
      </w:pPr>
      <w:r>
        <w:rPr>
          <w:rFonts w:hint="default"/>
          <w:lang w:val="en-US" w:eastAsia="zh-CN"/>
        </w:rPr>
        <w:fldChar w:fldCharType="begin"/>
      </w:r>
      <w:r>
        <w:rPr>
          <w:rFonts w:hint="default"/>
          <w:lang w:val="en-US" w:eastAsia="zh-CN"/>
        </w:rPr>
        <w:instrText xml:space="preserve"> HYPERLINK "https://www.3gpp.org/ftp/tsg_ran/WG1_RL1/TSGR1_106b-e/Docs/R1-2108715.zip" </w:instrText>
      </w:r>
      <w:r>
        <w:rPr>
          <w:rFonts w:hint="default"/>
          <w:lang w:val="en-US" w:eastAsia="zh-CN"/>
        </w:rPr>
        <w:fldChar w:fldCharType="separate"/>
      </w:r>
      <w:r>
        <w:rPr>
          <w:rStyle w:val="45"/>
          <w:rFonts w:hint="default"/>
          <w:lang w:val="en-US" w:eastAsia="zh-CN"/>
        </w:rPr>
        <w:t>R1-2108715</w:t>
      </w:r>
      <w:r>
        <w:rPr>
          <w:rFonts w:hint="default"/>
          <w:lang w:val="en-US" w:eastAsia="zh-CN"/>
        </w:rPr>
        <w:fldChar w:fldCharType="end"/>
      </w:r>
      <w:r>
        <w:rPr>
          <w:rFonts w:hint="eastAsia"/>
          <w:lang w:val="en-US" w:eastAsia="zh-CN"/>
        </w:rPr>
        <w:t xml:space="preserve">   LS on agreements related to SDT   RAN2, ZTE</w:t>
      </w:r>
    </w:p>
    <w:p>
      <w:pPr>
        <w:rPr>
          <w:rFonts w:hint="eastAsia"/>
          <w:lang w:val="en-US" w:eastAsia="zh-CN"/>
        </w:rPr>
      </w:pPr>
    </w:p>
    <w:p>
      <w:pPr>
        <w:rPr>
          <w:rFonts w:hint="eastAsia"/>
          <w:lang w:val="en-US" w:eastAsia="zh-CN"/>
        </w:rPr>
      </w:pPr>
      <w:r>
        <w:rPr>
          <w:rFonts w:hint="eastAsia"/>
          <w:lang w:val="en-US" w:eastAsia="zh-CN"/>
        </w:rPr>
        <w:t>RAN1#107-e:</w:t>
      </w:r>
    </w:p>
    <w:p>
      <w:pPr>
        <w:rPr>
          <w:rFonts w:hint="eastAsia"/>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"https://www.3gpp.org/ftp/tsg_ran/WG1_RL1/TSGR1_107-e/Inbox/R1-2112630.zip" </w:instrText>
      </w:r>
      <w:r>
        <w:rPr>
          <w:rFonts w:hint="default" w:eastAsia="宋体"/>
          <w:lang w:val="en-US" w:eastAsia="zh-CN"/>
        </w:rPr>
        <w:fldChar w:fldCharType="separate"/>
      </w:r>
      <w:r>
        <w:rPr>
          <w:rStyle w:val="45"/>
          <w:rFonts w:hint="default" w:eastAsia="宋体"/>
          <w:lang w:val="en-US" w:eastAsia="zh-CN"/>
        </w:rPr>
        <w:t>R1-2112630</w:t>
      </w:r>
      <w:r>
        <w:rPr>
          <w:rFonts w:hint="default" w:eastAsia="宋体"/>
          <w:lang w:val="en-US" w:eastAsia="zh-CN"/>
        </w:rPr>
        <w:fldChar w:fldCharType="end"/>
      </w:r>
      <w:r>
        <w:rPr>
          <w:rFonts w:hint="default" w:eastAsia="宋体"/>
          <w:lang w:val="en-US" w:eastAsia="zh-CN"/>
        </w:rPr>
        <w:t xml:space="preserve">           Reply LS on the physical layer aspects of small data transmission        RAN2</w:t>
      </w:r>
      <w:r>
        <w:rPr>
          <w:rFonts w:hint="eastAsia" w:eastAsia="宋体"/>
          <w:lang w:val="en-US" w:eastAsia="zh-CN"/>
        </w:rPr>
        <w:t>, ZTE</w:t>
      </w:r>
    </w:p>
    <w:p>
      <w:pPr>
        <w:rPr>
          <w:rFonts w:hint="default"/>
          <w:lang w:val="en-US" w:eastAsia="zh-CN"/>
        </w:rPr>
      </w:pPr>
    </w:p>
    <w:p>
      <w:pPr>
        <w:rPr>
          <w:rFonts w:hint="eastAsia"/>
          <w:lang w:val="en-US" w:eastAsia="zh-CN"/>
        </w:rPr>
      </w:pPr>
      <w:r>
        <w:rPr>
          <w:rFonts w:hint="eastAsia"/>
          <w:lang w:val="en-US" w:eastAsia="zh-CN"/>
        </w:rPr>
        <w:t>RAN1#108-e</w:t>
      </w:r>
    </w:p>
    <w:p>
      <w:pPr>
        <w:rPr>
          <w:rFonts w:hint="eastAsia"/>
          <w:lang w:val="en-US" w:eastAsia="zh-CN"/>
        </w:rPr>
      </w:pPr>
    </w:p>
    <w:p>
      <w:pPr>
        <w:rPr>
          <w:rFonts w:hint="default"/>
          <w:lang w:val="en-US" w:eastAsia="zh-CN"/>
        </w:rPr>
      </w:pPr>
      <w:r>
        <w:rPr>
          <w:rFonts w:hint="default"/>
          <w:lang w:val="en-US" w:eastAsia="zh-CN"/>
        </w:rPr>
        <w:fldChar w:fldCharType="begin"/>
      </w:r>
      <w:r>
        <w:rPr>
          <w:rFonts w:hint="default"/>
          <w:lang w:val="en-US" w:eastAsia="zh-CN"/>
        </w:rPr>
        <w:instrText xml:space="preserve"> HYPERLINK "https://www.3gpp.org/ftp/tsg_ran/WG1_RL1/TSGR1_108-e/Docs/R1-2200881.zip" </w:instrText>
      </w:r>
      <w:r>
        <w:rPr>
          <w:rFonts w:hint="default"/>
          <w:lang w:val="en-US" w:eastAsia="zh-CN"/>
        </w:rPr>
        <w:fldChar w:fldCharType="separate"/>
      </w:r>
      <w:r>
        <w:rPr>
          <w:rStyle w:val="45"/>
          <w:rFonts w:hint="default"/>
          <w:lang w:val="en-US" w:eastAsia="zh-CN"/>
        </w:rPr>
        <w:t>R1-2200881</w:t>
      </w:r>
      <w:r>
        <w:rPr>
          <w:rFonts w:hint="default"/>
          <w:lang w:val="en-US" w:eastAsia="zh-CN"/>
        </w:rPr>
        <w:fldChar w:fldCharType="end"/>
      </w:r>
      <w:r>
        <w:rPr>
          <w:rFonts w:hint="default"/>
          <w:lang w:val="en-US" w:eastAsia="zh-CN"/>
        </w:rPr>
        <w:tab/>
      </w:r>
      <w:r>
        <w:rPr>
          <w:rFonts w:hint="default"/>
          <w:lang w:val="en-US" w:eastAsia="zh-CN"/>
        </w:rPr>
        <w:t>Reply LS on the L1 aspects of small data transmission</w:t>
      </w:r>
      <w:r>
        <w:rPr>
          <w:rFonts w:hint="default"/>
          <w:lang w:val="en-US" w:eastAsia="zh-CN"/>
        </w:rPr>
        <w:tab/>
      </w:r>
      <w:r>
        <w:rPr>
          <w:rFonts w:hint="default"/>
          <w:lang w:val="en-US" w:eastAsia="zh-CN"/>
        </w:rPr>
        <w:t>RAN2, ZTE</w:t>
      </w:r>
    </w:p>
    <w:p>
      <w:pPr>
        <w:pStyle w:val="98"/>
        <w:keepNext/>
        <w:keepLines/>
        <w:pBdr>
          <w:top w:val="single" w:color="auto" w:sz="12" w:space="3"/>
        </w:pBdr>
        <w:spacing w:before="240" w:after="180"/>
        <w:ind w:left="0" w:leftChars="0"/>
        <w:outlineLvl w:val="0"/>
        <w:rPr>
          <w:rFonts w:ascii="Arial" w:hAnsi="Arial" w:eastAsia="Times New Roman"/>
          <w:sz w:val="36"/>
          <w:szCs w:val="20"/>
        </w:rPr>
      </w:pPr>
      <w:bookmarkStart w:id="6" w:name="_Toc85642158"/>
      <w:r>
        <w:rPr>
          <w:rFonts w:ascii="Arial" w:hAnsi="Arial" w:eastAsia="Times New Roman"/>
          <w:sz w:val="36"/>
          <w:szCs w:val="20"/>
        </w:rPr>
        <w:t>References</w:t>
      </w:r>
      <w:bookmarkEnd w:id="6"/>
    </w:p>
    <w:p>
      <w:pPr>
        <w:pStyle w:val="170"/>
        <w:rPr>
          <w:rFonts w:ascii="Times New Roman" w:hAnsi="Times New Roman"/>
          <w:sz w:val="18"/>
          <w:szCs w:val="18"/>
        </w:rPr>
      </w:pPr>
      <w:bookmarkStart w:id="7" w:name="_Ref54538430"/>
      <w:bookmarkStart w:id="8" w:name="_Ref69834051"/>
      <w:bookmarkStart w:id="9" w:name="_Ref54539832"/>
      <w:bookmarkStart w:id="10" w:name="_Ref54537007"/>
      <w:r>
        <w:rPr>
          <w:rFonts w:ascii="Times New Roman" w:hAnsi="Times New Roman"/>
          <w:sz w:val="18"/>
          <w:szCs w:val="18"/>
          <w:lang w:val="en-US" w:eastAsia="en-GB"/>
        </w:rPr>
        <w:t xml:space="preserve">RP-212594, </w:t>
      </w:r>
      <w:bookmarkEnd w:id="7"/>
      <w:bookmarkEnd w:id="8"/>
      <w:bookmarkEnd w:id="9"/>
      <w:bookmarkEnd w:id="10"/>
      <w:r>
        <w:rPr>
          <w:rFonts w:ascii="Times New Roman" w:hAnsi="Times New Roman"/>
          <w:sz w:val="18"/>
          <w:szCs w:val="18"/>
          <w:lang w:val="en-US" w:eastAsia="en-GB"/>
        </w:rPr>
        <w:t xml:space="preserve">Work Item on NR small data transmissions in INACTIVE state </w:t>
      </w:r>
      <w:r>
        <w:rPr>
          <w:rFonts w:ascii="Times New Roman" w:hAnsi="Times New Roman"/>
          <w:sz w:val="18"/>
          <w:szCs w:val="18"/>
        </w:rPr>
        <w:t xml:space="preserve">, </w:t>
      </w:r>
      <w:r>
        <w:rPr>
          <w:rFonts w:ascii="Times New Roman" w:hAnsi="Times New Roman"/>
          <w:sz w:val="18"/>
          <w:szCs w:val="18"/>
          <w:lang w:val="en-US" w:eastAsia="zh-CN"/>
        </w:rPr>
        <w:t>ZTE Corporation</w:t>
      </w:r>
      <w:r>
        <w:rPr>
          <w:rFonts w:ascii="Times New Roman" w:hAnsi="Times New Roman"/>
          <w:sz w:val="18"/>
          <w:szCs w:val="18"/>
        </w:rPr>
        <w:t>, RAN#9</w:t>
      </w:r>
      <w:r>
        <w:rPr>
          <w:rFonts w:hint="eastAsia" w:ascii="Times New Roman" w:hAnsi="Times New Roman"/>
          <w:sz w:val="18"/>
          <w:szCs w:val="18"/>
          <w:lang w:val="en-US" w:eastAsia="zh-CN"/>
        </w:rPr>
        <w:t>3</w:t>
      </w:r>
      <w:r>
        <w:rPr>
          <w:rFonts w:ascii="Times New Roman" w:hAnsi="Times New Roman"/>
          <w:sz w:val="18"/>
          <w:szCs w:val="18"/>
        </w:rPr>
        <w:t>e, September 2021</w:t>
      </w:r>
    </w:p>
    <w:p>
      <w:pPr>
        <w:pStyle w:val="170"/>
        <w:numPr>
          <w:ilvl w:val="0"/>
          <w:numId w:val="0"/>
        </w:numPr>
        <w:ind w:leftChars="0"/>
        <w:rPr>
          <w:rFonts w:ascii="Times New Roman" w:hAnsi="Times New Roman"/>
          <w:sz w:val="18"/>
          <w:szCs w:val="18"/>
        </w:rPr>
      </w:pPr>
    </w:p>
    <w:sectPr>
      <w:footerReference r:id="rId3" w:type="default"/>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4008009F" w:csb1="DFD7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바탕">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926541"/>
      <w:docPartObj>
        <w:docPartGallery w:val="autotext"/>
      </w:docPartObj>
    </w:sdtPr>
    <w:sdtContent>
      <w:p>
        <w:pPr>
          <w:pStyle w:val="24"/>
          <w:jc w:val="right"/>
        </w:pPr>
        <w:r>
          <w:fldChar w:fldCharType="begin"/>
        </w:r>
        <w:r>
          <w:instrText xml:space="preserve"> PAGE   \* MERGEFORMAT </w:instrText>
        </w:r>
        <w:r>
          <w:fldChar w:fldCharType="separate"/>
        </w:r>
        <w:r>
          <w:t>2</w:t>
        </w:r>
        <w:r>
          <w:fldChar w:fldCharType="end"/>
        </w:r>
      </w:p>
    </w:sdtContent>
  </w:sdt>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000000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72"/>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CB3A42"/>
    <w:multiLevelType w:val="multilevel"/>
    <w:tmpl w:val="07CB3A42"/>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145"/>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89915AF"/>
    <w:multiLevelType w:val="multilevel"/>
    <w:tmpl w:val="089915AF"/>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524120"/>
    <w:multiLevelType w:val="multilevel"/>
    <w:tmpl w:val="095241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D813E46"/>
    <w:multiLevelType w:val="multilevel"/>
    <w:tmpl w:val="0D813E46"/>
    <w:lvl w:ilvl="0" w:tentative="0">
      <w:start w:val="1"/>
      <w:numFmt w:val="bullet"/>
      <w:lvlText w:val=""/>
      <w:lvlJc w:val="left"/>
      <w:pPr>
        <w:tabs>
          <w:tab w:val="left" w:pos="720"/>
        </w:tabs>
        <w:ind w:left="720" w:hanging="360"/>
      </w:pPr>
      <w:rPr>
        <w:rFonts w:hint="default" w:ascii="Symbol" w:hAnsi="Symbol"/>
        <w:sz w:val="20"/>
      </w:rPr>
    </w:lvl>
    <w:lvl w:ilvl="1" w:tentative="0">
      <w:start w:val="2"/>
      <w:numFmt w:val="bullet"/>
      <w:lvlText w:val="-"/>
      <w:lvlJc w:val="left"/>
      <w:pPr>
        <w:tabs>
          <w:tab w:val="left" w:pos="1440"/>
        </w:tabs>
        <w:ind w:left="1440" w:hanging="360"/>
      </w:pPr>
      <w:rPr>
        <w:rFonts w:hint="default" w:ascii="Times New Roman" w:hAnsi="Times New Roman" w:eastAsia="微软雅黑"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0DB50516"/>
    <w:multiLevelType w:val="multilevel"/>
    <w:tmpl w:val="0DB505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5951C03"/>
    <w:multiLevelType w:val="multilevel"/>
    <w:tmpl w:val="15951C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7735463"/>
    <w:multiLevelType w:val="multilevel"/>
    <w:tmpl w:val="177354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7D56A59"/>
    <w:multiLevelType w:val="multilevel"/>
    <w:tmpl w:val="17D56A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A83568C"/>
    <w:multiLevelType w:val="multilevel"/>
    <w:tmpl w:val="1A8356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1E500A9B"/>
    <w:multiLevelType w:val="multilevel"/>
    <w:tmpl w:val="1E500A9B"/>
    <w:lvl w:ilvl="0" w:tentative="0">
      <w:start w:val="1"/>
      <w:numFmt w:val="decimal"/>
      <w:lvlText w:val="%1"/>
      <w:lvlJc w:val="left"/>
      <w:pPr>
        <w:ind w:left="52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20FC1F58"/>
    <w:multiLevelType w:val="multilevel"/>
    <w:tmpl w:val="20FC1F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954399E"/>
    <w:multiLevelType w:val="multilevel"/>
    <w:tmpl w:val="295439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31DC7981"/>
    <w:multiLevelType w:val="multilevel"/>
    <w:tmpl w:val="31DC79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32785054"/>
    <w:multiLevelType w:val="multilevel"/>
    <w:tmpl w:val="327850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32B32A2F"/>
    <w:multiLevelType w:val="multilevel"/>
    <w:tmpl w:val="32B32A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3C6660D5"/>
    <w:multiLevelType w:val="multilevel"/>
    <w:tmpl w:val="3C6660D5"/>
    <w:lvl w:ilvl="0" w:tentative="0">
      <w:start w:val="751"/>
      <w:numFmt w:val="bullet"/>
      <w:lvlText w:val="•"/>
      <w:lvlJc w:val="left"/>
      <w:pPr>
        <w:ind w:left="420" w:hanging="420"/>
      </w:pPr>
      <w:rPr>
        <w:rFonts w:hint="default" w:ascii="Arial" w:hAnsi="Arial"/>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CD61401"/>
    <w:multiLevelType w:val="multilevel"/>
    <w:tmpl w:val="3CD614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3E103802"/>
    <w:multiLevelType w:val="multilevel"/>
    <w:tmpl w:val="3E103802"/>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BDF65F6"/>
    <w:multiLevelType w:val="multilevel"/>
    <w:tmpl w:val="4BDF65F6"/>
    <w:lvl w:ilvl="0" w:tentative="0">
      <w:start w:val="1"/>
      <w:numFmt w:val="decimal"/>
      <w:pStyle w:val="17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5AC74B5E"/>
    <w:multiLevelType w:val="multilevel"/>
    <w:tmpl w:val="5AC74B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C957A05"/>
    <w:multiLevelType w:val="multilevel"/>
    <w:tmpl w:val="5C957A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66CF722F"/>
    <w:multiLevelType w:val="multilevel"/>
    <w:tmpl w:val="66CF72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70942A4C"/>
    <w:multiLevelType w:val="multilevel"/>
    <w:tmpl w:val="70942A4C"/>
    <w:lvl w:ilvl="0" w:tentative="0">
      <w:start w:val="75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0967E65"/>
    <w:multiLevelType w:val="multilevel"/>
    <w:tmpl w:val="70967E6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18D7D2E"/>
    <w:multiLevelType w:val="multilevel"/>
    <w:tmpl w:val="718D7D2E"/>
    <w:lvl w:ilvl="0" w:tentative="0">
      <w:start w:val="1"/>
      <w:numFmt w:val="decimal"/>
      <w:pStyle w:val="131"/>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pStyle w:val="120"/>
      <w:lvlText w:val="%3."/>
      <w:lvlJc w:val="right"/>
      <w:pPr>
        <w:ind w:left="2160" w:hanging="180"/>
      </w:pPr>
    </w:lvl>
    <w:lvl w:ilvl="3" w:tentative="0">
      <w:start w:val="1"/>
      <w:numFmt w:val="decimal"/>
      <w:pStyle w:val="13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3B126B6"/>
    <w:multiLevelType w:val="multilevel"/>
    <w:tmpl w:val="73B12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77EC78BD"/>
    <w:multiLevelType w:val="multilevel"/>
    <w:tmpl w:val="77EC78BD"/>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
      <w:lvlJc w:val="left"/>
      <w:pPr>
        <w:ind w:left="180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2">
    <w:nsid w:val="79394296"/>
    <w:multiLevelType w:val="multilevel"/>
    <w:tmpl w:val="793942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79C96FBF"/>
    <w:multiLevelType w:val="multilevel"/>
    <w:tmpl w:val="79C96F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7C267F9C"/>
    <w:multiLevelType w:val="multilevel"/>
    <w:tmpl w:val="7C267F9C"/>
    <w:lvl w:ilvl="0" w:tentative="0">
      <w:start w:val="0"/>
      <w:numFmt w:val="bullet"/>
      <w:pStyle w:val="8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D1C4470"/>
    <w:multiLevelType w:val="multilevel"/>
    <w:tmpl w:val="7D1C4470"/>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21"/>
  </w:num>
  <w:num w:numId="2">
    <w:abstractNumId w:val="36"/>
  </w:num>
  <w:num w:numId="3">
    <w:abstractNumId w:val="1"/>
  </w:num>
  <w:num w:numId="4">
    <w:abstractNumId w:val="34"/>
  </w:num>
  <w:num w:numId="5">
    <w:abstractNumId w:val="29"/>
  </w:num>
  <w:num w:numId="6">
    <w:abstractNumId w:val="2"/>
    <w:lvlOverride w:ilvl="0">
      <w:lvl w:ilvl="0" w:tentative="1">
        <w:start w:val="0"/>
        <w:numFmt w:val="bullet"/>
        <w:lvlText w:val=""/>
        <w:lvlJc w:val="left"/>
        <w:pPr>
          <w:tabs>
            <w:tab w:val="left" w:pos="720"/>
          </w:tabs>
          <w:ind w:left="720" w:hanging="360"/>
        </w:pPr>
        <w:rPr>
          <w:rFonts w:hint="default" w:ascii="Wingdings" w:hAnsi="Wingdings"/>
          <w:sz w:val="20"/>
        </w:rPr>
      </w:lvl>
    </w:lvlOverride>
  </w:num>
  <w:num w:numId="7">
    <w:abstractNumId w:val="23"/>
  </w:num>
  <w:num w:numId="8">
    <w:abstractNumId w:val="12"/>
  </w:num>
  <w:num w:numId="9">
    <w:abstractNumId w:val="35"/>
  </w:num>
  <w:num w:numId="10">
    <w:abstractNumId w:val="3"/>
  </w:num>
  <w:num w:numId="11">
    <w:abstractNumId w:val="13"/>
  </w:num>
  <w:num w:numId="12">
    <w:abstractNumId w:val="10"/>
  </w:num>
  <w:num w:numId="13">
    <w:abstractNumId w:val="20"/>
  </w:num>
  <w:num w:numId="14">
    <w:abstractNumId w:val="31"/>
  </w:num>
  <w:num w:numId="15">
    <w:abstractNumId w:val="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4"/>
  </w:num>
  <w:num w:numId="19">
    <w:abstractNumId w:val="26"/>
  </w:num>
  <w:num w:numId="20">
    <w:abstractNumId w:val="8"/>
  </w:num>
  <w:num w:numId="21">
    <w:abstractNumId w:val="7"/>
  </w:num>
  <w:num w:numId="22">
    <w:abstractNumId w:val="25"/>
  </w:num>
  <w:num w:numId="23">
    <w:abstractNumId w:val="33"/>
  </w:num>
  <w:num w:numId="24">
    <w:abstractNumId w:val="11"/>
  </w:num>
  <w:num w:numId="25">
    <w:abstractNumId w:val="30"/>
  </w:num>
  <w:num w:numId="26">
    <w:abstractNumId w:val="32"/>
  </w:num>
  <w:num w:numId="27">
    <w:abstractNumId w:val="14"/>
  </w:num>
  <w:num w:numId="28">
    <w:abstractNumId w:val="18"/>
  </w:num>
  <w:num w:numId="29">
    <w:abstractNumId w:val="27"/>
  </w:num>
  <w:num w:numId="30">
    <w:abstractNumId w:val="17"/>
  </w:num>
  <w:num w:numId="31">
    <w:abstractNumId w:val="0"/>
  </w:num>
  <w:num w:numId="32">
    <w:abstractNumId w:val="4"/>
  </w:num>
  <w:num w:numId="33">
    <w:abstractNumId w:val="16"/>
  </w:num>
  <w:num w:numId="34">
    <w:abstractNumId w:val="19"/>
  </w:num>
  <w:num w:numId="35">
    <w:abstractNumId w:val="5"/>
  </w:num>
  <w:num w:numId="36">
    <w:abstractNumId w:val="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0E"/>
    <w:rsid w:val="0000086E"/>
    <w:rsid w:val="001B6712"/>
    <w:rsid w:val="001C6B15"/>
    <w:rsid w:val="001F7094"/>
    <w:rsid w:val="0020663F"/>
    <w:rsid w:val="00224467"/>
    <w:rsid w:val="00227076"/>
    <w:rsid w:val="00263F1F"/>
    <w:rsid w:val="00271CA8"/>
    <w:rsid w:val="00283118"/>
    <w:rsid w:val="0029124C"/>
    <w:rsid w:val="002C2D81"/>
    <w:rsid w:val="00335E9B"/>
    <w:rsid w:val="003A656F"/>
    <w:rsid w:val="003B3EA3"/>
    <w:rsid w:val="003F6FF0"/>
    <w:rsid w:val="00475FC3"/>
    <w:rsid w:val="00476323"/>
    <w:rsid w:val="0051781A"/>
    <w:rsid w:val="005C2885"/>
    <w:rsid w:val="00622B02"/>
    <w:rsid w:val="006363EF"/>
    <w:rsid w:val="00717419"/>
    <w:rsid w:val="007469E0"/>
    <w:rsid w:val="00793F70"/>
    <w:rsid w:val="008B0ED9"/>
    <w:rsid w:val="008F0AC7"/>
    <w:rsid w:val="009615F7"/>
    <w:rsid w:val="009A507B"/>
    <w:rsid w:val="009E6E03"/>
    <w:rsid w:val="00A61203"/>
    <w:rsid w:val="00AB3CF1"/>
    <w:rsid w:val="00AC5767"/>
    <w:rsid w:val="00C06E9E"/>
    <w:rsid w:val="00C720F4"/>
    <w:rsid w:val="00C74C14"/>
    <w:rsid w:val="00D35E1B"/>
    <w:rsid w:val="00DF0CAF"/>
    <w:rsid w:val="00E6325C"/>
    <w:rsid w:val="00EA037D"/>
    <w:rsid w:val="00EF7849"/>
    <w:rsid w:val="00F25871"/>
    <w:rsid w:val="00F25A0E"/>
    <w:rsid w:val="00F37231"/>
    <w:rsid w:val="00FB09EF"/>
    <w:rsid w:val="00FC091D"/>
    <w:rsid w:val="05EA3DB5"/>
    <w:rsid w:val="30650F04"/>
    <w:rsid w:val="455A0CAE"/>
    <w:rsid w:val="5E85303D"/>
    <w:rsid w:val="65707D5A"/>
    <w:rsid w:val="78DB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Batang" w:cs="Times New Roman"/>
      <w:sz w:val="20"/>
      <w:szCs w:val="24"/>
      <w:lang w:val="en-GB" w:eastAsia="en-US" w:bidi="ar-SA"/>
    </w:rPr>
  </w:style>
  <w:style w:type="paragraph" w:styleId="2">
    <w:name w:val="heading 1"/>
    <w:basedOn w:val="1"/>
    <w:next w:val="1"/>
    <w:link w:val="123"/>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4"/>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9"/>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50"/>
    <w:qFormat/>
    <w:uiPriority w:val="9"/>
    <w:pPr>
      <w:numPr>
        <w:ilvl w:val="3"/>
      </w:numPr>
      <w:outlineLvl w:val="3"/>
    </w:pPr>
    <w:rPr>
      <w:i/>
    </w:rPr>
  </w:style>
  <w:style w:type="paragraph" w:styleId="6">
    <w:name w:val="heading 5"/>
    <w:basedOn w:val="5"/>
    <w:next w:val="1"/>
    <w:link w:val="51"/>
    <w:qFormat/>
    <w:uiPriority w:val="9"/>
    <w:pPr>
      <w:numPr>
        <w:ilvl w:val="4"/>
      </w:numPr>
      <w:tabs>
        <w:tab w:val="left" w:pos="864"/>
      </w:tabs>
      <w:ind w:left="864" w:hanging="864"/>
      <w:outlineLvl w:val="4"/>
    </w:pPr>
    <w:rPr>
      <w:bCs/>
      <w:i w:val="0"/>
      <w:iCs/>
      <w:sz w:val="18"/>
    </w:rPr>
  </w:style>
  <w:style w:type="paragraph" w:styleId="7">
    <w:name w:val="heading 6"/>
    <w:basedOn w:val="1"/>
    <w:next w:val="1"/>
    <w:link w:val="52"/>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53"/>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54"/>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55"/>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100"/>
    <w:qFormat/>
    <w:uiPriority w:val="0"/>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62"/>
    <w:semiHidden/>
    <w:qFormat/>
    <w:uiPriority w:val="0"/>
    <w:pPr>
      <w:shd w:val="clear" w:color="auto" w:fill="000080"/>
    </w:pPr>
    <w:rPr>
      <w:rFonts w:ascii="Tahoma" w:hAnsi="Tahoma"/>
      <w:lang w:eastAsia="zh-CN"/>
    </w:rPr>
  </w:style>
  <w:style w:type="paragraph" w:styleId="15">
    <w:name w:val="annotation text"/>
    <w:basedOn w:val="1"/>
    <w:link w:val="80"/>
    <w:semiHidden/>
    <w:qFormat/>
    <w:uiPriority w:val="0"/>
    <w:rPr>
      <w:szCs w:val="20"/>
    </w:rPr>
  </w:style>
  <w:style w:type="paragraph" w:styleId="16">
    <w:name w:val="Body Text"/>
    <w:basedOn w:val="1"/>
    <w:link w:val="58"/>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39"/>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10"/>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68"/>
    <w:qFormat/>
    <w:uiPriority w:val="0"/>
    <w:rPr>
      <w:lang w:eastAsia="zh-CN"/>
    </w:rPr>
  </w:style>
  <w:style w:type="paragraph" w:styleId="23">
    <w:name w:val="Balloon Text"/>
    <w:basedOn w:val="1"/>
    <w:link w:val="64"/>
    <w:semiHidden/>
    <w:qFormat/>
    <w:uiPriority w:val="0"/>
    <w:rPr>
      <w:rFonts w:ascii="Tahoma" w:hAnsi="Tahoma"/>
      <w:sz w:val="16"/>
      <w:szCs w:val="16"/>
      <w:lang w:eastAsia="zh-CN"/>
    </w:rPr>
  </w:style>
  <w:style w:type="paragraph" w:styleId="24">
    <w:name w:val="footer"/>
    <w:basedOn w:val="1"/>
    <w:link w:val="94"/>
    <w:qFormat/>
    <w:uiPriority w:val="99"/>
    <w:pPr>
      <w:tabs>
        <w:tab w:val="center" w:pos="4153"/>
        <w:tab w:val="right" w:pos="8306"/>
      </w:tabs>
    </w:pPr>
  </w:style>
  <w:style w:type="paragraph" w:styleId="25">
    <w:name w:val="header"/>
    <w:basedOn w:val="1"/>
    <w:link w:val="60"/>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61"/>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2">
    <w:name w:val="toc 9"/>
    <w:basedOn w:val="1"/>
    <w:next w:val="1"/>
    <w:qFormat/>
    <w:uiPriority w:val="39"/>
    <w:pPr>
      <w:ind w:left="1920"/>
    </w:pPr>
    <w:rPr>
      <w:rFonts w:ascii="Times New Roman" w:hAnsi="Times New Roman" w:eastAsia="MS Mincho"/>
      <w:sz w:val="24"/>
      <w:lang w:eastAsia="ja-JP"/>
    </w:rPr>
  </w:style>
  <w:style w:type="paragraph" w:styleId="33">
    <w:name w:val="Body Text 2"/>
    <w:basedOn w:val="1"/>
    <w:link w:val="153"/>
    <w:qFormat/>
    <w:uiPriority w:val="0"/>
    <w:pPr>
      <w:spacing w:after="120" w:line="480" w:lineRule="auto"/>
    </w:pPr>
  </w:style>
  <w:style w:type="paragraph" w:styleId="34">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5">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6">
    <w:name w:val="annotation subject"/>
    <w:basedOn w:val="15"/>
    <w:next w:val="15"/>
    <w:link w:val="81"/>
    <w:semiHidden/>
    <w:qFormat/>
    <w:uiPriority w:val="0"/>
    <w:rPr>
      <w:b/>
      <w:bCs/>
      <w:lang w:eastAsia="zh-CN"/>
    </w:rPr>
  </w:style>
  <w:style w:type="table" w:styleId="38">
    <w:name w:val="Table Grid"/>
    <w:basedOn w:val="37"/>
    <w:qFormat/>
    <w:uiPriority w:val="39"/>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Grid 8"/>
    <w:basedOn w:val="37"/>
    <w:unhideWhenUsed/>
    <w:qFormat/>
    <w:uiPriority w:val="0"/>
    <w:pPr>
      <w:snapToGrid w:val="0"/>
      <w:spacing w:after="100" w:afterAutospacing="1" w:line="256" w:lineRule="auto"/>
    </w:pPr>
    <w:rPr>
      <w:rFonts w:ascii="Times New Roman" w:hAnsi="Times New Roman" w:eastAsia="宋体" w:cs="Times New Roman"/>
      <w:sz w:val="20"/>
      <w:szCs w:val="20"/>
      <w:lang w:val="fr-FR"/>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40">
    <w:name w:val="Colorful List Accent 1"/>
    <w:basedOn w:val="37"/>
    <w:uiPriority w:val="34"/>
    <w:pPr>
      <w:spacing w:after="0" w:line="240" w:lineRule="auto"/>
    </w:pPr>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basedOn w:val="41"/>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Heading 1 Char"/>
    <w:basedOn w:val="41"/>
    <w:uiPriority w:val="9"/>
    <w:rPr>
      <w:rFonts w:asciiTheme="majorHAnsi" w:hAnsiTheme="majorHAnsi" w:eastAsiaTheme="majorEastAsia" w:cstheme="majorBidi"/>
      <w:color w:val="2F5597" w:themeColor="accent1" w:themeShade="BF"/>
      <w:sz w:val="32"/>
      <w:szCs w:val="32"/>
      <w:lang w:val="en-GB"/>
    </w:rPr>
  </w:style>
  <w:style w:type="character" w:customStyle="1" w:styleId="48">
    <w:name w:val="Heading 2 Char"/>
    <w:basedOn w:val="41"/>
    <w:semiHidden/>
    <w:qFormat/>
    <w:uiPriority w:val="9"/>
    <w:rPr>
      <w:rFonts w:asciiTheme="majorHAnsi" w:hAnsiTheme="majorHAnsi" w:eastAsiaTheme="majorEastAsia" w:cstheme="majorBidi"/>
      <w:color w:val="2F5597" w:themeColor="accent1" w:themeShade="BF"/>
      <w:sz w:val="26"/>
      <w:szCs w:val="26"/>
      <w:lang w:val="en-GB"/>
    </w:rPr>
  </w:style>
  <w:style w:type="character" w:customStyle="1" w:styleId="49">
    <w:name w:val="Heading 3 Char"/>
    <w:basedOn w:val="41"/>
    <w:link w:val="4"/>
    <w:qFormat/>
    <w:uiPriority w:val="0"/>
    <w:rPr>
      <w:rFonts w:ascii="Arial" w:hAnsi="Arial" w:eastAsia="Batang" w:cs="Times New Roman"/>
      <w:b/>
      <w:sz w:val="20"/>
      <w:szCs w:val="26"/>
      <w:lang w:val="en-GB" w:eastAsia="zh-CN"/>
    </w:rPr>
  </w:style>
  <w:style w:type="character" w:customStyle="1" w:styleId="50">
    <w:name w:val="Heading 4 Char"/>
    <w:basedOn w:val="41"/>
    <w:link w:val="5"/>
    <w:qFormat/>
    <w:uiPriority w:val="9"/>
    <w:rPr>
      <w:rFonts w:ascii="Arial" w:hAnsi="Arial" w:eastAsia="Batang" w:cs="Times New Roman"/>
      <w:b/>
      <w:i/>
      <w:sz w:val="20"/>
      <w:szCs w:val="26"/>
      <w:lang w:val="en-GB" w:eastAsia="zh-CN"/>
    </w:rPr>
  </w:style>
  <w:style w:type="character" w:customStyle="1" w:styleId="51">
    <w:name w:val="Heading 5 Char"/>
    <w:basedOn w:val="41"/>
    <w:link w:val="6"/>
    <w:qFormat/>
    <w:uiPriority w:val="9"/>
    <w:rPr>
      <w:rFonts w:ascii="Arial" w:hAnsi="Arial" w:eastAsia="Batang" w:cs="Times New Roman"/>
      <w:b/>
      <w:bCs/>
      <w:iCs/>
      <w:sz w:val="18"/>
      <w:szCs w:val="26"/>
      <w:lang w:val="en-GB" w:eastAsia="zh-CN"/>
    </w:rPr>
  </w:style>
  <w:style w:type="character" w:customStyle="1" w:styleId="52">
    <w:name w:val="Heading 6 Char"/>
    <w:basedOn w:val="41"/>
    <w:link w:val="7"/>
    <w:qFormat/>
    <w:uiPriority w:val="9"/>
    <w:rPr>
      <w:rFonts w:ascii="Arial" w:hAnsi="Arial" w:eastAsia="Batang" w:cs="Times New Roman"/>
      <w:b/>
      <w:bCs/>
      <w:i/>
      <w:sz w:val="18"/>
      <w:lang w:val="en-GB" w:eastAsia="zh-CN"/>
    </w:rPr>
  </w:style>
  <w:style w:type="character" w:customStyle="1" w:styleId="53">
    <w:name w:val="Heading 7 Char"/>
    <w:basedOn w:val="41"/>
    <w:link w:val="8"/>
    <w:qFormat/>
    <w:uiPriority w:val="9"/>
    <w:rPr>
      <w:rFonts w:ascii="Times New Roman" w:hAnsi="Times New Roman" w:eastAsia="Batang" w:cs="Times New Roman"/>
      <w:sz w:val="24"/>
      <w:szCs w:val="24"/>
      <w:lang w:val="en-GB" w:eastAsia="zh-CN"/>
    </w:rPr>
  </w:style>
  <w:style w:type="character" w:customStyle="1" w:styleId="54">
    <w:name w:val="Heading 8 Char"/>
    <w:basedOn w:val="41"/>
    <w:link w:val="9"/>
    <w:uiPriority w:val="9"/>
    <w:rPr>
      <w:rFonts w:ascii="Times New Roman" w:hAnsi="Times New Roman" w:eastAsia="Batang" w:cs="Times New Roman"/>
      <w:i/>
      <w:iCs/>
      <w:sz w:val="24"/>
      <w:szCs w:val="24"/>
      <w:lang w:val="en-GB" w:eastAsia="zh-CN"/>
    </w:rPr>
  </w:style>
  <w:style w:type="character" w:customStyle="1" w:styleId="55">
    <w:name w:val="Heading 9 Char"/>
    <w:basedOn w:val="41"/>
    <w:link w:val="10"/>
    <w:qFormat/>
    <w:uiPriority w:val="9"/>
    <w:rPr>
      <w:rFonts w:ascii="Arial" w:hAnsi="Arial" w:eastAsia="Batang" w:cs="Times New Roman"/>
      <w:lang w:val="en-GB" w:eastAsia="zh-CN"/>
    </w:rPr>
  </w:style>
  <w:style w:type="paragraph" w:customStyle="1" w:styleId="56">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57">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character" w:customStyle="1" w:styleId="58">
    <w:name w:val="Body Text Char"/>
    <w:basedOn w:val="41"/>
    <w:link w:val="16"/>
    <w:uiPriority w:val="0"/>
    <w:rPr>
      <w:rFonts w:ascii="Times" w:hAnsi="Times" w:eastAsia="Batang" w:cs="Times New Roman"/>
      <w:sz w:val="20"/>
      <w:szCs w:val="24"/>
      <w:lang w:val="en-GB" w:eastAsia="zh-CN"/>
    </w:rPr>
  </w:style>
  <w:style w:type="paragraph" w:customStyle="1" w:styleId="59">
    <w:name w:val="Tdoc_Header_1"/>
    <w:basedOn w:val="25"/>
    <w:qFormat/>
    <w:uiPriority w:val="0"/>
    <w:pPr>
      <w:widowControl w:val="0"/>
      <w:tabs>
        <w:tab w:val="right" w:pos="10206"/>
        <w:tab w:val="clear" w:pos="4536"/>
      </w:tabs>
      <w:jc w:val="both"/>
    </w:pPr>
    <w:rPr>
      <w:rFonts w:ascii="Arial" w:hAnsi="Arial"/>
      <w:b/>
      <w:szCs w:val="20"/>
    </w:rPr>
  </w:style>
  <w:style w:type="character" w:customStyle="1" w:styleId="60">
    <w:name w:val="Header Char"/>
    <w:basedOn w:val="41"/>
    <w:link w:val="25"/>
    <w:qFormat/>
    <w:uiPriority w:val="0"/>
    <w:rPr>
      <w:rFonts w:ascii="Times" w:hAnsi="Times" w:eastAsia="Batang" w:cs="Times New Roman"/>
      <w:sz w:val="20"/>
      <w:szCs w:val="24"/>
      <w:lang w:val="en-GB"/>
    </w:rPr>
  </w:style>
  <w:style w:type="character" w:customStyle="1" w:styleId="61">
    <w:name w:val="Footnote Text Char"/>
    <w:basedOn w:val="41"/>
    <w:link w:val="29"/>
    <w:semiHidden/>
    <w:qFormat/>
    <w:uiPriority w:val="0"/>
    <w:rPr>
      <w:rFonts w:ascii="Times" w:hAnsi="Times" w:eastAsia="Batang" w:cs="Times New Roman"/>
      <w:sz w:val="20"/>
      <w:szCs w:val="20"/>
      <w:lang w:val="zh-CN" w:eastAsia="zh-CN"/>
    </w:rPr>
  </w:style>
  <w:style w:type="character" w:customStyle="1" w:styleId="62">
    <w:name w:val="Document Map Char"/>
    <w:basedOn w:val="41"/>
    <w:link w:val="14"/>
    <w:semiHidden/>
    <w:qFormat/>
    <w:uiPriority w:val="0"/>
    <w:rPr>
      <w:rFonts w:ascii="Tahoma" w:hAnsi="Tahoma" w:eastAsia="Batang" w:cs="Times New Roman"/>
      <w:sz w:val="20"/>
      <w:szCs w:val="24"/>
      <w:shd w:val="clear" w:color="auto" w:fill="000080"/>
      <w:lang w:val="en-GB" w:eastAsia="zh-CN"/>
    </w:rPr>
  </w:style>
  <w:style w:type="paragraph" w:customStyle="1" w:styleId="63">
    <w:name w:val="Tdoc_Heading_2"/>
    <w:basedOn w:val="1"/>
    <w:qFormat/>
    <w:uiPriority w:val="0"/>
  </w:style>
  <w:style w:type="character" w:customStyle="1" w:styleId="64">
    <w:name w:val="Balloon Text Char"/>
    <w:basedOn w:val="41"/>
    <w:link w:val="23"/>
    <w:semiHidden/>
    <w:qFormat/>
    <w:uiPriority w:val="0"/>
    <w:rPr>
      <w:rFonts w:ascii="Tahoma" w:hAnsi="Tahoma" w:eastAsia="Batang" w:cs="Times New Roman"/>
      <w:sz w:val="16"/>
      <w:szCs w:val="16"/>
      <w:lang w:val="en-GB" w:eastAsia="zh-CN"/>
    </w:rPr>
  </w:style>
  <w:style w:type="paragraph" w:customStyle="1" w:styleId="65">
    <w:name w:val="NO"/>
    <w:basedOn w:val="1"/>
    <w:qFormat/>
    <w:uiPriority w:val="0"/>
    <w:pPr>
      <w:keepLines/>
      <w:ind w:left="1135" w:hanging="851"/>
    </w:pPr>
    <w:rPr>
      <w:rFonts w:ascii="Times New Roman" w:hAnsi="Times New Roman"/>
      <w:sz w:val="24"/>
      <w:szCs w:val="20"/>
    </w:rPr>
  </w:style>
  <w:style w:type="paragraph" w:customStyle="1" w:styleId="66">
    <w:name w:val="h1"/>
    <w:basedOn w:val="1"/>
    <w:qFormat/>
    <w:uiPriority w:val="0"/>
  </w:style>
  <w:style w:type="paragraph" w:customStyle="1" w:styleId="6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character" w:customStyle="1" w:styleId="68">
    <w:name w:val="Date Char"/>
    <w:basedOn w:val="41"/>
    <w:link w:val="22"/>
    <w:qFormat/>
    <w:uiPriority w:val="0"/>
    <w:rPr>
      <w:rFonts w:ascii="Times" w:hAnsi="Times" w:eastAsia="Batang" w:cs="Times New Roman"/>
      <w:sz w:val="20"/>
      <w:szCs w:val="24"/>
      <w:lang w:val="en-GB" w:eastAsia="zh-CN"/>
    </w:rPr>
  </w:style>
  <w:style w:type="paragraph" w:customStyle="1" w:styleId="69">
    <w:name w:val="Default"/>
    <w:qForma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70">
    <w:name w:val="3GPP Normal Text"/>
    <w:basedOn w:val="16"/>
    <w:link w:val="71"/>
    <w:qFormat/>
    <w:uiPriority w:val="0"/>
    <w:rPr>
      <w:rFonts w:ascii="Times New Roman" w:hAnsi="Times New Roman" w:eastAsia="MS Mincho"/>
      <w:sz w:val="22"/>
      <w:lang w:val="zh-CN"/>
    </w:rPr>
  </w:style>
  <w:style w:type="character" w:customStyle="1" w:styleId="71">
    <w:name w:val="3GPP Normal Text Char"/>
    <w:link w:val="70"/>
    <w:qFormat/>
    <w:uiPriority w:val="0"/>
    <w:rPr>
      <w:rFonts w:ascii="Times New Roman" w:hAnsi="Times New Roman" w:eastAsia="MS Mincho" w:cs="Times New Roman"/>
      <w:szCs w:val="24"/>
      <w:lang w:val="zh-CN" w:eastAsia="zh-CN"/>
    </w:rPr>
  </w:style>
  <w:style w:type="paragraph" w:customStyle="1" w:styleId="72">
    <w:name w:val="References"/>
    <w:basedOn w:val="1"/>
    <w:qFormat/>
    <w:uiPriority w:val="0"/>
    <w:pPr>
      <w:numPr>
        <w:ilvl w:val="2"/>
        <w:numId w:val="3"/>
      </w:numPr>
    </w:pPr>
    <w:rPr>
      <w:rFonts w:ascii="Times New Roman" w:hAnsi="Times New Roman" w:eastAsia="Times New Roman"/>
      <w:lang w:val="en-US"/>
    </w:rPr>
  </w:style>
  <w:style w:type="paragraph" w:customStyle="1" w:styleId="73">
    <w:name w:val="Statement"/>
    <w:basedOn w:val="1"/>
    <w:qFormat/>
    <w:uiPriority w:val="0"/>
    <w:pPr>
      <w:keepNext/>
      <w:ind w:left="601" w:hanging="601"/>
    </w:pPr>
    <w:rPr>
      <w:rFonts w:ascii="Times New Roman" w:hAnsi="Times New Roman"/>
      <w:b/>
      <w:i/>
      <w:lang w:val="en-US" w:eastAsia="ko-KR"/>
    </w:rPr>
  </w:style>
  <w:style w:type="paragraph" w:customStyle="1" w:styleId="74">
    <w:name w:val="B1"/>
    <w:basedOn w:val="28"/>
    <w:link w:val="76"/>
    <w:uiPriority w:val="0"/>
    <w:pPr>
      <w:spacing w:after="180"/>
      <w:ind w:left="568" w:hanging="284"/>
    </w:pPr>
    <w:rPr>
      <w:rFonts w:ascii="Times New Roman" w:hAnsi="Times New Roman" w:eastAsia="MS Mincho"/>
      <w:szCs w:val="20"/>
    </w:rPr>
  </w:style>
  <w:style w:type="paragraph" w:customStyle="1" w:styleId="75">
    <w:name w:val="B2"/>
    <w:basedOn w:val="17"/>
    <w:link w:val="77"/>
    <w:qFormat/>
    <w:uiPriority w:val="0"/>
    <w:pPr>
      <w:spacing w:after="180"/>
      <w:ind w:left="851" w:hanging="284"/>
    </w:pPr>
    <w:rPr>
      <w:rFonts w:ascii="Times New Roman" w:hAnsi="Times New Roman" w:eastAsia="MS Mincho"/>
      <w:szCs w:val="20"/>
    </w:rPr>
  </w:style>
  <w:style w:type="character" w:customStyle="1" w:styleId="76">
    <w:name w:val="B1 (文字)"/>
    <w:link w:val="74"/>
    <w:qFormat/>
    <w:uiPriority w:val="0"/>
    <w:rPr>
      <w:rFonts w:ascii="Times New Roman" w:hAnsi="Times New Roman" w:eastAsia="MS Mincho" w:cs="Times New Roman"/>
      <w:sz w:val="20"/>
      <w:szCs w:val="20"/>
      <w:lang w:val="en-GB"/>
    </w:rPr>
  </w:style>
  <w:style w:type="character" w:customStyle="1" w:styleId="77">
    <w:name w:val="B2 Char"/>
    <w:link w:val="75"/>
    <w:qFormat/>
    <w:uiPriority w:val="0"/>
    <w:rPr>
      <w:rFonts w:ascii="Times New Roman" w:hAnsi="Times New Roman" w:eastAsia="MS Mincho" w:cs="Times New Roman"/>
      <w:sz w:val="20"/>
      <w:szCs w:val="20"/>
      <w:lang w:val="en-GB"/>
    </w:rPr>
  </w:style>
  <w:style w:type="character" w:customStyle="1" w:styleId="78">
    <w:name w:val="Alcatel-Lucent-4"/>
    <w:semiHidden/>
    <w:qFormat/>
    <w:uiPriority w:val="0"/>
    <w:rPr>
      <w:rFonts w:ascii="Arial" w:hAnsi="Arial" w:cs="Arial"/>
      <w:color w:val="auto"/>
      <w:sz w:val="20"/>
      <w:szCs w:val="20"/>
    </w:rPr>
  </w:style>
  <w:style w:type="character" w:customStyle="1" w:styleId="79">
    <w:name w:val="B1 Char1"/>
    <w:qFormat/>
    <w:uiPriority w:val="0"/>
    <w:rPr>
      <w:rFonts w:ascii="Times New Roman" w:hAnsi="Times New Roman"/>
      <w:lang w:val="en-GB" w:eastAsia="en-US"/>
    </w:rPr>
  </w:style>
  <w:style w:type="character" w:customStyle="1" w:styleId="80">
    <w:name w:val="Comment Text Char"/>
    <w:basedOn w:val="41"/>
    <w:link w:val="15"/>
    <w:semiHidden/>
    <w:qFormat/>
    <w:uiPriority w:val="0"/>
    <w:rPr>
      <w:rFonts w:ascii="Times" w:hAnsi="Times" w:eastAsia="Batang" w:cs="Times New Roman"/>
      <w:sz w:val="20"/>
      <w:szCs w:val="20"/>
      <w:lang w:val="en-GB"/>
    </w:rPr>
  </w:style>
  <w:style w:type="character" w:customStyle="1" w:styleId="81">
    <w:name w:val="Comment Subject Char"/>
    <w:basedOn w:val="80"/>
    <w:link w:val="36"/>
    <w:semiHidden/>
    <w:qFormat/>
    <w:uiPriority w:val="0"/>
    <w:rPr>
      <w:rFonts w:ascii="Times" w:hAnsi="Times" w:eastAsia="Batang" w:cs="Times New Roman"/>
      <w:b/>
      <w:bCs/>
      <w:sz w:val="20"/>
      <w:szCs w:val="20"/>
      <w:lang w:val="en-GB" w:eastAsia="zh-CN"/>
    </w:rPr>
  </w:style>
  <w:style w:type="paragraph" w:customStyle="1" w:styleId="82">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83">
    <w:name w:val="TAL"/>
    <w:basedOn w:val="1"/>
    <w:link w:val="101"/>
    <w:qFormat/>
    <w:uiPriority w:val="0"/>
    <w:pPr>
      <w:keepNext/>
      <w:keepLines/>
    </w:pPr>
    <w:rPr>
      <w:rFonts w:ascii="Arial" w:hAnsi="Arial" w:eastAsia="MS Mincho"/>
      <w:sz w:val="18"/>
      <w:szCs w:val="20"/>
    </w:rPr>
  </w:style>
  <w:style w:type="paragraph" w:customStyle="1" w:styleId="84">
    <w:name w:val="TAC"/>
    <w:basedOn w:val="1"/>
    <w:link w:val="130"/>
    <w:qFormat/>
    <w:uiPriority w:val="0"/>
    <w:pPr>
      <w:keepLines/>
      <w:spacing w:before="40" w:after="40"/>
      <w:jc w:val="center"/>
    </w:pPr>
    <w:rPr>
      <w:rFonts w:ascii="Times New Roman" w:hAnsi="Times New Roman" w:eastAsia="宋体"/>
      <w:szCs w:val="20"/>
      <w:lang w:eastAsia="zh-CN"/>
    </w:rPr>
  </w:style>
  <w:style w:type="paragraph" w:customStyle="1" w:styleId="85">
    <w:name w:val="TAH"/>
    <w:basedOn w:val="84"/>
    <w:link w:val="105"/>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86">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87">
    <w:name w:val="List Paragraph1"/>
    <w:basedOn w:val="1"/>
    <w:qFormat/>
    <w:uiPriority w:val="34"/>
    <w:pPr>
      <w:ind w:left="720"/>
      <w:contextualSpacing/>
    </w:pPr>
    <w:rPr>
      <w:rFonts w:ascii="Times New Roman" w:hAnsi="Times New Roman" w:eastAsia="Times New Roman"/>
      <w:sz w:val="24"/>
      <w:lang w:val="en-US" w:eastAsia="zh-CN"/>
    </w:rPr>
  </w:style>
  <w:style w:type="paragraph" w:customStyle="1" w:styleId="88">
    <w:name w:val="Statement Body"/>
    <w:basedOn w:val="1"/>
    <w:link w:val="89"/>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89">
    <w:name w:val="Statement Body Char"/>
    <w:link w:val="88"/>
    <w:qFormat/>
    <w:uiPriority w:val="0"/>
    <w:rPr>
      <w:rFonts w:ascii="Times New Roman" w:hAnsi="Times New Roman" w:eastAsia="Times New Roman" w:cs="Times New Roman"/>
      <w:sz w:val="20"/>
      <w:szCs w:val="24"/>
      <w:lang w:val="zh-CN" w:eastAsia="ko-KR"/>
    </w:rPr>
  </w:style>
  <w:style w:type="character" w:customStyle="1" w:styleId="90">
    <w:name w:val="B1 Zchn"/>
    <w:qFormat/>
    <w:uiPriority w:val="0"/>
    <w:rPr>
      <w:rFonts w:eastAsia="宋体"/>
      <w:lang w:val="en-US" w:eastAsia="en-US" w:bidi="ar-SA"/>
    </w:rPr>
  </w:style>
  <w:style w:type="paragraph" w:customStyle="1" w:styleId="91">
    <w:name w:val="Style Heading 1NMP Heading 1H1h11h12h13h14h15h16app headin..."/>
    <w:basedOn w:val="2"/>
    <w:qFormat/>
    <w:uiPriority w:val="0"/>
    <w:pPr>
      <w:numPr>
        <w:numId w:val="0"/>
      </w:numPr>
      <w:ind w:left="432" w:hanging="432"/>
    </w:pPr>
    <w:rPr>
      <w:sz w:val="28"/>
    </w:rPr>
  </w:style>
  <w:style w:type="character" w:customStyle="1" w:styleId="92">
    <w:name w:val="Alcatel-Lucent2"/>
    <w:semiHidden/>
    <w:qFormat/>
    <w:uiPriority w:val="0"/>
    <w:rPr>
      <w:rFonts w:ascii="Arial" w:hAnsi="Arial" w:cs="Arial"/>
      <w:color w:val="auto"/>
      <w:sz w:val="20"/>
      <w:szCs w:val="20"/>
    </w:rPr>
  </w:style>
  <w:style w:type="character" w:customStyle="1" w:styleId="93">
    <w:name w:val="Unresolved Mention"/>
    <w:semiHidden/>
    <w:unhideWhenUsed/>
    <w:qFormat/>
    <w:uiPriority w:val="99"/>
    <w:rPr>
      <w:color w:val="808080"/>
      <w:shd w:val="clear" w:color="auto" w:fill="E6E6E6"/>
    </w:rPr>
  </w:style>
  <w:style w:type="character" w:customStyle="1" w:styleId="94">
    <w:name w:val="Footer Char"/>
    <w:basedOn w:val="41"/>
    <w:link w:val="24"/>
    <w:qFormat/>
    <w:uiPriority w:val="99"/>
    <w:rPr>
      <w:rFonts w:ascii="Times" w:hAnsi="Times" w:eastAsia="Batang" w:cs="Times New Roman"/>
      <w:sz w:val="20"/>
      <w:szCs w:val="24"/>
      <w:lang w:val="en-GB"/>
    </w:rPr>
  </w:style>
  <w:style w:type="paragraph" w:customStyle="1" w:styleId="95">
    <w:name w:val="Comments"/>
    <w:basedOn w:val="1"/>
    <w:link w:val="96"/>
    <w:qFormat/>
    <w:uiPriority w:val="0"/>
    <w:pPr>
      <w:spacing w:before="40"/>
    </w:pPr>
    <w:rPr>
      <w:rFonts w:ascii="Arial" w:hAnsi="Arial" w:eastAsia="MS Mincho"/>
      <w:i/>
      <w:sz w:val="18"/>
      <w:lang w:eastAsia="en-GB"/>
    </w:rPr>
  </w:style>
  <w:style w:type="character" w:customStyle="1" w:styleId="96">
    <w:name w:val="Comments Char"/>
    <w:link w:val="95"/>
    <w:qFormat/>
    <w:uiPriority w:val="0"/>
    <w:rPr>
      <w:rFonts w:ascii="Arial" w:hAnsi="Arial" w:eastAsia="MS Mincho" w:cs="Times New Roman"/>
      <w:i/>
      <w:sz w:val="18"/>
      <w:szCs w:val="24"/>
      <w:lang w:val="en-GB" w:eastAsia="en-GB"/>
    </w:rPr>
  </w:style>
  <w:style w:type="character" w:customStyle="1" w:styleId="97">
    <w:name w:val="(文字) (文字)5"/>
    <w:semiHidden/>
    <w:qFormat/>
    <w:uiPriority w:val="0"/>
    <w:rPr>
      <w:rFonts w:ascii="Times New Roman" w:hAnsi="Times New Roman"/>
      <w:lang w:eastAsia="en-US"/>
    </w:rPr>
  </w:style>
  <w:style w:type="paragraph" w:styleId="98">
    <w:name w:val="List Paragraph"/>
    <w:basedOn w:val="1"/>
    <w:link w:val="127"/>
    <w:qFormat/>
    <w:uiPriority w:val="34"/>
    <w:pPr>
      <w:ind w:left="840" w:leftChars="400"/>
    </w:pPr>
    <w:rPr>
      <w:lang w:eastAsia="zh-CN"/>
    </w:rPr>
  </w:style>
  <w:style w:type="paragraph" w:customStyle="1" w:styleId="99">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100">
    <w:name w:val="Caption Char1"/>
    <w:link w:val="12"/>
    <w:qFormat/>
    <w:uiPriority w:val="0"/>
    <w:rPr>
      <w:rFonts w:ascii="Times New Roman" w:hAnsi="Times New Roman" w:eastAsia="Times New Roman" w:cs="Times New Roman"/>
      <w:b/>
      <w:sz w:val="20"/>
      <w:szCs w:val="20"/>
      <w:lang w:val="en-GB" w:eastAsia="ar-SA"/>
    </w:rPr>
  </w:style>
  <w:style w:type="character" w:customStyle="1" w:styleId="101">
    <w:name w:val="TAL Char"/>
    <w:link w:val="83"/>
    <w:qFormat/>
    <w:locked/>
    <w:uiPriority w:val="0"/>
    <w:rPr>
      <w:rFonts w:ascii="Arial" w:hAnsi="Arial" w:eastAsia="MS Mincho" w:cs="Times New Roman"/>
      <w:sz w:val="18"/>
      <w:szCs w:val="20"/>
      <w:lang w:val="en-GB"/>
    </w:rPr>
  </w:style>
  <w:style w:type="character" w:customStyle="1" w:styleId="102">
    <w:name w:val="TAL Car"/>
    <w:qFormat/>
    <w:uiPriority w:val="0"/>
    <w:rPr>
      <w:rFonts w:ascii="Arial" w:hAnsi="Arial" w:eastAsia="Times New Roman" w:cs="Times New Roman"/>
      <w:sz w:val="18"/>
      <w:szCs w:val="20"/>
      <w:lang w:val="en-GB" w:eastAsia="en-GB"/>
    </w:rPr>
  </w:style>
  <w:style w:type="paragraph" w:customStyle="1" w:styleId="103">
    <w:name w:val="TH"/>
    <w:basedOn w:val="1"/>
    <w:link w:val="10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104">
    <w:name w:val="TH Char"/>
    <w:link w:val="103"/>
    <w:qFormat/>
    <w:uiPriority w:val="0"/>
    <w:rPr>
      <w:rFonts w:ascii="Arial" w:hAnsi="Arial" w:eastAsia="Times New Roman" w:cs="Times New Roman"/>
      <w:b/>
      <w:sz w:val="20"/>
      <w:szCs w:val="20"/>
      <w:lang w:val="en-GB" w:eastAsia="en-GB"/>
    </w:rPr>
  </w:style>
  <w:style w:type="character" w:customStyle="1" w:styleId="105">
    <w:name w:val="TAH Car"/>
    <w:link w:val="85"/>
    <w:qFormat/>
    <w:locked/>
    <w:uiPriority w:val="0"/>
    <w:rPr>
      <w:rFonts w:ascii="Arial" w:hAnsi="Arial" w:eastAsia="Times New Roman" w:cs="Times New Roman"/>
      <w:b/>
      <w:sz w:val="18"/>
      <w:szCs w:val="20"/>
      <w:lang w:val="en-GB" w:eastAsia="en-GB"/>
    </w:rPr>
  </w:style>
  <w:style w:type="paragraph" w:customStyle="1" w:styleId="106">
    <w:name w:val="Doc-text2"/>
    <w:basedOn w:val="1"/>
    <w:link w:val="107"/>
    <w:qFormat/>
    <w:uiPriority w:val="0"/>
    <w:pPr>
      <w:tabs>
        <w:tab w:val="left" w:pos="1622"/>
      </w:tabs>
      <w:ind w:left="1622" w:hanging="363"/>
    </w:pPr>
    <w:rPr>
      <w:rFonts w:ascii="Arial" w:hAnsi="Arial" w:eastAsia="MS Mincho"/>
      <w:lang w:eastAsia="en-GB"/>
    </w:rPr>
  </w:style>
  <w:style w:type="character" w:customStyle="1" w:styleId="107">
    <w:name w:val="Doc-text2 Char"/>
    <w:link w:val="106"/>
    <w:qFormat/>
    <w:uiPriority w:val="0"/>
    <w:rPr>
      <w:rFonts w:ascii="Arial" w:hAnsi="Arial" w:eastAsia="MS Mincho" w:cs="Times New Roman"/>
      <w:sz w:val="20"/>
      <w:szCs w:val="24"/>
      <w:lang w:val="en-GB" w:eastAsia="en-GB"/>
    </w:rPr>
  </w:style>
  <w:style w:type="paragraph" w:customStyle="1" w:styleId="108">
    <w:name w:val="List Paragraph3"/>
    <w:basedOn w:val="1"/>
    <w:qFormat/>
    <w:uiPriority w:val="0"/>
    <w:pPr>
      <w:ind w:left="720"/>
      <w:contextualSpacing/>
    </w:pPr>
    <w:rPr>
      <w:rFonts w:ascii="Times New Roman" w:hAnsi="Times New Roman" w:eastAsia="Times New Roman"/>
      <w:sz w:val="24"/>
      <w:lang w:val="en-US" w:eastAsia="zh-CN"/>
    </w:rPr>
  </w:style>
  <w:style w:type="paragraph" w:customStyle="1" w:styleId="109">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10">
    <w:name w:val="Plain Text Char"/>
    <w:basedOn w:val="41"/>
    <w:link w:val="20"/>
    <w:qFormat/>
    <w:uiPriority w:val="99"/>
    <w:rPr>
      <w:rFonts w:ascii="Arial" w:hAnsi="Arial" w:eastAsia="MS Gothic" w:cs="Times New Roman"/>
      <w:color w:val="000000"/>
      <w:sz w:val="20"/>
      <w:szCs w:val="20"/>
      <w:lang w:val="zh-CN"/>
    </w:rPr>
  </w:style>
  <w:style w:type="paragraph" w:customStyle="1" w:styleId="111">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2">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3">
    <w:name w:val="Subtle Emphasis"/>
    <w:qFormat/>
    <w:uiPriority w:val="19"/>
    <w:rPr>
      <w:i/>
      <w:iCs/>
      <w:color w:val="404040"/>
    </w:rPr>
  </w:style>
  <w:style w:type="character" w:customStyle="1" w:styleId="114">
    <w:name w:val="标题 5 Char"/>
    <w:link w:val="115"/>
    <w:qFormat/>
    <w:uiPriority w:val="0"/>
    <w:rPr>
      <w:rFonts w:ascii="Arial" w:hAnsi="Arial"/>
    </w:rPr>
  </w:style>
  <w:style w:type="paragraph" w:customStyle="1" w:styleId="115">
    <w:name w:val="标题 51"/>
    <w:basedOn w:val="1"/>
    <w:link w:val="114"/>
    <w:qFormat/>
    <w:uiPriority w:val="0"/>
    <w:pPr>
      <w:keepNext/>
      <w:tabs>
        <w:tab w:val="left" w:pos="1008"/>
      </w:tabs>
      <w:spacing w:before="240" w:after="60"/>
      <w:ind w:left="1008" w:hanging="1008"/>
    </w:pPr>
    <w:rPr>
      <w:rFonts w:ascii="Arial" w:hAnsi="Arial" w:eastAsiaTheme="minorHAnsi" w:cstheme="minorBidi"/>
      <w:sz w:val="22"/>
      <w:szCs w:val="22"/>
      <w:lang w:val="en-US"/>
    </w:rPr>
  </w:style>
  <w:style w:type="paragraph" w:customStyle="1" w:styleId="116">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7">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8">
    <w:name w:val="标题 611"/>
    <w:basedOn w:val="1"/>
    <w:qFormat/>
    <w:uiPriority w:val="0"/>
    <w:pPr>
      <w:tabs>
        <w:tab w:val="left" w:pos="1152"/>
      </w:tabs>
    </w:pPr>
    <w:rPr>
      <w:rFonts w:eastAsia="MS PGothic" w:cs="Times"/>
      <w:szCs w:val="20"/>
      <w:lang w:val="en-US" w:eastAsia="ja-JP"/>
    </w:rPr>
  </w:style>
  <w:style w:type="paragraph" w:customStyle="1" w:styleId="119">
    <w:name w:val="标题 711"/>
    <w:basedOn w:val="1"/>
    <w:uiPriority w:val="0"/>
    <w:pPr>
      <w:tabs>
        <w:tab w:val="left" w:pos="1296"/>
      </w:tabs>
    </w:pPr>
    <w:rPr>
      <w:rFonts w:eastAsia="MS PGothic" w:cs="Times"/>
      <w:szCs w:val="20"/>
      <w:lang w:val="en-US" w:eastAsia="ja-JP"/>
    </w:rPr>
  </w:style>
  <w:style w:type="paragraph" w:customStyle="1" w:styleId="120">
    <w:name w:val="スタイル 見出し 3no breakH3Underrubrik2h3Memo Heading 3helloTitre ..."/>
    <w:basedOn w:val="4"/>
    <w:uiPriority w:val="0"/>
    <w:pPr>
      <w:numPr>
        <w:numId w:val="5"/>
      </w:numPr>
    </w:pPr>
  </w:style>
  <w:style w:type="paragraph" w:customStyle="1" w:styleId="121">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2">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3">
    <w:name w:val="Heading 1 Char1"/>
    <w:link w:val="2"/>
    <w:uiPriority w:val="9"/>
    <w:rPr>
      <w:rFonts w:ascii="Arial" w:hAnsi="Arial" w:eastAsia="Batang" w:cs="Times New Roman"/>
      <w:b/>
      <w:bCs/>
      <w:kern w:val="32"/>
      <w:sz w:val="32"/>
      <w:szCs w:val="32"/>
      <w:lang w:val="en-GB" w:eastAsia="zh-CN"/>
    </w:rPr>
  </w:style>
  <w:style w:type="character" w:customStyle="1" w:styleId="124">
    <w:name w:val="Heading 2 Char1"/>
    <w:link w:val="3"/>
    <w:qFormat/>
    <w:uiPriority w:val="9"/>
    <w:rPr>
      <w:rFonts w:ascii="Arial" w:hAnsi="Arial" w:eastAsia="Batang" w:cs="Times New Roman"/>
      <w:b/>
      <w:bCs/>
      <w:i/>
      <w:iCs/>
      <w:sz w:val="24"/>
      <w:szCs w:val="28"/>
      <w:lang w:val="en-GB" w:eastAsia="zh-CN"/>
    </w:rPr>
  </w:style>
  <w:style w:type="paragraph" w:customStyle="1" w:styleId="125">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6">
    <w:name w:val="标题 61"/>
    <w:basedOn w:val="1"/>
    <w:qFormat/>
    <w:uiPriority w:val="0"/>
    <w:pPr>
      <w:tabs>
        <w:tab w:val="left" w:pos="1152"/>
      </w:tabs>
    </w:pPr>
    <w:rPr>
      <w:rFonts w:eastAsia="MS PGothic" w:cs="Times"/>
      <w:szCs w:val="20"/>
      <w:lang w:val="en-US" w:eastAsia="ja-JP"/>
    </w:rPr>
  </w:style>
  <w:style w:type="character" w:customStyle="1" w:styleId="127">
    <w:name w:val="List Paragraph Char"/>
    <w:link w:val="98"/>
    <w:qFormat/>
    <w:uiPriority w:val="34"/>
    <w:rPr>
      <w:rFonts w:ascii="Times" w:hAnsi="Times" w:eastAsia="Batang" w:cs="Times New Roman"/>
      <w:sz w:val="20"/>
      <w:szCs w:val="24"/>
      <w:lang w:val="en-GB" w:eastAsia="zh-CN"/>
    </w:rPr>
  </w:style>
  <w:style w:type="paragraph" w:customStyle="1" w:styleId="128">
    <w:name w:val="List Paragraph8"/>
    <w:basedOn w:val="1"/>
    <w:qFormat/>
    <w:uiPriority w:val="0"/>
    <w:pPr>
      <w:ind w:left="720"/>
      <w:contextualSpacing/>
    </w:pPr>
    <w:rPr>
      <w:rFonts w:ascii="Times New Roman" w:hAnsi="Times New Roman" w:eastAsia="Times New Roman"/>
      <w:sz w:val="24"/>
      <w:lang w:val="en-US" w:eastAsia="zh-CN"/>
    </w:rPr>
  </w:style>
  <w:style w:type="paragraph" w:styleId="129">
    <w:name w:val="No Spacing"/>
    <w:qFormat/>
    <w:uiPriority w:val="1"/>
    <w:pPr>
      <w:spacing w:after="0" w:line="240" w:lineRule="auto"/>
      <w:ind w:left="720" w:hanging="360"/>
    </w:pPr>
    <w:rPr>
      <w:rFonts w:ascii="Calibri" w:hAnsi="Calibri" w:eastAsia="宋体" w:cs="Times New Roman"/>
      <w:sz w:val="22"/>
      <w:szCs w:val="22"/>
      <w:lang w:val="en-US" w:eastAsia="zh-CN" w:bidi="ar-SA"/>
    </w:rPr>
  </w:style>
  <w:style w:type="character" w:customStyle="1" w:styleId="130">
    <w:name w:val="TAC Char"/>
    <w:link w:val="84"/>
    <w:qFormat/>
    <w:uiPriority w:val="0"/>
    <w:rPr>
      <w:rFonts w:ascii="Times New Roman" w:hAnsi="Times New Roman" w:eastAsia="宋体" w:cs="Times New Roman"/>
      <w:sz w:val="20"/>
      <w:szCs w:val="20"/>
      <w:lang w:val="en-GB" w:eastAsia="zh-CN"/>
    </w:rPr>
  </w:style>
  <w:style w:type="paragraph" w:customStyle="1" w:styleId="131">
    <w:name w:val="Style Heading 1H1h1app heading 1l1Memo Heading 1h11h12h13h..."/>
    <w:basedOn w:val="2"/>
    <w:uiPriority w:val="0"/>
    <w:pPr>
      <w:numPr>
        <w:numId w:val="5"/>
      </w:numPr>
    </w:pPr>
    <w:rPr>
      <w:rFonts w:ascii="Helvetica" w:hAnsi="Helvetica" w:eastAsia="Times New Roman"/>
      <w:sz w:val="28"/>
      <w:szCs w:val="20"/>
      <w:lang w:val="en-US" w:eastAsia="en-US"/>
    </w:rPr>
  </w:style>
  <w:style w:type="paragraph" w:customStyle="1" w:styleId="132">
    <w:name w:val="标题 71"/>
    <w:basedOn w:val="1"/>
    <w:qFormat/>
    <w:uiPriority w:val="0"/>
    <w:pPr>
      <w:tabs>
        <w:tab w:val="left" w:pos="1296"/>
      </w:tabs>
    </w:pPr>
    <w:rPr>
      <w:rFonts w:eastAsia="MS PGothic" w:cs="Times"/>
      <w:szCs w:val="20"/>
      <w:lang w:val="en-US" w:eastAsia="ja-JP"/>
    </w:rPr>
  </w:style>
  <w:style w:type="paragraph" w:customStyle="1" w:styleId="133">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4">
    <w:name w:val="th"/>
    <w:basedOn w:val="1"/>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5">
    <w:name w:val="tah"/>
    <w:basedOn w:val="1"/>
    <w:uiPriority w:val="0"/>
    <w:pPr>
      <w:keepNext/>
      <w:autoSpaceDE w:val="0"/>
      <w:autoSpaceDN w:val="0"/>
      <w:jc w:val="center"/>
    </w:pPr>
    <w:rPr>
      <w:rFonts w:ascii="Arial" w:hAnsi="Arial" w:eastAsia="宋体" w:cs="Arial"/>
      <w:b/>
      <w:bCs/>
      <w:sz w:val="18"/>
      <w:szCs w:val="18"/>
      <w:lang w:val="en-US" w:eastAsia="zh-CN"/>
    </w:rPr>
  </w:style>
  <w:style w:type="paragraph" w:customStyle="1" w:styleId="136">
    <w:name w:val="IvD bodytext"/>
    <w:basedOn w:val="16"/>
    <w:link w:val="137"/>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7">
    <w:name w:val="IvD bodytext Char"/>
    <w:link w:val="136"/>
    <w:qFormat/>
    <w:uiPriority w:val="0"/>
    <w:rPr>
      <w:rFonts w:ascii="Arial" w:hAnsi="Arial" w:eastAsia="Times New Roman" w:cs="Times New Roman"/>
      <w:spacing w:val="2"/>
      <w:sz w:val="20"/>
      <w:szCs w:val="20"/>
    </w:rPr>
  </w:style>
  <w:style w:type="paragraph" w:customStyle="1" w:styleId="138">
    <w:name w:val="スタイル 見出し 4h4H4H41h41H42h42H43h43H411h411H421h421H44h...2"/>
    <w:basedOn w:val="5"/>
    <w:qFormat/>
    <w:uiPriority w:val="0"/>
    <w:pPr>
      <w:numPr>
        <w:numId w:val="5"/>
      </w:numPr>
    </w:pPr>
    <w:rPr>
      <w:rFonts w:eastAsia="MS Mincho"/>
      <w:iCs/>
      <w:color w:val="000000"/>
    </w:rPr>
  </w:style>
  <w:style w:type="character" w:customStyle="1" w:styleId="139">
    <w:name w:val="表 (青) 13 (文字)"/>
    <w:qFormat/>
    <w:locked/>
    <w:uiPriority w:val="34"/>
    <w:rPr>
      <w:rFonts w:eastAsia="MS Gothic"/>
      <w:sz w:val="24"/>
      <w:szCs w:val="24"/>
      <w:lang w:val="en-GB" w:eastAsia="en-US"/>
    </w:rPr>
  </w:style>
  <w:style w:type="paragraph" w:customStyle="1" w:styleId="140">
    <w:name w:val="LGTdoc_본문"/>
    <w:basedOn w:val="1"/>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41">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2">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3">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paragraph" w:customStyle="1" w:styleId="144">
    <w:name w:val="スタイル 見出し 4h4H4H41h41H42h42H43h43H411h411H421h421H44h...3"/>
    <w:basedOn w:val="5"/>
    <w:qFormat/>
    <w:uiPriority w:val="0"/>
    <w:pPr>
      <w:numPr>
        <w:ilvl w:val="0"/>
        <w:numId w:val="0"/>
      </w:numPr>
      <w:ind w:left="2880" w:hanging="360"/>
    </w:pPr>
    <w:rPr>
      <w:rFonts w:eastAsia="宋体"/>
      <w:iCs/>
    </w:rPr>
  </w:style>
  <w:style w:type="paragraph" w:customStyle="1" w:styleId="145">
    <w:name w:val="スタイル 見出し 4h4H4H41h41H42h42H43h43H411h411H421h421H44h..."/>
    <w:basedOn w:val="5"/>
    <w:qFormat/>
    <w:uiPriority w:val="0"/>
    <w:pPr>
      <w:numPr>
        <w:numId w:val="6"/>
      </w:numPr>
    </w:pPr>
    <w:rPr>
      <w:iCs/>
    </w:rPr>
  </w:style>
  <w:style w:type="character" w:customStyle="1" w:styleId="146">
    <w:name w:val="Mention"/>
    <w:semiHidden/>
    <w:unhideWhenUsed/>
    <w:qFormat/>
    <w:uiPriority w:val="99"/>
    <w:rPr>
      <w:color w:val="2B579A"/>
      <w:shd w:val="clear" w:color="auto" w:fill="E6E6E6"/>
    </w:rPr>
  </w:style>
  <w:style w:type="paragraph" w:customStyle="1" w:styleId="147">
    <w:name w:val="Revision"/>
    <w:hidden/>
    <w:semiHidden/>
    <w:qFormat/>
    <w:uiPriority w:val="99"/>
    <w:pPr>
      <w:spacing w:after="0" w:line="240" w:lineRule="auto"/>
      <w:ind w:left="720" w:hanging="360"/>
    </w:pPr>
    <w:rPr>
      <w:rFonts w:ascii="Times" w:hAnsi="Times" w:eastAsia="Batang" w:cs="Times New Roman"/>
      <w:sz w:val="20"/>
      <w:szCs w:val="24"/>
      <w:lang w:val="en-GB" w:eastAsia="en-US" w:bidi="ar-SA"/>
    </w:rPr>
  </w:style>
  <w:style w:type="paragraph" w:customStyle="1" w:styleId="148">
    <w:name w:val="x_msonormal"/>
    <w:basedOn w:val="1"/>
    <w:qFormat/>
    <w:uiPriority w:val="99"/>
    <w:rPr>
      <w:rFonts w:ascii="Calibri" w:hAnsi="Calibri" w:eastAsia="Calibri" w:cs="Calibri"/>
      <w:sz w:val="22"/>
      <w:szCs w:val="22"/>
      <w:lang w:val="en-US"/>
    </w:rPr>
  </w:style>
  <w:style w:type="paragraph" w:customStyle="1" w:styleId="149">
    <w:name w:val="maintext"/>
    <w:basedOn w:val="1"/>
    <w:qFormat/>
    <w:uiPriority w:val="0"/>
    <w:pPr>
      <w:spacing w:before="100" w:beforeAutospacing="1" w:after="100" w:afterAutospacing="1"/>
    </w:pPr>
    <w:rPr>
      <w:rFonts w:ascii="Calibri" w:hAnsi="Calibri" w:eastAsia="Calibri" w:cs="Calibri"/>
      <w:sz w:val="22"/>
      <w:szCs w:val="22"/>
      <w:lang w:val="en-US"/>
    </w:rPr>
  </w:style>
  <w:style w:type="character" w:customStyle="1" w:styleId="150">
    <w:name w:val="リスト段落 (文字)"/>
    <w:qFormat/>
    <w:locked/>
    <w:uiPriority w:val="34"/>
    <w:rPr>
      <w:rFonts w:ascii="MS Gothic" w:hAnsi="MS Gothic" w:eastAsia="MS Gothic"/>
    </w:rPr>
  </w:style>
  <w:style w:type="character" w:customStyle="1" w:styleId="151">
    <w:name w:val="Heading 3 Char1"/>
    <w:qFormat/>
    <w:uiPriority w:val="0"/>
    <w:rPr>
      <w:rFonts w:ascii="Arial" w:hAnsi="Arial"/>
      <w:b/>
      <w:szCs w:val="26"/>
      <w:lang w:val="en-GB" w:eastAsia="zh-CN"/>
    </w:rPr>
  </w:style>
  <w:style w:type="character" w:customStyle="1" w:styleId="152">
    <w:name w:val="Heading 4 Char1"/>
    <w:qFormat/>
    <w:uiPriority w:val="9"/>
    <w:rPr>
      <w:rFonts w:ascii="Arial" w:hAnsi="Arial"/>
      <w:b/>
      <w:i/>
      <w:szCs w:val="26"/>
      <w:lang w:val="en-GB" w:eastAsia="zh-CN"/>
    </w:rPr>
  </w:style>
  <w:style w:type="character" w:customStyle="1" w:styleId="153">
    <w:name w:val="Body Text 2 Char"/>
    <w:basedOn w:val="41"/>
    <w:link w:val="33"/>
    <w:qFormat/>
    <w:uiPriority w:val="0"/>
    <w:rPr>
      <w:rFonts w:ascii="Times" w:hAnsi="Times" w:eastAsia="Batang" w:cs="Times New Roman"/>
      <w:sz w:val="20"/>
      <w:szCs w:val="24"/>
      <w:lang w:val="en-GB"/>
    </w:rPr>
  </w:style>
  <w:style w:type="paragraph" w:customStyle="1" w:styleId="154">
    <w:name w:val="Paragraph"/>
    <w:basedOn w:val="1"/>
    <w:link w:val="155"/>
    <w:qFormat/>
    <w:uiPriority w:val="0"/>
    <w:pPr>
      <w:spacing w:before="220"/>
    </w:pPr>
    <w:rPr>
      <w:rFonts w:ascii="Times New Roman" w:hAnsi="Times New Roman" w:eastAsia="宋体"/>
      <w:sz w:val="22"/>
      <w:szCs w:val="20"/>
    </w:rPr>
  </w:style>
  <w:style w:type="character" w:customStyle="1" w:styleId="155">
    <w:name w:val="Paragraph Char"/>
    <w:link w:val="154"/>
    <w:qFormat/>
    <w:locked/>
    <w:uiPriority w:val="0"/>
    <w:rPr>
      <w:rFonts w:ascii="Times New Roman" w:hAnsi="Times New Roman" w:eastAsia="宋体" w:cs="Times New Roman"/>
      <w:szCs w:val="20"/>
      <w:lang w:val="en-GB"/>
    </w:rPr>
  </w:style>
  <w:style w:type="character" w:customStyle="1" w:styleId="156">
    <w:name w:val="Colorful List - Accent 1 Char"/>
    <w:qFormat/>
    <w:locked/>
    <w:uiPriority w:val="34"/>
    <w:rPr>
      <w:rFonts w:eastAsia="MS Gothic"/>
      <w:sz w:val="24"/>
      <w:szCs w:val="24"/>
      <w:lang w:eastAsia="en-US"/>
    </w:rPr>
  </w:style>
  <w:style w:type="paragraph" w:customStyle="1" w:styleId="157">
    <w:name w:val="main text"/>
    <w:basedOn w:val="1"/>
    <w:link w:val="158"/>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8">
    <w:name w:val="main text Char"/>
    <w:link w:val="157"/>
    <w:qFormat/>
    <w:uiPriority w:val="0"/>
    <w:rPr>
      <w:rFonts w:ascii="Times New Roman" w:hAnsi="Times New Roman" w:eastAsia="Malgun Gothic" w:cs="Times New Roman"/>
      <w:sz w:val="20"/>
      <w:szCs w:val="20"/>
      <w:lang w:val="en-GB" w:eastAsia="ko-KR"/>
    </w:rPr>
  </w:style>
  <w:style w:type="table" w:customStyle="1" w:styleId="159">
    <w:name w:val="Grid Table 4 Accent 5"/>
    <w:basedOn w:val="37"/>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60">
    <w:name w:val="emailstyle15"/>
    <w:semiHidden/>
    <w:qFormat/>
    <w:uiPriority w:val="0"/>
    <w:rPr>
      <w:color w:val="000000"/>
    </w:rPr>
  </w:style>
  <w:style w:type="character" w:customStyle="1" w:styleId="161">
    <w:name w:val="列出段落 字符"/>
    <w:qFormat/>
    <w:locked/>
    <w:uiPriority w:val="34"/>
    <w:rPr>
      <w:rFonts w:ascii="Calibri" w:hAnsi="Calibri" w:cs="Calibri"/>
      <w:lang w:eastAsia="ko-KR"/>
    </w:rPr>
  </w:style>
  <w:style w:type="paragraph" w:customStyle="1" w:styleId="162">
    <w:name w:val="xxmsonormal"/>
    <w:basedOn w:val="1"/>
    <w:qFormat/>
    <w:uiPriority w:val="0"/>
    <w:rPr>
      <w:rFonts w:ascii="宋体" w:hAnsi="宋体" w:eastAsia="宋体" w:cs="宋体"/>
      <w:sz w:val="24"/>
      <w:lang w:val="en-US" w:eastAsia="zh-CN"/>
    </w:rPr>
  </w:style>
  <w:style w:type="paragraph" w:customStyle="1" w:styleId="163">
    <w:name w:val="TAN"/>
    <w:basedOn w:val="1"/>
    <w:qFormat/>
    <w:uiPriority w:val="0"/>
    <w:pPr>
      <w:keepNext/>
      <w:ind w:left="851" w:hanging="851"/>
    </w:pPr>
    <w:rPr>
      <w:rFonts w:ascii="Arial" w:hAnsi="Arial" w:eastAsia="Calibri" w:cs="Arial"/>
      <w:sz w:val="18"/>
      <w:szCs w:val="18"/>
      <w:lang w:val="en-US"/>
    </w:rPr>
  </w:style>
  <w:style w:type="character" w:customStyle="1" w:styleId="164">
    <w:name w:val="apple-converted-space"/>
    <w:basedOn w:val="41"/>
    <w:qFormat/>
    <w:uiPriority w:val="0"/>
  </w:style>
  <w:style w:type="table" w:customStyle="1" w:styleId="165">
    <w:name w:val="网格型1"/>
    <w:basedOn w:val="37"/>
    <w:qFormat/>
    <w:uiPriority w:val="39"/>
    <w:pPr>
      <w:spacing w:after="0" w:line="240" w:lineRule="auto"/>
    </w:pPr>
    <w:rPr>
      <w:rFonts w:ascii="Calibri" w:hAnsi="Calibri"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a0"/>
    <w:basedOn w:val="1"/>
    <w:qFormat/>
    <w:uiPriority w:val="99"/>
    <w:pPr>
      <w:spacing w:before="100" w:beforeAutospacing="1" w:after="100" w:afterAutospacing="1"/>
    </w:pPr>
    <w:rPr>
      <w:rFonts w:ascii="Calibri" w:hAnsi="Calibri" w:eastAsia="Calibri" w:cs="Calibri"/>
      <w:sz w:val="22"/>
      <w:szCs w:val="22"/>
      <w:lang w:val="en-US"/>
    </w:rPr>
  </w:style>
  <w:style w:type="character" w:customStyle="1" w:styleId="167">
    <w:name w:val="题注 字符"/>
    <w:qFormat/>
    <w:locked/>
    <w:uiPriority w:val="0"/>
    <w:rPr>
      <w:rFonts w:ascii="Malgun Gothic" w:hAnsi="Malgun Gothic" w:eastAsia="Malgun Gothic"/>
      <w:b/>
      <w:bCs/>
    </w:rPr>
  </w:style>
  <w:style w:type="paragraph" w:customStyle="1" w:styleId="168">
    <w:name w:val="xmsonormal"/>
    <w:basedOn w:val="1"/>
    <w:qFormat/>
    <w:uiPriority w:val="0"/>
    <w:pPr>
      <w:spacing w:before="100" w:beforeAutospacing="1" w:after="100" w:afterAutospacing="1"/>
    </w:pPr>
    <w:rPr>
      <w:rFonts w:ascii="Calibri" w:hAnsi="Calibri" w:eastAsia="Calibri" w:cs="Calibri"/>
      <w:sz w:val="22"/>
      <w:szCs w:val="22"/>
      <w:lang w:val="en-US"/>
    </w:rPr>
  </w:style>
  <w:style w:type="paragraph" w:customStyle="1" w:styleId="169">
    <w:name w:val="TOC Heading"/>
    <w:basedOn w:val="2"/>
    <w:next w:val="1"/>
    <w:unhideWhenUsed/>
    <w:qFormat/>
    <w:uiPriority w:val="39"/>
    <w:pPr>
      <w:keepNext/>
      <w:keepLines/>
      <w:widowControl/>
      <w:numPr>
        <w:numId w:val="0"/>
      </w:numPr>
      <w:spacing w:after="0" w:line="259" w:lineRule="auto"/>
      <w:outlineLvl w:val="9"/>
    </w:pPr>
    <w:rPr>
      <w:rFonts w:ascii="Calibri Light" w:hAnsi="Calibri Light" w:eastAsia="Times New Roman"/>
      <w:b w:val="0"/>
      <w:bCs w:val="0"/>
      <w:color w:val="2F5496"/>
      <w:kern w:val="0"/>
      <w:lang w:val="en-US" w:eastAsia="en-US"/>
    </w:rPr>
  </w:style>
  <w:style w:type="paragraph" w:customStyle="1" w:styleId="170">
    <w:name w:val="Reference"/>
    <w:basedOn w:val="16"/>
    <w:link w:val="171"/>
    <w:qFormat/>
    <w:uiPriority w:val="0"/>
    <w:pPr>
      <w:numPr>
        <w:ilvl w:val="0"/>
        <w:numId w:val="7"/>
      </w:numPr>
      <w:overflowPunct w:val="0"/>
      <w:autoSpaceDE w:val="0"/>
      <w:autoSpaceDN w:val="0"/>
      <w:adjustRightInd w:val="0"/>
      <w:spacing w:line="259" w:lineRule="auto"/>
      <w:textAlignment w:val="baseline"/>
    </w:pPr>
    <w:rPr>
      <w:rFonts w:ascii="Arial" w:hAnsi="Arial" w:eastAsia="等线"/>
      <w:szCs w:val="20"/>
      <w:lang w:eastAsia="zh-CN"/>
    </w:rPr>
  </w:style>
  <w:style w:type="character" w:customStyle="1" w:styleId="171">
    <w:name w:val="Reference Char"/>
    <w:link w:val="170"/>
    <w:qFormat/>
    <w:uiPriority w:val="0"/>
    <w:rPr>
      <w:rFonts w:ascii="Arial" w:hAnsi="Arial" w:eastAsia="等线" w:cs="Times New Roman"/>
      <w:sz w:val="20"/>
      <w:szCs w:val="20"/>
      <w:lang w:val="en-GB" w:eastAsia="zh-CN"/>
    </w:rPr>
  </w:style>
  <w:style w:type="paragraph" w:customStyle="1" w:styleId="172">
    <w:name w:val="CR Cover Page"/>
    <w:qFormat/>
    <w:uiPriority w:val="0"/>
    <w:pPr>
      <w:spacing w:after="120"/>
    </w:pPr>
    <w:rPr>
      <w:rFonts w:ascii="Arial" w:hAnsi="Arial"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1823</Words>
  <Characters>9532</Characters>
  <Lines>72</Lines>
  <Paragraphs>20</Paragraphs>
  <TotalTime>4</TotalTime>
  <ScaleCrop>false</ScaleCrop>
  <LinksUpToDate>false</LinksUpToDate>
  <CharactersWithSpaces>11501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2021-10-21T05:39:00Z</dcterms:created>
  <dc:creator>ZTE-Ziyang</dc:creator>
  <cp:lastModifiedBy>ZTE-Ziyang</cp:lastModifiedBy>
  <dcterms:modified xsi:type="dcterms:W3CDTF">2022-03-04T06:13:48Z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