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F0B5ED0"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2C6DFA">
        <w:rPr>
          <w:b/>
          <w:lang w:eastAsia="zh-CN"/>
        </w:rPr>
        <w:t>2</w:t>
      </w:r>
      <w:r>
        <w:rPr>
          <w:b/>
          <w:lang w:eastAsia="zh-CN"/>
        </w:rPr>
        <w:t xml:space="preserve">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00C0A531" w14:textId="798E0B8F" w:rsidR="003C4EA1" w:rsidRDefault="003C4EA1" w:rsidP="003C4EA1">
      <w:pPr>
        <w:pStyle w:val="1"/>
        <w:rPr>
          <w:lang w:eastAsia="zh-CN"/>
        </w:rPr>
      </w:pPr>
      <w:r>
        <w:rPr>
          <w:rFonts w:hint="eastAsia"/>
          <w:lang w:eastAsia="zh-CN"/>
        </w:rPr>
        <w:t>Discussion</w:t>
      </w:r>
    </w:p>
    <w:p w14:paraId="73514049" w14:textId="77777777" w:rsidR="00D32EC5" w:rsidRDefault="00D32EC5" w:rsidP="00D32EC5">
      <w:pPr>
        <w:pStyle w:val="2"/>
        <w:rPr>
          <w:lang w:eastAsia="zh-CN"/>
        </w:rPr>
      </w:pPr>
      <w:r>
        <w:rPr>
          <w:lang w:eastAsia="zh-CN"/>
        </w:rPr>
        <w:t>Uplink power control</w:t>
      </w:r>
    </w:p>
    <w:p w14:paraId="0F1C27F5" w14:textId="77777777" w:rsidR="00D32EC5" w:rsidRDefault="00D32EC5" w:rsidP="00D32EC5">
      <w:pPr>
        <w:pStyle w:val="30"/>
      </w:pPr>
      <w:r>
        <w:rPr>
          <w:lang w:eastAsia="zh-CN"/>
        </w:rPr>
        <w:t>Issue 1: uplink power control</w:t>
      </w:r>
    </w:p>
    <w:p w14:paraId="5AACE8C7" w14:textId="7C7727EE" w:rsidR="001C2A81" w:rsidRPr="001C2A81" w:rsidRDefault="001C2A81" w:rsidP="00121C9C">
      <w:pPr>
        <w:spacing w:line="240" w:lineRule="auto"/>
        <w:rPr>
          <w:lang w:eastAsia="zh-CN"/>
        </w:rPr>
      </w:pPr>
      <w:r w:rsidRPr="001C2A81">
        <w:rPr>
          <w:lang w:eastAsia="zh-CN"/>
        </w:rPr>
        <w:t>F</w:t>
      </w:r>
      <w:r w:rsidRPr="001C2A81">
        <w:rPr>
          <w:rFonts w:hint="eastAsia"/>
          <w:lang w:eastAsia="zh-CN"/>
        </w:rPr>
        <w:t xml:space="preserve">rom </w:t>
      </w:r>
      <w:r w:rsidRPr="001C2A81">
        <w:rPr>
          <w:lang w:eastAsia="zh-CN"/>
        </w:rPr>
        <w:t xml:space="preserve">previous discussion, the following proposals are </w:t>
      </w:r>
      <w:r w:rsidR="00B260B4">
        <w:rPr>
          <w:lang w:eastAsia="zh-CN"/>
        </w:rPr>
        <w:t>agreeable.</w:t>
      </w:r>
    </w:p>
    <w:p w14:paraId="3CC94388" w14:textId="77777777" w:rsidR="00121C9C" w:rsidRDefault="00121C9C" w:rsidP="00121C9C">
      <w:pPr>
        <w:spacing w:line="240" w:lineRule="auto"/>
        <w:rPr>
          <w:b/>
          <w:sz w:val="20"/>
          <w:highlight w:val="green"/>
        </w:rPr>
      </w:pPr>
      <w:r>
        <w:rPr>
          <w:b/>
          <w:lang w:eastAsia="zh-CN"/>
        </w:rPr>
        <w:t>Proposal 1: confirm the following working assumption.</w:t>
      </w:r>
    </w:p>
    <w:p w14:paraId="10308C41" w14:textId="77777777" w:rsidR="00121C9C" w:rsidRDefault="00121C9C" w:rsidP="00121C9C">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318156E8" w14:textId="77777777" w:rsidR="00121C9C" w:rsidRDefault="00121C9C" w:rsidP="00121C9C">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9EFCC16" w14:textId="77777777" w:rsidR="00121C9C" w:rsidRDefault="00121C9C" w:rsidP="00121C9C">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DB8947E" w14:textId="2DA4ED68" w:rsidR="003C4EA1" w:rsidRPr="00121C9C" w:rsidRDefault="009E21CA">
      <w:pPr>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p w14:paraId="6D257AD1" w14:textId="39B0E7CD" w:rsidR="003C4EA1" w:rsidRDefault="00243EFA">
      <w:pPr>
        <w:rPr>
          <w:lang w:eastAsia="zh-CN"/>
        </w:rPr>
      </w:pPr>
      <w:r>
        <w:rPr>
          <w:rFonts w:hint="eastAsia"/>
          <w:lang w:eastAsia="zh-CN"/>
        </w:rPr>
        <w:t xml:space="preserve">On the value of the offset, there </w:t>
      </w:r>
      <w:r w:rsidR="000B1A30">
        <w:rPr>
          <w:lang w:eastAsia="zh-CN"/>
        </w:rPr>
        <w:t>can be</w:t>
      </w:r>
      <w:r>
        <w:rPr>
          <w:rFonts w:hint="eastAsia"/>
          <w:lang w:eastAsia="zh-CN"/>
        </w:rPr>
        <w:t xml:space="preserve"> following options:</w:t>
      </w:r>
    </w:p>
    <w:p w14:paraId="1D5727B6" w14:textId="612568B7" w:rsidR="00243EFA" w:rsidRPr="00882F36" w:rsidRDefault="00243EFA" w:rsidP="00243EFA">
      <w:pPr>
        <w:pStyle w:val="af7"/>
        <w:numPr>
          <w:ilvl w:val="0"/>
          <w:numId w:val="17"/>
        </w:numPr>
        <w:rPr>
          <w:rFonts w:ascii="Times New Roman" w:hAnsi="Times New Roman" w:cs="Times New Roman"/>
          <w:sz w:val="22"/>
        </w:rPr>
      </w:pPr>
      <w:r w:rsidRPr="00243EFA">
        <w:rPr>
          <w:rFonts w:ascii="Times New Roman" w:hAnsi="Times New Roman" w:cs="Times New Roman"/>
          <w:sz w:val="22"/>
        </w:rPr>
        <w:t xml:space="preserve">Option 1: </w:t>
      </w:r>
      <w:r w:rsidR="00882F36">
        <w:rPr>
          <w:rFonts w:ascii="Times New Roman" w:hAnsi="Times New Roman" w:cs="Times New Roman"/>
          <w:sz w:val="22"/>
        </w:rPr>
        <w:t xml:space="preserve">high layer configured from a set of values, such as </w:t>
      </w:r>
      <w:r w:rsidR="00882F36" w:rsidRPr="00CD1A21">
        <w:t>{</w:t>
      </w:r>
      <w:r w:rsidR="00882F36">
        <w:t>[1dB], [2dB], [4dB], [6dB]</w:t>
      </w:r>
      <w:r w:rsidR="00882F36" w:rsidRPr="00CD1A21">
        <w:t>}</w:t>
      </w:r>
    </w:p>
    <w:p w14:paraId="732F11FD" w14:textId="0506B8E0" w:rsidR="00882F36" w:rsidRDefault="00882F36" w:rsidP="00510E31">
      <w:pPr>
        <w:pStyle w:val="af7"/>
        <w:numPr>
          <w:ilvl w:val="0"/>
          <w:numId w:val="17"/>
        </w:numPr>
        <w:rPr>
          <w:rFonts w:ascii="Times New Roman" w:hAnsi="Times New Roman" w:cs="Times New Roman"/>
          <w:sz w:val="22"/>
        </w:rPr>
      </w:pPr>
      <w:r w:rsidRPr="00882F36">
        <w:rPr>
          <w:rFonts w:ascii="Times New Roman" w:hAnsi="Times New Roman" w:cs="Times New Roman"/>
          <w:sz w:val="22"/>
        </w:rPr>
        <w:t xml:space="preserve">Option 2: </w:t>
      </w:r>
      <w:r w:rsidR="00510E31" w:rsidRPr="00510E31">
        <w:rPr>
          <w:rFonts w:ascii="Times New Roman" w:hAnsi="Times New Roman" w:cs="Times New Roman"/>
          <w:sz w:val="22"/>
        </w:rPr>
        <w:t xml:space="preserve">The offset is determined through calculating ΔTF for the QPSK </w:t>
      </w:r>
      <w:r w:rsidR="00510E31">
        <w:rPr>
          <w:rFonts w:ascii="Times New Roman" w:hAnsi="Times New Roman" w:cs="Times New Roman"/>
          <w:sz w:val="22"/>
        </w:rPr>
        <w:t>at TBS index 13.</w:t>
      </w:r>
    </w:p>
    <w:p w14:paraId="66EF4A6A" w14:textId="2C0A3B04" w:rsidR="00510E31" w:rsidRDefault="00510E31" w:rsidP="00510E31">
      <w:pPr>
        <w:pStyle w:val="af7"/>
        <w:numPr>
          <w:ilvl w:val="0"/>
          <w:numId w:val="17"/>
        </w:numPr>
        <w:rPr>
          <w:rFonts w:ascii="Times New Roman" w:hAnsi="Times New Roman" w:cs="Times New Roman"/>
          <w:sz w:val="22"/>
        </w:rPr>
      </w:pPr>
      <w:r>
        <w:rPr>
          <w:rFonts w:ascii="Times New Roman" w:hAnsi="Times New Roman" w:cs="Times New Roman"/>
          <w:sz w:val="22"/>
        </w:rPr>
        <w:t xml:space="preserve">Option 3: </w:t>
      </w:r>
      <w:r w:rsidR="004968B1">
        <w:rPr>
          <w:rFonts w:ascii="Times New Roman" w:hAnsi="Times New Roman" w:cs="Times New Roman"/>
          <w:sz w:val="22"/>
        </w:rPr>
        <w:t>The offset is a fixed value.</w:t>
      </w:r>
    </w:p>
    <w:p w14:paraId="6E0222F4" w14:textId="730B767A" w:rsidR="00565DF9" w:rsidRDefault="00565DF9" w:rsidP="00565DF9">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Pr="00565DF9">
        <w:rPr>
          <w:rFonts w:hint="eastAsia"/>
        </w:rPr>
        <w:t>calculated are summ</w:t>
      </w:r>
      <w:r>
        <w:t>ariz</w:t>
      </w:r>
      <w:r w:rsidRPr="00565DF9">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0824D8" w:rsidRPr="00983882" w14:paraId="570ECCDF" w14:textId="77777777" w:rsidTr="00926E3A">
        <w:trPr>
          <w:trHeight w:val="324"/>
        </w:trPr>
        <w:tc>
          <w:tcPr>
            <w:tcW w:w="1004" w:type="dxa"/>
            <w:vMerge w:val="restart"/>
            <w:vAlign w:val="center"/>
          </w:tcPr>
          <w:p w14:paraId="57AD3AEC" w14:textId="771330EA" w:rsidR="000824D8" w:rsidRPr="00983882" w:rsidRDefault="000824D8" w:rsidP="00091441">
            <w:pPr>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Modulation</w:t>
            </w:r>
          </w:p>
        </w:tc>
        <w:tc>
          <w:tcPr>
            <w:tcW w:w="766" w:type="dxa"/>
            <w:vMerge w:val="restart"/>
            <w:vAlign w:val="center"/>
          </w:tcPr>
          <w:p w14:paraId="2BBA51AB" w14:textId="3BF6BD4D" w:rsidR="000824D8" w:rsidRPr="00983882" w:rsidRDefault="00C53349" w:rsidP="00225E7E">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4634E92B" w14:textId="77777777" w:rsidR="000824D8" w:rsidRPr="00983882" w:rsidRDefault="000824D8" w:rsidP="00091441">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493040A" w14:textId="0ABE6BA9" w:rsidR="000824D8" w:rsidRPr="00983882" w:rsidRDefault="00C53349" w:rsidP="00091441">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0824D8" w:rsidRPr="00983882" w14:paraId="56AB267E" w14:textId="77777777" w:rsidTr="00926E3A">
        <w:trPr>
          <w:trHeight w:val="324"/>
        </w:trPr>
        <w:tc>
          <w:tcPr>
            <w:tcW w:w="1004" w:type="dxa"/>
            <w:vMerge/>
            <w:vAlign w:val="center"/>
          </w:tcPr>
          <w:p w14:paraId="3BF939AF" w14:textId="7EBB6B60" w:rsidR="000824D8" w:rsidRPr="00983882" w:rsidRDefault="000824D8" w:rsidP="00091441">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326B3CE" w14:textId="6772D8DE" w:rsidR="000824D8" w:rsidRPr="00983882" w:rsidRDefault="000824D8" w:rsidP="00225E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38DDF27" w14:textId="7777777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5ECCDFBE" w14:textId="76E1E7FD"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0</w:t>
            </w:r>
          </w:p>
        </w:tc>
        <w:tc>
          <w:tcPr>
            <w:tcW w:w="816" w:type="dxa"/>
            <w:shd w:val="clear" w:color="auto" w:fill="auto"/>
            <w:vAlign w:val="center"/>
          </w:tcPr>
          <w:p w14:paraId="74B06A2A" w14:textId="2107176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1</w:t>
            </w:r>
          </w:p>
        </w:tc>
        <w:tc>
          <w:tcPr>
            <w:tcW w:w="816" w:type="dxa"/>
            <w:shd w:val="clear" w:color="auto" w:fill="auto"/>
            <w:vAlign w:val="center"/>
          </w:tcPr>
          <w:p w14:paraId="2EE5CDE9" w14:textId="281A413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2</w:t>
            </w:r>
          </w:p>
        </w:tc>
        <w:tc>
          <w:tcPr>
            <w:tcW w:w="849" w:type="dxa"/>
            <w:shd w:val="clear" w:color="auto" w:fill="auto"/>
            <w:vAlign w:val="center"/>
          </w:tcPr>
          <w:p w14:paraId="411938D7" w14:textId="12455AB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3</w:t>
            </w:r>
          </w:p>
        </w:tc>
        <w:tc>
          <w:tcPr>
            <w:tcW w:w="849" w:type="dxa"/>
            <w:shd w:val="clear" w:color="auto" w:fill="auto"/>
            <w:vAlign w:val="center"/>
          </w:tcPr>
          <w:p w14:paraId="7FA657BC" w14:textId="09B5CFA3"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4</w:t>
            </w:r>
          </w:p>
        </w:tc>
        <w:tc>
          <w:tcPr>
            <w:tcW w:w="849" w:type="dxa"/>
            <w:shd w:val="clear" w:color="auto" w:fill="auto"/>
            <w:vAlign w:val="center"/>
          </w:tcPr>
          <w:p w14:paraId="2B80BA03" w14:textId="1EEB59B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5</w:t>
            </w:r>
          </w:p>
        </w:tc>
        <w:tc>
          <w:tcPr>
            <w:tcW w:w="849" w:type="dxa"/>
            <w:shd w:val="clear" w:color="auto" w:fill="auto"/>
            <w:vAlign w:val="center"/>
          </w:tcPr>
          <w:p w14:paraId="046CE288" w14:textId="45DC74A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6</w:t>
            </w:r>
          </w:p>
        </w:tc>
        <w:tc>
          <w:tcPr>
            <w:tcW w:w="849" w:type="dxa"/>
            <w:shd w:val="clear" w:color="auto" w:fill="auto"/>
            <w:vAlign w:val="center"/>
          </w:tcPr>
          <w:p w14:paraId="603B1BEC" w14:textId="3573071A"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7</w:t>
            </w:r>
          </w:p>
        </w:tc>
      </w:tr>
      <w:tr w:rsidR="00E45C49" w:rsidRPr="00983882" w14:paraId="0A481321" w14:textId="77777777" w:rsidTr="00926E3A">
        <w:trPr>
          <w:trHeight w:val="324"/>
        </w:trPr>
        <w:tc>
          <w:tcPr>
            <w:tcW w:w="1004" w:type="dxa"/>
            <w:vMerge w:val="restart"/>
            <w:vAlign w:val="center"/>
          </w:tcPr>
          <w:p w14:paraId="312A847D" w14:textId="14E642B4"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QPSK</w:t>
            </w:r>
          </w:p>
        </w:tc>
        <w:tc>
          <w:tcPr>
            <w:tcW w:w="766" w:type="dxa"/>
            <w:vMerge w:val="restart"/>
            <w:vAlign w:val="center"/>
          </w:tcPr>
          <w:p w14:paraId="34347553" w14:textId="4B4E8DDB"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13</w:t>
            </w:r>
          </w:p>
        </w:tc>
        <w:tc>
          <w:tcPr>
            <w:tcW w:w="857" w:type="dxa"/>
            <w:vAlign w:val="center"/>
          </w:tcPr>
          <w:p w14:paraId="710896DC" w14:textId="030C49A2" w:rsidR="00E45C49" w:rsidRPr="00983882" w:rsidRDefault="00E45C49"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TBS</w:t>
            </w:r>
          </w:p>
        </w:tc>
        <w:tc>
          <w:tcPr>
            <w:tcW w:w="816" w:type="dxa"/>
            <w:shd w:val="clear" w:color="auto" w:fill="auto"/>
            <w:vAlign w:val="center"/>
            <w:hideMark/>
          </w:tcPr>
          <w:p w14:paraId="2F7A6191" w14:textId="04B6B9F5"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224</w:t>
            </w:r>
          </w:p>
        </w:tc>
        <w:tc>
          <w:tcPr>
            <w:tcW w:w="816" w:type="dxa"/>
            <w:shd w:val="clear" w:color="auto" w:fill="auto"/>
            <w:vAlign w:val="center"/>
            <w:hideMark/>
          </w:tcPr>
          <w:p w14:paraId="04FDD378"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488</w:t>
            </w:r>
          </w:p>
        </w:tc>
        <w:tc>
          <w:tcPr>
            <w:tcW w:w="816" w:type="dxa"/>
            <w:shd w:val="clear" w:color="auto" w:fill="auto"/>
            <w:vAlign w:val="center"/>
            <w:hideMark/>
          </w:tcPr>
          <w:p w14:paraId="18A64344"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744</w:t>
            </w:r>
          </w:p>
        </w:tc>
        <w:tc>
          <w:tcPr>
            <w:tcW w:w="849" w:type="dxa"/>
            <w:shd w:val="clear" w:color="auto" w:fill="auto"/>
            <w:vAlign w:val="center"/>
            <w:hideMark/>
          </w:tcPr>
          <w:p w14:paraId="3D6F42AC"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1032</w:t>
            </w:r>
          </w:p>
        </w:tc>
        <w:tc>
          <w:tcPr>
            <w:tcW w:w="849" w:type="dxa"/>
            <w:shd w:val="clear" w:color="auto" w:fill="auto"/>
            <w:vAlign w:val="center"/>
            <w:hideMark/>
          </w:tcPr>
          <w:p w14:paraId="705D9873"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1256</w:t>
            </w:r>
          </w:p>
        </w:tc>
        <w:tc>
          <w:tcPr>
            <w:tcW w:w="849" w:type="dxa"/>
            <w:shd w:val="clear" w:color="auto" w:fill="auto"/>
            <w:vAlign w:val="center"/>
            <w:hideMark/>
          </w:tcPr>
          <w:p w14:paraId="51AE570E"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1544</w:t>
            </w:r>
          </w:p>
        </w:tc>
        <w:tc>
          <w:tcPr>
            <w:tcW w:w="849" w:type="dxa"/>
            <w:shd w:val="clear" w:color="auto" w:fill="auto"/>
            <w:vAlign w:val="center"/>
            <w:hideMark/>
          </w:tcPr>
          <w:p w14:paraId="284EA7DA"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2024</w:t>
            </w:r>
          </w:p>
        </w:tc>
        <w:tc>
          <w:tcPr>
            <w:tcW w:w="849" w:type="dxa"/>
            <w:shd w:val="clear" w:color="auto" w:fill="auto"/>
            <w:vAlign w:val="center"/>
            <w:hideMark/>
          </w:tcPr>
          <w:p w14:paraId="6C8A2205"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2536</w:t>
            </w:r>
          </w:p>
        </w:tc>
      </w:tr>
      <w:tr w:rsidR="00926E3A" w:rsidRPr="00983882" w14:paraId="280107F6" w14:textId="77777777" w:rsidTr="00926E3A">
        <w:trPr>
          <w:trHeight w:val="324"/>
        </w:trPr>
        <w:tc>
          <w:tcPr>
            <w:tcW w:w="1004" w:type="dxa"/>
            <w:vMerge/>
            <w:vAlign w:val="center"/>
          </w:tcPr>
          <w:p w14:paraId="1EA747BA"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12776C6F"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4D7B0219" w14:textId="55C0780F" w:rsidR="00926E3A" w:rsidRPr="00983882" w:rsidRDefault="00C53349" w:rsidP="00926E3A">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A87AB34" w14:textId="5E8BB355"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4.546765</w:t>
            </w:r>
          </w:p>
        </w:tc>
        <w:tc>
          <w:tcPr>
            <w:tcW w:w="816" w:type="dxa"/>
            <w:shd w:val="clear" w:color="auto" w:fill="auto"/>
            <w:vAlign w:val="center"/>
          </w:tcPr>
          <w:p w14:paraId="11BFAB4E" w14:textId="306BB971"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5.238875</w:t>
            </w:r>
          </w:p>
        </w:tc>
        <w:tc>
          <w:tcPr>
            <w:tcW w:w="816" w:type="dxa"/>
            <w:shd w:val="clear" w:color="auto" w:fill="auto"/>
            <w:vAlign w:val="center"/>
          </w:tcPr>
          <w:p w14:paraId="011B98C5" w14:textId="2FB5FDAB"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5.374201</w:t>
            </w:r>
          </w:p>
        </w:tc>
        <w:tc>
          <w:tcPr>
            <w:tcW w:w="849" w:type="dxa"/>
            <w:shd w:val="clear" w:color="auto" w:fill="auto"/>
            <w:vAlign w:val="center"/>
          </w:tcPr>
          <w:p w14:paraId="1AC07158" w14:textId="73D145E3"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5.708471</w:t>
            </w:r>
          </w:p>
        </w:tc>
        <w:tc>
          <w:tcPr>
            <w:tcW w:w="849" w:type="dxa"/>
            <w:shd w:val="clear" w:color="auto" w:fill="auto"/>
            <w:vAlign w:val="center"/>
          </w:tcPr>
          <w:p w14:paraId="63C90426" w14:textId="3E72FB3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5.481782</w:t>
            </w:r>
          </w:p>
        </w:tc>
        <w:tc>
          <w:tcPr>
            <w:tcW w:w="849" w:type="dxa"/>
            <w:shd w:val="clear" w:color="auto" w:fill="auto"/>
            <w:vAlign w:val="center"/>
          </w:tcPr>
          <w:p w14:paraId="31B12093" w14:textId="5C1C609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5.686359</w:t>
            </w:r>
          </w:p>
        </w:tc>
        <w:tc>
          <w:tcPr>
            <w:tcW w:w="849" w:type="dxa"/>
            <w:shd w:val="clear" w:color="auto" w:fill="auto"/>
            <w:vAlign w:val="center"/>
          </w:tcPr>
          <w:p w14:paraId="733B85CF" w14:textId="47B28B79"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5.542038</w:t>
            </w:r>
          </w:p>
        </w:tc>
        <w:tc>
          <w:tcPr>
            <w:tcW w:w="849" w:type="dxa"/>
            <w:shd w:val="clear" w:color="auto" w:fill="auto"/>
            <w:vAlign w:val="center"/>
          </w:tcPr>
          <w:p w14:paraId="4D89514E" w14:textId="279D7C26"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5.562083</w:t>
            </w:r>
          </w:p>
        </w:tc>
      </w:tr>
      <w:tr w:rsidR="00237903" w:rsidRPr="00983882" w14:paraId="6F6D205A" w14:textId="77777777" w:rsidTr="00926E3A">
        <w:trPr>
          <w:trHeight w:val="324"/>
        </w:trPr>
        <w:tc>
          <w:tcPr>
            <w:tcW w:w="1004" w:type="dxa"/>
            <w:vMerge w:val="restart"/>
            <w:vAlign w:val="center"/>
          </w:tcPr>
          <w:p w14:paraId="0D22B471" w14:textId="0218075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16QAM</w:t>
            </w:r>
          </w:p>
        </w:tc>
        <w:tc>
          <w:tcPr>
            <w:tcW w:w="766" w:type="dxa"/>
            <w:vMerge w:val="restart"/>
            <w:vAlign w:val="center"/>
          </w:tcPr>
          <w:p w14:paraId="0771172A" w14:textId="6EDE41EF"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14</w:t>
            </w:r>
          </w:p>
        </w:tc>
        <w:tc>
          <w:tcPr>
            <w:tcW w:w="857" w:type="dxa"/>
            <w:vAlign w:val="center"/>
          </w:tcPr>
          <w:p w14:paraId="18925E02" w14:textId="55293013" w:rsidR="00237903" w:rsidRPr="00983882" w:rsidRDefault="00237903" w:rsidP="00237903">
            <w:pPr>
              <w:autoSpaceDE/>
              <w:autoSpaceDN/>
              <w:adjustRightInd/>
              <w:snapToGrid/>
              <w:spacing w:after="0" w:line="240" w:lineRule="auto"/>
              <w:jc w:val="center"/>
              <w:rPr>
                <w:rFonts w:ascii="Arial" w:hAnsi="Arial" w:cs="Arial"/>
                <w:b/>
                <w:sz w:val="16"/>
                <w:szCs w:val="16"/>
                <w:lang w:eastAsia="zh-CN"/>
              </w:rPr>
            </w:pPr>
            <w:r w:rsidRPr="00983882">
              <w:rPr>
                <w:rFonts w:ascii="Arial" w:hAnsi="Arial" w:cs="Arial" w:hint="eastAsia"/>
                <w:sz w:val="16"/>
                <w:szCs w:val="16"/>
                <w:lang w:val="en-GB" w:eastAsia="zh-CN"/>
              </w:rPr>
              <w:t>TBS</w:t>
            </w:r>
          </w:p>
        </w:tc>
        <w:tc>
          <w:tcPr>
            <w:tcW w:w="816" w:type="dxa"/>
            <w:shd w:val="clear" w:color="auto" w:fill="auto"/>
            <w:vAlign w:val="center"/>
          </w:tcPr>
          <w:p w14:paraId="422D2B99" w14:textId="61404446"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256</w:t>
            </w:r>
          </w:p>
        </w:tc>
        <w:tc>
          <w:tcPr>
            <w:tcW w:w="816" w:type="dxa"/>
            <w:shd w:val="clear" w:color="auto" w:fill="auto"/>
            <w:vAlign w:val="center"/>
          </w:tcPr>
          <w:p w14:paraId="59EE6140" w14:textId="79881F92"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552</w:t>
            </w:r>
          </w:p>
        </w:tc>
        <w:tc>
          <w:tcPr>
            <w:tcW w:w="816" w:type="dxa"/>
            <w:shd w:val="clear" w:color="auto" w:fill="auto"/>
            <w:vAlign w:val="center"/>
          </w:tcPr>
          <w:p w14:paraId="2915B7D5" w14:textId="763024B0"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840</w:t>
            </w:r>
          </w:p>
        </w:tc>
        <w:tc>
          <w:tcPr>
            <w:tcW w:w="849" w:type="dxa"/>
            <w:shd w:val="clear" w:color="auto" w:fill="auto"/>
            <w:vAlign w:val="center"/>
          </w:tcPr>
          <w:p w14:paraId="413A2937" w14:textId="2FFC6F7F"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1128</w:t>
            </w:r>
          </w:p>
        </w:tc>
        <w:tc>
          <w:tcPr>
            <w:tcW w:w="849" w:type="dxa"/>
            <w:shd w:val="clear" w:color="auto" w:fill="auto"/>
            <w:vAlign w:val="center"/>
          </w:tcPr>
          <w:p w14:paraId="6F4BFDB7" w14:textId="024E22D9"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1416</w:t>
            </w:r>
          </w:p>
        </w:tc>
        <w:tc>
          <w:tcPr>
            <w:tcW w:w="849" w:type="dxa"/>
            <w:shd w:val="clear" w:color="auto" w:fill="auto"/>
            <w:vAlign w:val="center"/>
          </w:tcPr>
          <w:p w14:paraId="51515469" w14:textId="0A9B8BCB"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1736</w:t>
            </w:r>
          </w:p>
        </w:tc>
        <w:tc>
          <w:tcPr>
            <w:tcW w:w="849" w:type="dxa"/>
            <w:shd w:val="clear" w:color="auto" w:fill="auto"/>
            <w:vAlign w:val="center"/>
          </w:tcPr>
          <w:p w14:paraId="38200E98" w14:textId="0C4E9DA1"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2280</w:t>
            </w:r>
          </w:p>
        </w:tc>
        <w:tc>
          <w:tcPr>
            <w:tcW w:w="849" w:type="dxa"/>
            <w:shd w:val="clear" w:color="auto" w:fill="auto"/>
            <w:vAlign w:val="center"/>
          </w:tcPr>
          <w:p w14:paraId="40DCBDE0" w14:textId="77777777" w:rsidR="00237903" w:rsidRPr="00983882" w:rsidRDefault="00237903" w:rsidP="00237903">
            <w:pPr>
              <w:autoSpaceDE/>
              <w:autoSpaceDN/>
              <w:adjustRightInd/>
              <w:snapToGrid/>
              <w:spacing w:after="0" w:line="240" w:lineRule="auto"/>
              <w:jc w:val="center"/>
              <w:rPr>
                <w:sz w:val="16"/>
                <w:szCs w:val="16"/>
              </w:rPr>
            </w:pPr>
          </w:p>
        </w:tc>
      </w:tr>
      <w:tr w:rsidR="00237903" w:rsidRPr="00983882" w14:paraId="19372874" w14:textId="77777777" w:rsidTr="00926E3A">
        <w:trPr>
          <w:trHeight w:val="324"/>
        </w:trPr>
        <w:tc>
          <w:tcPr>
            <w:tcW w:w="1004" w:type="dxa"/>
            <w:vMerge/>
            <w:vAlign w:val="center"/>
          </w:tcPr>
          <w:p w14:paraId="0250EFB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609D29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1E1D0A3" w14:textId="28261C39" w:rsidR="00237903" w:rsidRPr="00983882" w:rsidRDefault="00C53349" w:rsidP="00237903">
            <w:pPr>
              <w:autoSpaceDE/>
              <w:autoSpaceDN/>
              <w:adjustRightInd/>
              <w:snapToGrid/>
              <w:spacing w:after="0" w:line="240" w:lineRule="auto"/>
              <w:jc w:val="center"/>
              <w:rPr>
                <w:rFonts w:ascii="Arial" w:hAnsi="Arial" w:cs="Arial"/>
                <w:b/>
                <w:sz w:val="16"/>
                <w:szCs w:val="16"/>
                <w:lang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F0DFADE" w14:textId="029F3ACC"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5.642062</w:t>
            </w:r>
          </w:p>
        </w:tc>
        <w:tc>
          <w:tcPr>
            <w:tcW w:w="816" w:type="dxa"/>
            <w:shd w:val="clear" w:color="auto" w:fill="auto"/>
            <w:vAlign w:val="center"/>
          </w:tcPr>
          <w:p w14:paraId="565E0804" w14:textId="319F603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6.29696</w:t>
            </w:r>
          </w:p>
        </w:tc>
        <w:tc>
          <w:tcPr>
            <w:tcW w:w="816" w:type="dxa"/>
            <w:shd w:val="clear" w:color="auto" w:fill="auto"/>
            <w:vAlign w:val="center"/>
          </w:tcPr>
          <w:p w14:paraId="7066548C" w14:textId="4A3A784B"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6.425644</w:t>
            </w:r>
          </w:p>
        </w:tc>
        <w:tc>
          <w:tcPr>
            <w:tcW w:w="849" w:type="dxa"/>
            <w:shd w:val="clear" w:color="auto" w:fill="auto"/>
            <w:vAlign w:val="center"/>
          </w:tcPr>
          <w:p w14:paraId="20C6698F" w14:textId="4025B81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6.489721</w:t>
            </w:r>
          </w:p>
        </w:tc>
        <w:tc>
          <w:tcPr>
            <w:tcW w:w="849" w:type="dxa"/>
            <w:shd w:val="clear" w:color="auto" w:fill="auto"/>
            <w:vAlign w:val="center"/>
          </w:tcPr>
          <w:p w14:paraId="76CC5F99" w14:textId="0213A126"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6.528084</w:t>
            </w:r>
          </w:p>
        </w:tc>
        <w:tc>
          <w:tcPr>
            <w:tcW w:w="849" w:type="dxa"/>
            <w:shd w:val="clear" w:color="auto" w:fill="auto"/>
            <w:vAlign w:val="center"/>
          </w:tcPr>
          <w:p w14:paraId="197C69D2" w14:textId="4619E607"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6.723213</w:t>
            </w:r>
          </w:p>
        </w:tc>
        <w:tc>
          <w:tcPr>
            <w:tcW w:w="849" w:type="dxa"/>
            <w:shd w:val="clear" w:color="auto" w:fill="auto"/>
            <w:vAlign w:val="center"/>
          </w:tcPr>
          <w:p w14:paraId="54F44CDE" w14:textId="6A9A6F5D"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6.585513</w:t>
            </w:r>
          </w:p>
        </w:tc>
        <w:tc>
          <w:tcPr>
            <w:tcW w:w="849" w:type="dxa"/>
            <w:shd w:val="clear" w:color="auto" w:fill="auto"/>
            <w:vAlign w:val="center"/>
          </w:tcPr>
          <w:p w14:paraId="3B35C79A" w14:textId="77777777" w:rsidR="00237903" w:rsidRPr="00983882" w:rsidRDefault="00237903" w:rsidP="00237903">
            <w:pPr>
              <w:autoSpaceDE/>
              <w:autoSpaceDN/>
              <w:adjustRightInd/>
              <w:snapToGrid/>
              <w:spacing w:after="0" w:line="240" w:lineRule="auto"/>
              <w:jc w:val="center"/>
              <w:rPr>
                <w:sz w:val="16"/>
                <w:szCs w:val="16"/>
              </w:rPr>
            </w:pPr>
          </w:p>
        </w:tc>
      </w:tr>
    </w:tbl>
    <w:p w14:paraId="14FEF0A6" w14:textId="77777777" w:rsidR="00565DF9" w:rsidRDefault="00565DF9" w:rsidP="00565DF9"/>
    <w:p w14:paraId="3991EDD6" w14:textId="6436A417" w:rsidR="00FD6606" w:rsidRDefault="00FD6606" w:rsidP="00565DF9">
      <w:r>
        <w:rPr>
          <w:rFonts w:hint="eastAsia"/>
        </w:rPr>
        <w:t>Please input your comments regarding following points in the table:</w:t>
      </w:r>
    </w:p>
    <w:p w14:paraId="2E5DEC15" w14:textId="79075202" w:rsidR="00FD6606" w:rsidRPr="00FD6606" w:rsidRDefault="00FD6606" w:rsidP="00FD6606">
      <w:pPr>
        <w:pStyle w:val="af7"/>
        <w:numPr>
          <w:ilvl w:val="0"/>
          <w:numId w:val="27"/>
        </w:numPr>
        <w:rPr>
          <w:rFonts w:ascii="Times New Roman" w:hAnsi="Times New Roman" w:cs="Times New Roman"/>
          <w:sz w:val="22"/>
        </w:rPr>
      </w:pPr>
      <w:r w:rsidRPr="00FD6606">
        <w:rPr>
          <w:rFonts w:ascii="Times New Roman" w:hAnsi="Times New Roman" w:cs="Times New Roman"/>
          <w:sz w:val="22"/>
        </w:rPr>
        <w:t>Your comments to the proposals.</w:t>
      </w:r>
    </w:p>
    <w:p w14:paraId="1C656603" w14:textId="632D99FB" w:rsidR="00FD6606" w:rsidRPr="00FD6606" w:rsidRDefault="00FD6606" w:rsidP="00FD6606">
      <w:pPr>
        <w:pStyle w:val="af7"/>
        <w:numPr>
          <w:ilvl w:val="0"/>
          <w:numId w:val="27"/>
        </w:numPr>
        <w:rPr>
          <w:rFonts w:ascii="Times New Roman" w:hAnsi="Times New Roman" w:cs="Times New Roman"/>
          <w:sz w:val="22"/>
        </w:rPr>
      </w:pPr>
      <w:r w:rsidRPr="00FD6606">
        <w:rPr>
          <w:rFonts w:ascii="Times New Roman" w:hAnsi="Times New Roman" w:cs="Times New Roman"/>
          <w:sz w:val="22"/>
        </w:rPr>
        <w:t>Your proposal on the offset.</w:t>
      </w:r>
    </w:p>
    <w:tbl>
      <w:tblPr>
        <w:tblStyle w:val="af1"/>
        <w:tblW w:w="0" w:type="auto"/>
        <w:tblLook w:val="04A0" w:firstRow="1" w:lastRow="0" w:firstColumn="1" w:lastColumn="0" w:noHBand="0" w:noVBand="1"/>
      </w:tblPr>
      <w:tblGrid>
        <w:gridCol w:w="1696"/>
        <w:gridCol w:w="7611"/>
      </w:tblGrid>
      <w:tr w:rsidR="007E6787" w14:paraId="20AE55C7" w14:textId="77777777" w:rsidTr="00E46D04">
        <w:tc>
          <w:tcPr>
            <w:tcW w:w="1696" w:type="dxa"/>
          </w:tcPr>
          <w:p w14:paraId="798AA4A1" w14:textId="77777777" w:rsidR="007E6787" w:rsidRDefault="007E6787" w:rsidP="00E46D04">
            <w:pPr>
              <w:spacing w:line="240" w:lineRule="auto"/>
              <w:rPr>
                <w:lang w:eastAsia="zh-CN"/>
              </w:rPr>
            </w:pPr>
            <w:r>
              <w:rPr>
                <w:rFonts w:hint="eastAsia"/>
                <w:lang w:eastAsia="zh-CN"/>
              </w:rPr>
              <w:t>Companies</w:t>
            </w:r>
          </w:p>
        </w:tc>
        <w:tc>
          <w:tcPr>
            <w:tcW w:w="7611" w:type="dxa"/>
          </w:tcPr>
          <w:p w14:paraId="56DABDC0" w14:textId="77777777" w:rsidR="007E6787" w:rsidRDefault="007E6787" w:rsidP="00E46D04">
            <w:pPr>
              <w:spacing w:line="240" w:lineRule="auto"/>
              <w:rPr>
                <w:lang w:eastAsia="zh-CN"/>
              </w:rPr>
            </w:pPr>
            <w:r>
              <w:rPr>
                <w:rFonts w:hint="eastAsia"/>
                <w:lang w:eastAsia="zh-CN"/>
              </w:rPr>
              <w:t>Comments</w:t>
            </w:r>
          </w:p>
        </w:tc>
      </w:tr>
      <w:tr w:rsidR="007E6787" w14:paraId="257FC51A" w14:textId="77777777" w:rsidTr="00E46D04">
        <w:tc>
          <w:tcPr>
            <w:tcW w:w="1696" w:type="dxa"/>
          </w:tcPr>
          <w:p w14:paraId="5B1D83C4" w14:textId="348B3AA2" w:rsidR="007E6787" w:rsidRDefault="007E6787" w:rsidP="00E46D04">
            <w:pPr>
              <w:spacing w:line="240" w:lineRule="auto"/>
              <w:rPr>
                <w:lang w:eastAsia="zh-CN"/>
              </w:rPr>
            </w:pPr>
          </w:p>
        </w:tc>
        <w:tc>
          <w:tcPr>
            <w:tcW w:w="7611" w:type="dxa"/>
          </w:tcPr>
          <w:p w14:paraId="329BFE83" w14:textId="77777777" w:rsidR="007E6787" w:rsidRDefault="007E6787" w:rsidP="00E46D04">
            <w:pPr>
              <w:spacing w:line="240" w:lineRule="auto"/>
            </w:pPr>
          </w:p>
        </w:tc>
      </w:tr>
      <w:tr w:rsidR="007E6787" w14:paraId="1DFDB496" w14:textId="77777777" w:rsidTr="00E46D04">
        <w:tc>
          <w:tcPr>
            <w:tcW w:w="1696" w:type="dxa"/>
          </w:tcPr>
          <w:p w14:paraId="31B9444C" w14:textId="4AC30AC4" w:rsidR="007E6787" w:rsidRDefault="007E6787" w:rsidP="00E46D04">
            <w:pPr>
              <w:spacing w:line="240" w:lineRule="auto"/>
              <w:rPr>
                <w:lang w:eastAsia="zh-CN"/>
              </w:rPr>
            </w:pPr>
          </w:p>
        </w:tc>
        <w:tc>
          <w:tcPr>
            <w:tcW w:w="7611" w:type="dxa"/>
          </w:tcPr>
          <w:p w14:paraId="180F4CB0" w14:textId="5C552D98" w:rsidR="007E6787" w:rsidRDefault="007E6787" w:rsidP="00E46D04">
            <w:pPr>
              <w:spacing w:line="240" w:lineRule="auto"/>
              <w:rPr>
                <w:lang w:eastAsia="zh-CN"/>
              </w:rPr>
            </w:pPr>
          </w:p>
        </w:tc>
      </w:tr>
      <w:tr w:rsidR="007E6787" w14:paraId="0D1C16AA" w14:textId="77777777" w:rsidTr="00E46D04">
        <w:tc>
          <w:tcPr>
            <w:tcW w:w="1696" w:type="dxa"/>
          </w:tcPr>
          <w:p w14:paraId="29059E42" w14:textId="670F3344" w:rsidR="007E6787" w:rsidRDefault="007E6787" w:rsidP="00E46D04">
            <w:pPr>
              <w:spacing w:line="240" w:lineRule="auto"/>
              <w:rPr>
                <w:lang w:eastAsia="zh-CN"/>
              </w:rPr>
            </w:pPr>
          </w:p>
        </w:tc>
        <w:tc>
          <w:tcPr>
            <w:tcW w:w="7611" w:type="dxa"/>
          </w:tcPr>
          <w:p w14:paraId="5795138E" w14:textId="3780E648" w:rsidR="007E6787" w:rsidRDefault="007E6787" w:rsidP="00E46D04">
            <w:pPr>
              <w:spacing w:line="240" w:lineRule="auto"/>
              <w:rPr>
                <w:lang w:eastAsia="zh-CN"/>
              </w:rPr>
            </w:pPr>
          </w:p>
        </w:tc>
      </w:tr>
    </w:tbl>
    <w:p w14:paraId="31A5AB22" w14:textId="77777777" w:rsidR="00926A50" w:rsidRDefault="00926A50" w:rsidP="00565DF9"/>
    <w:p w14:paraId="4000394D" w14:textId="77777777" w:rsidR="00B9014E" w:rsidRDefault="00B9014E" w:rsidP="00B9014E">
      <w:pPr>
        <w:pStyle w:val="2"/>
        <w:numPr>
          <w:ilvl w:val="1"/>
          <w:numId w:val="28"/>
        </w:numPr>
        <w:rPr>
          <w:lang w:eastAsia="zh-CN"/>
        </w:rPr>
      </w:pPr>
      <w:r>
        <w:rPr>
          <w:lang w:eastAsia="zh-CN"/>
        </w:rPr>
        <w:t>Channel quality reporting</w:t>
      </w:r>
    </w:p>
    <w:p w14:paraId="63A30ED8" w14:textId="79ABF30F" w:rsidR="00B9014E" w:rsidRDefault="00B9014E" w:rsidP="00B9014E">
      <w:pPr>
        <w:pStyle w:val="30"/>
      </w:pPr>
      <w:r>
        <w:rPr>
          <w:lang w:eastAsia="zh-CN"/>
        </w:rPr>
        <w:t xml:space="preserve">Issue 2: </w:t>
      </w:r>
      <w:r w:rsidR="00C041C1">
        <w:rPr>
          <w:lang w:eastAsia="zh-CN"/>
        </w:rPr>
        <w:t>CQI table</w:t>
      </w:r>
    </w:p>
    <w:p w14:paraId="12074B09" w14:textId="16ECE381" w:rsidR="00FD6606" w:rsidRDefault="00835722" w:rsidP="00565DF9">
      <w:r>
        <w:t>The following has been agreed in GTW session:</w:t>
      </w:r>
    </w:p>
    <w:p w14:paraId="18E081BD" w14:textId="77777777" w:rsidR="00835722" w:rsidRPr="001C5DFC" w:rsidRDefault="00835722" w:rsidP="00835722">
      <w:pPr>
        <w:rPr>
          <w:highlight w:val="green"/>
          <w:lang w:eastAsia="zh-CN"/>
        </w:rPr>
      </w:pPr>
      <w:r w:rsidRPr="001C5DFC">
        <w:rPr>
          <w:highlight w:val="green"/>
          <w:lang w:eastAsia="zh-CN"/>
        </w:rPr>
        <w:t>Agreement</w:t>
      </w:r>
    </w:p>
    <w:p w14:paraId="77DDFA23" w14:textId="77777777" w:rsidR="00835722" w:rsidRDefault="00835722" w:rsidP="00835722">
      <w:pPr>
        <w:numPr>
          <w:ilvl w:val="0"/>
          <w:numId w:val="29"/>
        </w:numPr>
        <w:autoSpaceDE/>
        <w:autoSpaceDN/>
        <w:adjustRightInd/>
        <w:snapToGrid/>
        <w:spacing w:after="0" w:line="240" w:lineRule="auto"/>
        <w:jc w:val="left"/>
        <w:rPr>
          <w:lang w:eastAsia="zh-CN"/>
        </w:rPr>
      </w:pPr>
      <w:r>
        <w:rPr>
          <w:lang w:eastAsia="zh-CN"/>
        </w:rPr>
        <w:t>Variant of option 1 is agreed in principle, detailed content in following table will be revisited.</w:t>
      </w:r>
    </w:p>
    <w:p w14:paraId="19D1FFB0" w14:textId="77777777" w:rsidR="00835722" w:rsidRDefault="00835722" w:rsidP="00835722">
      <w:pPr>
        <w:numPr>
          <w:ilvl w:val="1"/>
          <w:numId w:val="30"/>
        </w:numPr>
        <w:autoSpaceDE/>
        <w:autoSpaceDN/>
        <w:adjustRightInd/>
        <w:snapToGrid/>
        <w:spacing w:after="0" w:line="240" w:lineRule="auto"/>
        <w:jc w:val="left"/>
        <w:rPr>
          <w:lang w:eastAsia="zh-CN"/>
        </w:rPr>
      </w:pPr>
      <w:r>
        <w:rPr>
          <w:lang w:eastAsia="zh-CN"/>
        </w:rPr>
        <w:t xml:space="preserve">A new table is defined for </w:t>
      </w:r>
      <w:r>
        <w:rPr>
          <w:rFonts w:hint="eastAsia"/>
          <w:lang w:eastAsia="zh-CN"/>
        </w:rPr>
        <w:t>the combination of NPDCCH repetitions and NPDSCH MCS</w:t>
      </w:r>
    </w:p>
    <w:p w14:paraId="284AB6DD" w14:textId="77777777" w:rsidR="00835722" w:rsidRDefault="00835722" w:rsidP="00835722">
      <w:pPr>
        <w:numPr>
          <w:ilvl w:val="0"/>
          <w:numId w:val="29"/>
        </w:numPr>
        <w:autoSpaceDE/>
        <w:autoSpaceDN/>
        <w:adjustRightInd/>
        <w:snapToGrid/>
        <w:spacing w:after="0" w:line="240" w:lineRule="auto"/>
        <w:jc w:val="left"/>
        <w:rPr>
          <w:rFonts w:hint="eastAsia"/>
          <w:lang w:eastAsia="zh-CN"/>
        </w:rPr>
      </w:pPr>
      <w:r>
        <w:rPr>
          <w:rFonts w:hint="eastAsia"/>
          <w:lang w:eastAsia="zh-CN"/>
        </w:rPr>
        <w:t>F</w:t>
      </w:r>
      <w:r>
        <w:rPr>
          <w:lang w:eastAsia="zh-CN"/>
        </w:rPr>
        <w:t>FS: larger number NPDCCH repetition level</w:t>
      </w:r>
    </w:p>
    <w:p w14:paraId="55561167" w14:textId="77777777" w:rsidR="00835722" w:rsidRDefault="00835722" w:rsidP="00835722">
      <w:pPr>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835722" w14:paraId="27B9E7A4" w14:textId="77777777" w:rsidTr="00C51C88">
        <w:trPr>
          <w:jc w:val="center"/>
        </w:trPr>
        <w:tc>
          <w:tcPr>
            <w:tcW w:w="1318" w:type="dxa"/>
            <w:vMerge w:val="restart"/>
            <w:tcBorders>
              <w:top w:val="single" w:sz="4" w:space="0" w:color="auto"/>
              <w:left w:val="single" w:sz="4" w:space="0" w:color="auto"/>
              <w:right w:val="single" w:sz="4" w:space="0" w:color="auto"/>
            </w:tcBorders>
            <w:vAlign w:val="center"/>
          </w:tcPr>
          <w:p w14:paraId="61E68371" w14:textId="77777777" w:rsidR="00835722" w:rsidRDefault="00835722" w:rsidP="00C51C88">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634D7CE3" w14:textId="77777777" w:rsidR="00835722" w:rsidRDefault="00835722" w:rsidP="00C51C88">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2EBCED74" w14:textId="77777777" w:rsidR="00835722" w:rsidRDefault="00835722" w:rsidP="00C51C88">
            <w:pPr>
              <w:pStyle w:val="TAH"/>
              <w:rPr>
                <w:sz w:val="14"/>
                <w:szCs w:val="16"/>
              </w:rPr>
            </w:pPr>
            <w:r>
              <w:rPr>
                <w:sz w:val="14"/>
                <w:szCs w:val="16"/>
              </w:rPr>
              <w:t>NPDSCH</w:t>
            </w:r>
            <w:r>
              <w:rPr>
                <w:sz w:val="14"/>
                <w:szCs w:val="16"/>
                <w:lang w:val="en-US"/>
              </w:rPr>
              <w:t xml:space="preserve"> </w:t>
            </w:r>
            <w:r>
              <w:rPr>
                <w:sz w:val="14"/>
                <w:szCs w:val="16"/>
              </w:rPr>
              <w:t>transport block</w:t>
            </w:r>
          </w:p>
          <w:p w14:paraId="20EE3E94" w14:textId="77777777" w:rsidR="00835722" w:rsidRDefault="00835722" w:rsidP="00C51C88">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6EE37985" w14:textId="77777777" w:rsidR="00835722" w:rsidRDefault="00835722" w:rsidP="00C51C88">
            <w:pPr>
              <w:pStyle w:val="TAH"/>
              <w:rPr>
                <w:sz w:val="14"/>
                <w:szCs w:val="16"/>
              </w:rPr>
            </w:pPr>
            <w:r>
              <w:rPr>
                <w:rFonts w:hint="eastAsia"/>
                <w:sz w:val="14"/>
                <w:szCs w:val="16"/>
              </w:rPr>
              <w:t>SNR</w:t>
            </w:r>
          </w:p>
        </w:tc>
      </w:tr>
      <w:tr w:rsidR="00835722" w14:paraId="1F706945" w14:textId="77777777" w:rsidTr="00C51C88">
        <w:trPr>
          <w:jc w:val="center"/>
        </w:trPr>
        <w:tc>
          <w:tcPr>
            <w:tcW w:w="1318" w:type="dxa"/>
            <w:vMerge/>
            <w:tcBorders>
              <w:left w:val="single" w:sz="4" w:space="0" w:color="auto"/>
              <w:bottom w:val="single" w:sz="4" w:space="0" w:color="auto"/>
              <w:right w:val="single" w:sz="4" w:space="0" w:color="auto"/>
            </w:tcBorders>
            <w:vAlign w:val="center"/>
          </w:tcPr>
          <w:p w14:paraId="21F85007" w14:textId="77777777" w:rsidR="00835722" w:rsidRDefault="00835722" w:rsidP="00C51C88">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4E22E107" w14:textId="77777777" w:rsidR="00835722" w:rsidRDefault="00835722" w:rsidP="00C51C88">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2B1FA422" w14:textId="77777777" w:rsidR="00835722" w:rsidRDefault="00835722" w:rsidP="00C51C88">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77E876FA" w14:textId="77777777" w:rsidR="00835722" w:rsidRDefault="00835722" w:rsidP="00C51C88">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2C2951BA" w14:textId="77777777" w:rsidR="00835722" w:rsidRDefault="00835722" w:rsidP="00C51C88">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48311E9E" w14:textId="77777777" w:rsidR="00835722" w:rsidRDefault="00835722" w:rsidP="00C51C88">
            <w:pPr>
              <w:pStyle w:val="TAH"/>
              <w:rPr>
                <w:sz w:val="14"/>
                <w:szCs w:val="16"/>
              </w:rPr>
            </w:pPr>
          </w:p>
        </w:tc>
      </w:tr>
      <w:tr w:rsidR="00835722" w14:paraId="47F40896"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8335B0" w14:textId="77777777" w:rsidR="00835722" w:rsidRDefault="00835722" w:rsidP="00C51C88">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2AF6E90" w14:textId="77777777" w:rsidR="00835722" w:rsidRDefault="00835722" w:rsidP="00C51C88">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7F316B0B" w14:textId="77777777" w:rsidR="00835722" w:rsidRDefault="00835722" w:rsidP="00C51C88">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5E471F2" w14:textId="77777777" w:rsidR="00835722" w:rsidRDefault="00835722" w:rsidP="00C51C88">
            <w:pPr>
              <w:pStyle w:val="TAC"/>
              <w:rPr>
                <w:sz w:val="14"/>
                <w:szCs w:val="16"/>
              </w:rPr>
            </w:pPr>
          </w:p>
        </w:tc>
      </w:tr>
      <w:tr w:rsidR="00835722" w14:paraId="365E10AC"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7FA3AC1" w14:textId="77777777" w:rsidR="00835722" w:rsidRDefault="00835722" w:rsidP="00C51C88">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55ACFD44" w14:textId="77777777" w:rsidR="00835722" w:rsidRDefault="00835722" w:rsidP="00C51C88">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687CFCFB" w14:textId="77777777" w:rsidR="00835722" w:rsidRPr="00725B78" w:rsidRDefault="00835722" w:rsidP="00C51C88">
            <w:pPr>
              <w:pStyle w:val="TAC"/>
              <w:rPr>
                <w:rFonts w:eastAsia="MS Mincho"/>
                <w:color w:val="AEAAAA"/>
                <w:sz w:val="14"/>
                <w:szCs w:val="16"/>
                <w:lang w:eastAsia="ja-JP"/>
              </w:rPr>
            </w:pPr>
            <w:r w:rsidRPr="00725B78">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1E021CE0" w14:textId="77777777" w:rsidR="00835722" w:rsidRPr="00725B78" w:rsidRDefault="00835722" w:rsidP="00C51C88">
            <w:pPr>
              <w:pStyle w:val="TAC"/>
              <w:rPr>
                <w:rFonts w:eastAsia="MS Mincho"/>
                <w:color w:val="AEAAAA"/>
                <w:sz w:val="14"/>
                <w:szCs w:val="16"/>
                <w:lang w:eastAsia="ja-JP"/>
              </w:rPr>
            </w:pPr>
            <w:r w:rsidRPr="00725B78">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521A823C" w14:textId="77777777" w:rsidR="00835722" w:rsidRPr="00725B78" w:rsidRDefault="00835722" w:rsidP="00C51C88">
            <w:pPr>
              <w:pStyle w:val="TAC"/>
              <w:rPr>
                <w:rFonts w:eastAsia="MS Mincho"/>
                <w:color w:val="AEAAAA"/>
                <w:sz w:val="14"/>
                <w:szCs w:val="16"/>
                <w:lang w:eastAsia="ja-JP"/>
              </w:rPr>
            </w:pPr>
            <w:r w:rsidRPr="00725B78">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5E030EDD" w14:textId="77777777" w:rsidR="00835722" w:rsidRDefault="00835722" w:rsidP="00C51C88">
            <w:pPr>
              <w:pStyle w:val="TAC"/>
              <w:rPr>
                <w:sz w:val="14"/>
                <w:szCs w:val="16"/>
                <w:lang w:eastAsia="ja-JP"/>
              </w:rPr>
            </w:pPr>
            <w:r>
              <w:rPr>
                <w:rFonts w:hint="eastAsia"/>
                <w:sz w:val="14"/>
                <w:szCs w:val="16"/>
              </w:rPr>
              <w:t>-0.6 dB ([2])</w:t>
            </w:r>
          </w:p>
        </w:tc>
      </w:tr>
      <w:tr w:rsidR="00835722" w14:paraId="6C5E974E"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1B26EE6" w14:textId="77777777" w:rsidR="00835722" w:rsidRDefault="00835722" w:rsidP="00C51C88">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45555448" w14:textId="77777777" w:rsidR="00835722" w:rsidRDefault="00835722" w:rsidP="00C51C88">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758F291E" w14:textId="77777777" w:rsidR="00835722" w:rsidRPr="00725B78" w:rsidRDefault="00835722" w:rsidP="00C51C88">
            <w:pPr>
              <w:pStyle w:val="TAC"/>
              <w:rPr>
                <w:rFonts w:eastAsia="MS Mincho"/>
                <w:color w:val="AEAAAA"/>
                <w:sz w:val="14"/>
                <w:szCs w:val="16"/>
                <w:lang w:eastAsia="ja-JP"/>
              </w:rPr>
            </w:pPr>
            <w:r w:rsidRPr="00725B78">
              <w:rPr>
                <w:rFonts w:eastAsia="MS Mincho" w:hint="eastAsia"/>
                <w:color w:val="AEAAAA"/>
                <w:sz w:val="14"/>
                <w:szCs w:val="16"/>
                <w:lang w:eastAsia="ja-JP"/>
              </w:rPr>
              <w:t xml:space="preserve">QPSK (TBS index </w:t>
            </w:r>
            <w:r w:rsidRPr="00725B78">
              <w:rPr>
                <w:rFonts w:eastAsia="MS Mincho"/>
                <w:color w:val="AEAAAA"/>
                <w:sz w:val="14"/>
                <w:szCs w:val="16"/>
                <w:lang w:eastAsia="ja-JP"/>
              </w:rPr>
              <w:t>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029515F" w14:textId="77777777" w:rsidR="00835722" w:rsidRPr="00725B78" w:rsidRDefault="00835722" w:rsidP="00C51C88">
            <w:pPr>
              <w:pStyle w:val="TAC"/>
              <w:rPr>
                <w:rFonts w:eastAsia="MS Mincho"/>
                <w:color w:val="AEAAAA"/>
                <w:sz w:val="14"/>
                <w:szCs w:val="16"/>
                <w:lang w:eastAsia="ja-JP"/>
              </w:rPr>
            </w:pPr>
            <w:r w:rsidRPr="00725B78">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1C236B87" w14:textId="77777777" w:rsidR="00835722" w:rsidRPr="00725B78" w:rsidRDefault="00835722" w:rsidP="00C51C88">
            <w:pPr>
              <w:pStyle w:val="TAC"/>
              <w:rPr>
                <w:rFonts w:eastAsia="MS Mincho"/>
                <w:color w:val="AEAAAA"/>
                <w:sz w:val="14"/>
                <w:szCs w:val="16"/>
                <w:lang w:eastAsia="ja-JP"/>
              </w:rPr>
            </w:pPr>
            <w:r w:rsidRPr="00725B78">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15E0CE7F" w14:textId="77777777" w:rsidR="00835722" w:rsidRDefault="00835722" w:rsidP="00C51C88">
            <w:pPr>
              <w:pStyle w:val="TAC"/>
              <w:rPr>
                <w:rFonts w:eastAsia="MS Mincho"/>
                <w:sz w:val="14"/>
                <w:szCs w:val="16"/>
                <w:lang w:eastAsia="ja-JP"/>
              </w:rPr>
            </w:pPr>
            <w:r>
              <w:rPr>
                <w:rFonts w:eastAsia="MS Mincho" w:hint="eastAsia"/>
                <w:sz w:val="14"/>
                <w:szCs w:val="16"/>
                <w:lang w:eastAsia="ja-JP"/>
              </w:rPr>
              <w:t>-3.6</w:t>
            </w:r>
          </w:p>
        </w:tc>
      </w:tr>
      <w:tr w:rsidR="00835722" w14:paraId="39956E54"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DF7BE2" w14:textId="77777777" w:rsidR="00835722" w:rsidRDefault="00835722" w:rsidP="00C51C88">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2FA039FC" w14:textId="77777777" w:rsidR="00835722" w:rsidRDefault="00835722" w:rsidP="00C51C88">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30DD4AD2" w14:textId="77777777" w:rsidR="00835722" w:rsidRPr="00725B78" w:rsidRDefault="00835722" w:rsidP="00C51C88">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48C1EB3" w14:textId="77777777" w:rsidR="00835722" w:rsidRPr="00725B78" w:rsidRDefault="00835722" w:rsidP="00C51C88">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7E828CA5" w14:textId="77777777" w:rsidR="00835722" w:rsidRPr="00725B78" w:rsidRDefault="00835722" w:rsidP="00C51C88">
            <w:pPr>
              <w:pStyle w:val="TAC"/>
              <w:rPr>
                <w:rFonts w:eastAsia="MS Mincho"/>
                <w:color w:val="AEAAAA"/>
                <w:sz w:val="14"/>
                <w:szCs w:val="16"/>
                <w:lang w:eastAsia="ja-JP"/>
              </w:rPr>
            </w:pPr>
            <w:r w:rsidRPr="00725B78">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715A8B0D" w14:textId="77777777" w:rsidR="00835722" w:rsidRDefault="00835722" w:rsidP="00C51C88">
            <w:pPr>
              <w:pStyle w:val="TAC"/>
              <w:rPr>
                <w:rFonts w:eastAsia="MS Mincho"/>
                <w:sz w:val="14"/>
                <w:szCs w:val="16"/>
                <w:lang w:eastAsia="ja-JP"/>
              </w:rPr>
            </w:pPr>
            <w:r>
              <w:rPr>
                <w:rFonts w:eastAsia="MS Mincho" w:hint="eastAsia"/>
                <w:sz w:val="14"/>
                <w:szCs w:val="16"/>
                <w:lang w:eastAsia="ja-JP"/>
              </w:rPr>
              <w:t>-6.6</w:t>
            </w:r>
          </w:p>
        </w:tc>
      </w:tr>
      <w:tr w:rsidR="00835722" w14:paraId="0501DCA4"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4B6690E" w14:textId="77777777" w:rsidR="00835722" w:rsidRDefault="00835722" w:rsidP="00C51C88">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54E8FE13" w14:textId="77777777" w:rsidR="00835722" w:rsidRDefault="00835722" w:rsidP="00C51C88">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0967FD64" w14:textId="77777777" w:rsidR="00835722" w:rsidRPr="00725B78" w:rsidRDefault="00835722" w:rsidP="00C51C88">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5709AAD" w14:textId="77777777" w:rsidR="00835722" w:rsidRPr="00725B78" w:rsidRDefault="00835722" w:rsidP="00C51C88">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BEAC545" w14:textId="77777777" w:rsidR="00835722" w:rsidRPr="00725B78" w:rsidRDefault="00835722" w:rsidP="00C51C88">
            <w:pPr>
              <w:pStyle w:val="TAC"/>
              <w:rPr>
                <w:rFonts w:eastAsia="MS Mincho"/>
                <w:color w:val="AEAAAA"/>
                <w:sz w:val="14"/>
                <w:szCs w:val="16"/>
                <w:lang w:eastAsia="ja-JP"/>
              </w:rPr>
            </w:pPr>
            <w:r w:rsidRPr="00725B78">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789EF3F4" w14:textId="77777777" w:rsidR="00835722" w:rsidRDefault="00835722" w:rsidP="00C51C88">
            <w:pPr>
              <w:pStyle w:val="TAC"/>
              <w:rPr>
                <w:rFonts w:eastAsia="MS Mincho"/>
                <w:sz w:val="14"/>
                <w:szCs w:val="16"/>
                <w:lang w:eastAsia="ja-JP"/>
              </w:rPr>
            </w:pPr>
            <w:r>
              <w:rPr>
                <w:rFonts w:eastAsia="MS Mincho" w:hint="eastAsia"/>
                <w:sz w:val="14"/>
                <w:szCs w:val="16"/>
                <w:lang w:eastAsia="ja-JP"/>
              </w:rPr>
              <w:t>-9.6</w:t>
            </w:r>
          </w:p>
        </w:tc>
      </w:tr>
      <w:tr w:rsidR="00835722" w14:paraId="1AFED590"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37A42F1" w14:textId="77777777" w:rsidR="00835722" w:rsidRDefault="00835722" w:rsidP="00C51C88">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7466D656" w14:textId="77777777" w:rsidR="00835722" w:rsidRDefault="00835722" w:rsidP="00C51C88">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2839A9B0" w14:textId="77777777" w:rsidR="00835722" w:rsidRPr="00725B78" w:rsidRDefault="00835722" w:rsidP="00C51C88">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4</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72F95EF" w14:textId="77777777" w:rsidR="00835722" w:rsidRPr="00725B78" w:rsidRDefault="00835722" w:rsidP="00C51C88">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797D93B" w14:textId="77777777" w:rsidR="00835722" w:rsidRPr="00725B78" w:rsidRDefault="00835722" w:rsidP="00C51C88">
            <w:pPr>
              <w:pStyle w:val="TAC"/>
              <w:rPr>
                <w:rFonts w:eastAsia="MS Mincho"/>
                <w:color w:val="AEAAAA"/>
                <w:sz w:val="14"/>
                <w:szCs w:val="16"/>
                <w:lang w:eastAsia="ja-JP"/>
              </w:rPr>
            </w:pPr>
            <w:r w:rsidRPr="00725B78">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67755305" w14:textId="77777777" w:rsidR="00835722" w:rsidRDefault="00835722" w:rsidP="00C51C88">
            <w:pPr>
              <w:pStyle w:val="TAC"/>
              <w:rPr>
                <w:rFonts w:eastAsia="MS Mincho"/>
                <w:sz w:val="14"/>
                <w:szCs w:val="16"/>
                <w:lang w:eastAsia="ja-JP"/>
              </w:rPr>
            </w:pPr>
            <w:r>
              <w:rPr>
                <w:rFonts w:eastAsia="MS Mincho" w:hint="eastAsia"/>
                <w:sz w:val="14"/>
                <w:szCs w:val="16"/>
                <w:lang w:eastAsia="ja-JP"/>
              </w:rPr>
              <w:t>-12.6</w:t>
            </w:r>
          </w:p>
        </w:tc>
      </w:tr>
      <w:tr w:rsidR="00835722" w14:paraId="385F48BC"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D53BA9F" w14:textId="77777777" w:rsidR="00835722" w:rsidRDefault="00835722" w:rsidP="00C51C88">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502B4046" w14:textId="77777777" w:rsidR="00835722" w:rsidRDefault="00835722" w:rsidP="00C51C88">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264DA775" w14:textId="77777777" w:rsidR="00835722" w:rsidRPr="00725B78" w:rsidRDefault="00835722" w:rsidP="00C51C88">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8</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0C1DE7CF" w14:textId="77777777" w:rsidR="00835722" w:rsidRPr="00725B78" w:rsidRDefault="00835722" w:rsidP="00C51C88">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2529B6E" w14:textId="77777777" w:rsidR="00835722" w:rsidRPr="00725B78" w:rsidRDefault="00835722" w:rsidP="00C51C88">
            <w:pPr>
              <w:pStyle w:val="TAC"/>
              <w:rPr>
                <w:rFonts w:eastAsia="MS Mincho"/>
                <w:color w:val="AEAAAA"/>
                <w:sz w:val="14"/>
                <w:szCs w:val="16"/>
                <w:lang w:eastAsia="ja-JP"/>
              </w:rPr>
            </w:pPr>
            <w:r w:rsidRPr="00725B78">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6621C3BE" w14:textId="77777777" w:rsidR="00835722" w:rsidRDefault="00835722" w:rsidP="00C51C88">
            <w:pPr>
              <w:pStyle w:val="TAC"/>
              <w:rPr>
                <w:rFonts w:eastAsia="MS Mincho"/>
                <w:sz w:val="14"/>
                <w:szCs w:val="16"/>
                <w:lang w:eastAsia="ja-JP"/>
              </w:rPr>
            </w:pPr>
            <w:r>
              <w:rPr>
                <w:rFonts w:eastAsia="MS Mincho" w:hint="eastAsia"/>
                <w:sz w:val="14"/>
                <w:szCs w:val="16"/>
                <w:lang w:eastAsia="ja-JP"/>
              </w:rPr>
              <w:t>-15.6</w:t>
            </w:r>
          </w:p>
        </w:tc>
      </w:tr>
      <w:tr w:rsidR="00835722" w14:paraId="66AD659D"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761FAD" w14:textId="77777777" w:rsidR="00835722" w:rsidRDefault="00835722" w:rsidP="00C51C88">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0A9FF58" w14:textId="77777777" w:rsidR="00835722" w:rsidRDefault="00835722"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4B5C874" w14:textId="77777777" w:rsidR="00835722" w:rsidRPr="00DD67D7" w:rsidRDefault="00835722" w:rsidP="00C51C88">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7CD80325" w14:textId="77777777" w:rsidR="00835722" w:rsidRPr="00DD67D7" w:rsidRDefault="00835722" w:rsidP="00C51C88">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05FDB022" w14:textId="77777777" w:rsidR="00835722" w:rsidRPr="00DD67D7" w:rsidRDefault="00835722" w:rsidP="00C51C88">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705ACE68" w14:textId="77777777" w:rsidR="00835722" w:rsidRDefault="00835722" w:rsidP="00C51C88">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835722" w14:paraId="4E7C95E8"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201F5D" w14:textId="77777777" w:rsidR="00835722" w:rsidRDefault="00835722" w:rsidP="00C51C88">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C5FF8C4" w14:textId="77777777" w:rsidR="00835722" w:rsidRDefault="00835722" w:rsidP="00C51C88">
            <w:pPr>
              <w:pStyle w:val="TAC"/>
              <w:rPr>
                <w:sz w:val="14"/>
                <w:szCs w:val="16"/>
                <w:lang w:val="sv-SE" w:eastAsia="ja-JP"/>
              </w:rPr>
            </w:pPr>
          </w:p>
          <w:p w14:paraId="68D76A11" w14:textId="77777777" w:rsidR="00835722" w:rsidRDefault="00835722" w:rsidP="00C51C88">
            <w:pPr>
              <w:pStyle w:val="TAC"/>
              <w:rPr>
                <w:sz w:val="14"/>
                <w:szCs w:val="16"/>
                <w:lang w:val="sv-SE" w:eastAsia="ja-JP"/>
              </w:rPr>
            </w:pPr>
            <w:r>
              <w:rPr>
                <w:sz w:val="14"/>
                <w:szCs w:val="16"/>
                <w:lang w:val="sv-SE" w:eastAsia="ja-JP"/>
              </w:rPr>
              <w:t>1</w:t>
            </w:r>
          </w:p>
          <w:p w14:paraId="2B0CF97A" w14:textId="77777777" w:rsidR="00835722" w:rsidRDefault="00835722" w:rsidP="00C51C88">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2BCB74FE" w14:textId="77777777" w:rsidR="00835722" w:rsidRPr="00DD67D7" w:rsidRDefault="00835722" w:rsidP="00C51C88">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7540C8A" w14:textId="77777777" w:rsidR="00835722" w:rsidRPr="00DD67D7" w:rsidRDefault="00835722" w:rsidP="00C51C88">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2E71E2ED" w14:textId="77777777" w:rsidR="00835722" w:rsidRPr="00DD67D7" w:rsidRDefault="00835722" w:rsidP="00C51C88">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621B5AF0" w14:textId="77777777" w:rsidR="00835722" w:rsidRDefault="00835722" w:rsidP="00C51C88">
            <w:pPr>
              <w:pStyle w:val="TAC"/>
              <w:rPr>
                <w:rFonts w:eastAsia="MS Mincho"/>
                <w:sz w:val="14"/>
                <w:szCs w:val="16"/>
                <w:lang w:val="sv-SE" w:eastAsia="ja-JP"/>
              </w:rPr>
            </w:pPr>
            <w:r>
              <w:rPr>
                <w:rFonts w:eastAsia="MS Mincho" w:hint="eastAsia"/>
                <w:sz w:val="14"/>
                <w:szCs w:val="16"/>
                <w:lang w:val="sv-SE" w:eastAsia="ja-JP"/>
              </w:rPr>
              <w:t>2.6 dB ([3])</w:t>
            </w:r>
          </w:p>
        </w:tc>
      </w:tr>
      <w:tr w:rsidR="00835722" w14:paraId="3C844E9A"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8FD4A1" w14:textId="77777777" w:rsidR="00835722" w:rsidRDefault="00835722" w:rsidP="00C51C88">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4DCD4D1" w14:textId="77777777" w:rsidR="00835722" w:rsidRDefault="00835722"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6DD35D6" w14:textId="77777777" w:rsidR="00835722" w:rsidRDefault="00835722" w:rsidP="00C51C88">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5F671966"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114642E9"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4F81AADA" w14:textId="77777777" w:rsidR="00835722" w:rsidRDefault="00835722" w:rsidP="00C51C88">
            <w:pPr>
              <w:pStyle w:val="TAC"/>
              <w:rPr>
                <w:rFonts w:eastAsia="MS Mincho"/>
                <w:sz w:val="14"/>
                <w:szCs w:val="16"/>
                <w:lang w:val="sv-SE" w:eastAsia="ja-JP"/>
              </w:rPr>
            </w:pPr>
            <w:r>
              <w:rPr>
                <w:rFonts w:eastAsia="MS Mincho" w:hint="eastAsia"/>
                <w:sz w:val="14"/>
                <w:szCs w:val="16"/>
                <w:lang w:val="sv-SE" w:eastAsia="ja-JP"/>
              </w:rPr>
              <w:t>4.1 dB ([3])</w:t>
            </w:r>
          </w:p>
        </w:tc>
      </w:tr>
      <w:tr w:rsidR="00835722" w14:paraId="35650161"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848E1" w14:textId="77777777" w:rsidR="00835722" w:rsidRDefault="00835722" w:rsidP="00C51C88">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30A0BEE6" w14:textId="77777777" w:rsidR="00835722" w:rsidRDefault="00835722"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1C84B42" w14:textId="77777777" w:rsidR="00835722" w:rsidRDefault="00835722" w:rsidP="00C51C88">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1BFBE451"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2972B9E4"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15217BA"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835722" w14:paraId="7F1A85EB"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EF2B2A9" w14:textId="77777777" w:rsidR="00835722" w:rsidRDefault="00835722" w:rsidP="00C51C88">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3FBD0816" w14:textId="77777777" w:rsidR="00835722" w:rsidRDefault="00835722"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1EC1639" w14:textId="77777777" w:rsidR="00835722" w:rsidRDefault="00835722" w:rsidP="00C51C88">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1D6790"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281AFDDE"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2E89FF79" w14:textId="77777777" w:rsidR="00835722" w:rsidRDefault="00835722" w:rsidP="00C51C88">
            <w:pPr>
              <w:pStyle w:val="TAC"/>
              <w:rPr>
                <w:rFonts w:eastAsia="MS Mincho"/>
                <w:sz w:val="14"/>
                <w:szCs w:val="16"/>
                <w:lang w:val="sv-SE" w:eastAsia="ja-JP"/>
              </w:rPr>
            </w:pPr>
            <w:r>
              <w:rPr>
                <w:rFonts w:eastAsia="MS Mincho" w:hint="eastAsia"/>
                <w:sz w:val="14"/>
                <w:szCs w:val="16"/>
                <w:lang w:val="sv-SE" w:eastAsia="ja-JP"/>
              </w:rPr>
              <w:t>8.9 dB ([3])</w:t>
            </w:r>
          </w:p>
        </w:tc>
      </w:tr>
      <w:tr w:rsidR="00835722" w14:paraId="48986B8F"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9074B8" w14:textId="77777777" w:rsidR="00835722" w:rsidRDefault="00835722" w:rsidP="00C51C88">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3BDA837F" w14:textId="77777777" w:rsidR="00835722" w:rsidRDefault="00835722"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F37202" w14:textId="77777777" w:rsidR="00835722" w:rsidRDefault="00835722" w:rsidP="00C51C88">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698C85"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7240A354"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34C6C5A0" w14:textId="77777777" w:rsidR="00835722" w:rsidRDefault="00835722" w:rsidP="00C51C88">
            <w:pPr>
              <w:pStyle w:val="TAC"/>
              <w:rPr>
                <w:rFonts w:eastAsia="MS Mincho"/>
                <w:sz w:val="14"/>
                <w:szCs w:val="16"/>
                <w:lang w:val="sv-SE" w:eastAsia="ja-JP"/>
              </w:rPr>
            </w:pPr>
            <w:r>
              <w:rPr>
                <w:rFonts w:eastAsia="MS Mincho" w:hint="eastAsia"/>
                <w:sz w:val="14"/>
                <w:szCs w:val="16"/>
                <w:lang w:val="sv-SE" w:eastAsia="ja-JP"/>
              </w:rPr>
              <w:t>9.7 dB ([3])</w:t>
            </w:r>
          </w:p>
        </w:tc>
      </w:tr>
      <w:tr w:rsidR="00835722" w14:paraId="2D7C1FE7"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631E06" w14:textId="77777777" w:rsidR="00835722" w:rsidRDefault="00835722" w:rsidP="00C51C88">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6783942F" w14:textId="77777777" w:rsidR="00835722" w:rsidRDefault="00835722"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DD8BE45" w14:textId="77777777" w:rsidR="00835722" w:rsidRDefault="00835722" w:rsidP="00C51C88">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F0825D2"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69FD171"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2C32A1F6" w14:textId="77777777" w:rsidR="00835722" w:rsidRDefault="00835722" w:rsidP="00C51C88">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835722" w14:paraId="0E7112E0"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0A9FA" w14:textId="77777777" w:rsidR="00835722" w:rsidRDefault="00835722" w:rsidP="00C51C88">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7EE5931D" w14:textId="77777777" w:rsidR="00835722" w:rsidRDefault="00835722"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49C1AF" w14:textId="77777777" w:rsidR="00835722" w:rsidRDefault="00835722" w:rsidP="00C51C88">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098440B"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C77424B"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06373175" w14:textId="77777777" w:rsidR="00835722" w:rsidRDefault="00835722" w:rsidP="00C51C88">
            <w:pPr>
              <w:pStyle w:val="TAC"/>
              <w:rPr>
                <w:rFonts w:eastAsia="MS Mincho"/>
                <w:sz w:val="14"/>
                <w:szCs w:val="16"/>
                <w:lang w:val="sv-SE" w:eastAsia="ja-JP"/>
              </w:rPr>
            </w:pPr>
            <w:r>
              <w:rPr>
                <w:rFonts w:eastAsia="MS Mincho" w:hint="eastAsia"/>
                <w:sz w:val="14"/>
                <w:szCs w:val="16"/>
                <w:lang w:val="sv-SE" w:eastAsia="ja-JP"/>
              </w:rPr>
              <w:t>13.0 dB ([3])</w:t>
            </w:r>
          </w:p>
        </w:tc>
      </w:tr>
      <w:tr w:rsidR="00835722" w14:paraId="4F964896"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2EDC5C9" w14:textId="77777777" w:rsidR="00835722" w:rsidRDefault="00835722" w:rsidP="00C51C88">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6C98285" w14:textId="77777777" w:rsidR="00835722" w:rsidRDefault="00835722"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BA0DB44" w14:textId="77777777" w:rsidR="00835722" w:rsidRDefault="00835722" w:rsidP="00C51C88">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508AD52"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68EE1906" w14:textId="77777777" w:rsidR="00835722" w:rsidRDefault="00835722" w:rsidP="00C51C88">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1142ED4C" w14:textId="77777777" w:rsidR="00835722" w:rsidRDefault="00835722" w:rsidP="00C51C88">
            <w:pPr>
              <w:pStyle w:val="TAC"/>
              <w:rPr>
                <w:rFonts w:eastAsia="MS Mincho"/>
                <w:sz w:val="14"/>
                <w:szCs w:val="16"/>
                <w:lang w:val="sv-SE" w:eastAsia="ja-JP"/>
              </w:rPr>
            </w:pPr>
            <w:r>
              <w:rPr>
                <w:rFonts w:eastAsia="MS Mincho" w:hint="eastAsia"/>
                <w:sz w:val="14"/>
                <w:szCs w:val="16"/>
                <w:lang w:val="sv-SE" w:eastAsia="ja-JP"/>
              </w:rPr>
              <w:t>14.1 dB ([3])</w:t>
            </w:r>
          </w:p>
        </w:tc>
      </w:tr>
    </w:tbl>
    <w:p w14:paraId="536B8360" w14:textId="77777777" w:rsidR="00835722" w:rsidRPr="005A0682" w:rsidRDefault="00835722" w:rsidP="00835722">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7C3641A7" w14:textId="116FD549" w:rsidR="00AD673D" w:rsidRDefault="00726423" w:rsidP="00565DF9">
      <w:r>
        <w:t xml:space="preserve">Based on the comments online, the BPSK should be changed back to QPSK. Therefore, </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6423" w14:paraId="60A6EC4F" w14:textId="77777777" w:rsidTr="00930B6A">
        <w:trPr>
          <w:jc w:val="center"/>
        </w:trPr>
        <w:tc>
          <w:tcPr>
            <w:tcW w:w="1318" w:type="dxa"/>
            <w:vMerge w:val="restart"/>
            <w:tcBorders>
              <w:top w:val="single" w:sz="4" w:space="0" w:color="auto"/>
              <w:left w:val="single" w:sz="4" w:space="0" w:color="auto"/>
              <w:right w:val="single" w:sz="4" w:space="0" w:color="auto"/>
            </w:tcBorders>
            <w:vAlign w:val="center"/>
          </w:tcPr>
          <w:p w14:paraId="61702203" w14:textId="77777777" w:rsidR="00726423" w:rsidRDefault="00726423" w:rsidP="00C51C88">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5D5BA7D" w14:textId="77777777" w:rsidR="00726423" w:rsidRDefault="00726423" w:rsidP="00C51C88">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3600862" w14:textId="77777777" w:rsidR="00726423" w:rsidRDefault="00726423" w:rsidP="00C51C88">
            <w:pPr>
              <w:pStyle w:val="TAH"/>
              <w:rPr>
                <w:sz w:val="14"/>
                <w:szCs w:val="16"/>
              </w:rPr>
            </w:pPr>
            <w:r>
              <w:rPr>
                <w:sz w:val="14"/>
                <w:szCs w:val="16"/>
              </w:rPr>
              <w:t>NPDSCH</w:t>
            </w:r>
            <w:r>
              <w:rPr>
                <w:sz w:val="14"/>
                <w:szCs w:val="16"/>
                <w:lang w:val="en-US"/>
              </w:rPr>
              <w:t xml:space="preserve"> </w:t>
            </w:r>
            <w:r>
              <w:rPr>
                <w:sz w:val="14"/>
                <w:szCs w:val="16"/>
              </w:rPr>
              <w:t>transport block</w:t>
            </w:r>
          </w:p>
          <w:p w14:paraId="662E4934" w14:textId="77777777" w:rsidR="00726423" w:rsidRDefault="00726423" w:rsidP="00C51C88">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vAlign w:val="center"/>
          </w:tcPr>
          <w:p w14:paraId="18BB332C" w14:textId="77777777" w:rsidR="00726423" w:rsidRDefault="00726423" w:rsidP="00C51C88">
            <w:pPr>
              <w:pStyle w:val="TAH"/>
              <w:rPr>
                <w:sz w:val="14"/>
                <w:szCs w:val="16"/>
              </w:rPr>
            </w:pPr>
            <w:r>
              <w:rPr>
                <w:rFonts w:hint="eastAsia"/>
                <w:sz w:val="14"/>
                <w:szCs w:val="16"/>
              </w:rPr>
              <w:t>SNR</w:t>
            </w:r>
          </w:p>
        </w:tc>
      </w:tr>
      <w:tr w:rsidR="00726423" w14:paraId="75806813" w14:textId="77777777" w:rsidTr="00930B6A">
        <w:trPr>
          <w:jc w:val="center"/>
        </w:trPr>
        <w:tc>
          <w:tcPr>
            <w:tcW w:w="1318" w:type="dxa"/>
            <w:vMerge/>
            <w:tcBorders>
              <w:left w:val="single" w:sz="4" w:space="0" w:color="auto"/>
              <w:bottom w:val="single" w:sz="4" w:space="0" w:color="auto"/>
              <w:right w:val="single" w:sz="4" w:space="0" w:color="auto"/>
            </w:tcBorders>
            <w:vAlign w:val="center"/>
          </w:tcPr>
          <w:p w14:paraId="7EC47DEB" w14:textId="77777777" w:rsidR="00726423" w:rsidRDefault="00726423" w:rsidP="00C51C88">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531F9DCD" w14:textId="77777777" w:rsidR="00726423" w:rsidRDefault="00726423" w:rsidP="00C51C88">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7EF59E01" w14:textId="77777777" w:rsidR="00726423" w:rsidRDefault="00726423" w:rsidP="00C51C88">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2FBB9914" w14:textId="77777777" w:rsidR="00726423" w:rsidRDefault="00726423" w:rsidP="00C51C88">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4AEC72E6" w14:textId="77777777" w:rsidR="00726423" w:rsidRDefault="00726423" w:rsidP="00C51C88">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6C00CB34" w14:textId="77777777" w:rsidR="00726423" w:rsidRDefault="00726423" w:rsidP="00C51C88">
            <w:pPr>
              <w:pStyle w:val="TAH"/>
              <w:rPr>
                <w:sz w:val="14"/>
                <w:szCs w:val="16"/>
              </w:rPr>
            </w:pPr>
          </w:p>
        </w:tc>
      </w:tr>
      <w:tr w:rsidR="00726423" w14:paraId="23A7ED46"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A25872E" w14:textId="77777777" w:rsidR="00726423" w:rsidRDefault="00726423" w:rsidP="00C51C88">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CBFC74D" w14:textId="77777777" w:rsidR="00726423" w:rsidRDefault="00726423" w:rsidP="00C51C88">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44DBBC7" w14:textId="77777777" w:rsidR="00726423" w:rsidRDefault="00726423" w:rsidP="00C51C88">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05297CDD" w14:textId="77777777" w:rsidR="00726423" w:rsidRDefault="00726423" w:rsidP="00C51C88">
            <w:pPr>
              <w:pStyle w:val="TAC"/>
              <w:rPr>
                <w:sz w:val="14"/>
                <w:szCs w:val="16"/>
              </w:rPr>
            </w:pPr>
          </w:p>
        </w:tc>
      </w:tr>
      <w:tr w:rsidR="00726423" w14:paraId="62515E7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4658BD" w14:textId="77777777" w:rsidR="00726423" w:rsidRDefault="00726423" w:rsidP="00C51C88">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31C74159" w14:textId="77777777" w:rsidR="00726423" w:rsidRDefault="00726423" w:rsidP="00C51C88">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422C262" w14:textId="77777777" w:rsidR="00726423" w:rsidRPr="00726423" w:rsidRDefault="00726423" w:rsidP="00C51C88">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0487F548" w14:textId="77777777" w:rsidR="00726423" w:rsidRPr="00726423" w:rsidRDefault="00726423" w:rsidP="00C51C88">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6ED9902A" w14:textId="77777777" w:rsidR="00726423" w:rsidRPr="00726423" w:rsidRDefault="00726423" w:rsidP="00C51C88">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2B7C8043" w14:textId="77777777" w:rsidR="00726423" w:rsidRDefault="00726423" w:rsidP="00C51C88">
            <w:pPr>
              <w:pStyle w:val="TAC"/>
              <w:rPr>
                <w:sz w:val="14"/>
                <w:szCs w:val="16"/>
                <w:lang w:eastAsia="ja-JP"/>
              </w:rPr>
            </w:pPr>
            <w:r>
              <w:rPr>
                <w:rFonts w:hint="eastAsia"/>
                <w:sz w:val="14"/>
                <w:szCs w:val="16"/>
              </w:rPr>
              <w:t>-0.6 dB ([2])</w:t>
            </w:r>
          </w:p>
        </w:tc>
      </w:tr>
      <w:tr w:rsidR="00726423" w14:paraId="34E04119"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A29436" w14:textId="77777777" w:rsidR="00726423" w:rsidRDefault="00726423" w:rsidP="00C51C88">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061CBB4E" w14:textId="77777777" w:rsidR="00726423" w:rsidRDefault="00726423" w:rsidP="00C51C88">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174A5117" w14:textId="77777777" w:rsidR="00726423" w:rsidRPr="00726423" w:rsidRDefault="00726423" w:rsidP="00C51C88">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 xml:space="preserve">QPSK (TBS index </w:t>
            </w:r>
            <w:r w:rsidRPr="00726423">
              <w:rPr>
                <w:rFonts w:eastAsia="MS Mincho"/>
                <w:color w:val="000000" w:themeColor="text1"/>
                <w:sz w:val="14"/>
                <w:szCs w:val="16"/>
                <w:lang w:eastAsia="ja-JP"/>
              </w:rPr>
              <w:t>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915AA36" w14:textId="77777777" w:rsidR="00726423" w:rsidRPr="00726423" w:rsidRDefault="00726423" w:rsidP="00C51C88">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F2F9EB3" w14:textId="77777777" w:rsidR="00726423" w:rsidRPr="00726423" w:rsidRDefault="00726423" w:rsidP="00C51C88">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10E82501" w14:textId="77777777" w:rsidR="00726423" w:rsidRDefault="00726423" w:rsidP="00C51C88">
            <w:pPr>
              <w:pStyle w:val="TAC"/>
              <w:rPr>
                <w:rFonts w:eastAsia="MS Mincho"/>
                <w:sz w:val="14"/>
                <w:szCs w:val="16"/>
                <w:lang w:eastAsia="ja-JP"/>
              </w:rPr>
            </w:pPr>
            <w:r>
              <w:rPr>
                <w:rFonts w:eastAsia="MS Mincho" w:hint="eastAsia"/>
                <w:sz w:val="14"/>
                <w:szCs w:val="16"/>
                <w:lang w:eastAsia="ja-JP"/>
              </w:rPr>
              <w:t>-3.6</w:t>
            </w:r>
          </w:p>
        </w:tc>
      </w:tr>
      <w:tr w:rsidR="00726423" w14:paraId="2A917A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2E3C98" w14:textId="77777777" w:rsidR="00726423" w:rsidRDefault="00726423" w:rsidP="00C51C88">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7AD744E5" w14:textId="77777777" w:rsidR="00726423" w:rsidRDefault="00726423" w:rsidP="00C51C88">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2F7AEF71" w14:textId="15B13B86" w:rsidR="00726423" w:rsidRPr="00726423" w:rsidRDefault="00726423" w:rsidP="00C51C88">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A408B69" w14:textId="17248D29" w:rsidR="00726423" w:rsidRPr="00726423" w:rsidRDefault="00726423" w:rsidP="00C51C88">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930E7F4" w14:textId="77777777" w:rsidR="00726423" w:rsidRPr="00726423" w:rsidRDefault="00726423" w:rsidP="00C51C88">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243F46F2" w14:textId="77777777" w:rsidR="00726423" w:rsidRDefault="00726423" w:rsidP="00C51C88">
            <w:pPr>
              <w:pStyle w:val="TAC"/>
              <w:rPr>
                <w:rFonts w:eastAsia="MS Mincho"/>
                <w:sz w:val="14"/>
                <w:szCs w:val="16"/>
                <w:lang w:eastAsia="ja-JP"/>
              </w:rPr>
            </w:pPr>
            <w:r>
              <w:rPr>
                <w:rFonts w:eastAsia="MS Mincho" w:hint="eastAsia"/>
                <w:sz w:val="14"/>
                <w:szCs w:val="16"/>
                <w:lang w:eastAsia="ja-JP"/>
              </w:rPr>
              <w:t>-6.6</w:t>
            </w:r>
          </w:p>
        </w:tc>
      </w:tr>
      <w:tr w:rsidR="00726423" w14:paraId="505C2A0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133AA9" w14:textId="77777777" w:rsidR="00726423" w:rsidRDefault="00726423" w:rsidP="00C51C88">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3EBE37AB" w14:textId="77777777" w:rsidR="00726423" w:rsidRDefault="00726423" w:rsidP="00C51C88">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226A5F88" w14:textId="19368B05" w:rsidR="00726423" w:rsidRPr="00726423" w:rsidRDefault="00726423" w:rsidP="00C51C88">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5DFB806" w14:textId="38574946" w:rsidR="00726423" w:rsidRPr="00726423" w:rsidRDefault="00726423" w:rsidP="00C51C88">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52A3B34B" w14:textId="77777777" w:rsidR="00726423" w:rsidRPr="00726423" w:rsidRDefault="00726423" w:rsidP="00C51C88">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6D221A69" w14:textId="77777777" w:rsidR="00726423" w:rsidRDefault="00726423" w:rsidP="00C51C88">
            <w:pPr>
              <w:pStyle w:val="TAC"/>
              <w:rPr>
                <w:rFonts w:eastAsia="MS Mincho"/>
                <w:sz w:val="14"/>
                <w:szCs w:val="16"/>
                <w:lang w:eastAsia="ja-JP"/>
              </w:rPr>
            </w:pPr>
            <w:r>
              <w:rPr>
                <w:rFonts w:eastAsia="MS Mincho" w:hint="eastAsia"/>
                <w:sz w:val="14"/>
                <w:szCs w:val="16"/>
                <w:lang w:eastAsia="ja-JP"/>
              </w:rPr>
              <w:t>-9.6</w:t>
            </w:r>
          </w:p>
        </w:tc>
      </w:tr>
      <w:tr w:rsidR="00726423" w14:paraId="2761D81B"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AC42594" w14:textId="77777777" w:rsidR="00726423" w:rsidRDefault="00726423" w:rsidP="00C51C88">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51E287F7" w14:textId="77777777" w:rsidR="00726423" w:rsidRDefault="00726423" w:rsidP="00C51C88">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vAlign w:val="center"/>
          </w:tcPr>
          <w:p w14:paraId="7A86E977" w14:textId="0B179534" w:rsidR="00726423" w:rsidRPr="00726423" w:rsidRDefault="00726423" w:rsidP="00C51C88">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4</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4B77929" w14:textId="0656BC6A" w:rsidR="00726423" w:rsidRPr="00726423" w:rsidRDefault="00726423" w:rsidP="00C51C88">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2DAFE859" w14:textId="77777777" w:rsidR="00726423" w:rsidRPr="00726423" w:rsidRDefault="00726423" w:rsidP="00C51C88">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vAlign w:val="center"/>
          </w:tcPr>
          <w:p w14:paraId="507158A0" w14:textId="77777777" w:rsidR="00726423" w:rsidRDefault="00726423" w:rsidP="00C51C88">
            <w:pPr>
              <w:pStyle w:val="TAC"/>
              <w:rPr>
                <w:rFonts w:eastAsia="MS Mincho"/>
                <w:sz w:val="14"/>
                <w:szCs w:val="16"/>
                <w:lang w:eastAsia="ja-JP"/>
              </w:rPr>
            </w:pPr>
            <w:r>
              <w:rPr>
                <w:rFonts w:eastAsia="MS Mincho" w:hint="eastAsia"/>
                <w:sz w:val="14"/>
                <w:szCs w:val="16"/>
                <w:lang w:eastAsia="ja-JP"/>
              </w:rPr>
              <w:t>-12.6</w:t>
            </w:r>
          </w:p>
        </w:tc>
      </w:tr>
      <w:tr w:rsidR="00726423" w14:paraId="53F64673"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AC3F73" w14:textId="77777777" w:rsidR="00726423" w:rsidRDefault="00726423" w:rsidP="00C51C88">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3E0B0F18" w14:textId="77777777" w:rsidR="00726423" w:rsidRDefault="00726423" w:rsidP="00C51C88">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vAlign w:val="center"/>
          </w:tcPr>
          <w:p w14:paraId="494EF059" w14:textId="3C4B6B4F" w:rsidR="00726423" w:rsidRPr="00726423" w:rsidRDefault="00726423" w:rsidP="00C51C88">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8</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4675DFF" w14:textId="600EF27E" w:rsidR="00726423" w:rsidRPr="00726423" w:rsidRDefault="00726423" w:rsidP="00C51C88">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C8DED68" w14:textId="77777777" w:rsidR="00726423" w:rsidRPr="00726423" w:rsidRDefault="00726423" w:rsidP="00C51C88">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vAlign w:val="center"/>
          </w:tcPr>
          <w:p w14:paraId="2BD98CAB" w14:textId="77777777" w:rsidR="00726423" w:rsidRDefault="00726423" w:rsidP="00C51C88">
            <w:pPr>
              <w:pStyle w:val="TAC"/>
              <w:rPr>
                <w:rFonts w:eastAsia="MS Mincho"/>
                <w:sz w:val="14"/>
                <w:szCs w:val="16"/>
                <w:lang w:eastAsia="ja-JP"/>
              </w:rPr>
            </w:pPr>
            <w:r>
              <w:rPr>
                <w:rFonts w:eastAsia="MS Mincho" w:hint="eastAsia"/>
                <w:sz w:val="14"/>
                <w:szCs w:val="16"/>
                <w:lang w:eastAsia="ja-JP"/>
              </w:rPr>
              <w:t>-15.6</w:t>
            </w:r>
          </w:p>
        </w:tc>
      </w:tr>
      <w:tr w:rsidR="00726423" w14:paraId="70FF518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9F98AD0" w14:textId="77777777" w:rsidR="00726423" w:rsidRDefault="00726423" w:rsidP="00C51C88">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54F09A7" w14:textId="77777777" w:rsidR="00726423" w:rsidRDefault="00726423"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4323F6F" w14:textId="77777777" w:rsidR="00726423" w:rsidRPr="00DD67D7" w:rsidRDefault="00726423" w:rsidP="00C51C88">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36B85127" w14:textId="77777777" w:rsidR="00726423" w:rsidRPr="00DD67D7" w:rsidRDefault="00726423" w:rsidP="00C51C88">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580E181D" w14:textId="77777777" w:rsidR="00726423" w:rsidRPr="00DD67D7" w:rsidRDefault="00726423" w:rsidP="00C51C88">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2FBFED4C" w14:textId="77777777" w:rsidR="00726423" w:rsidRDefault="00726423" w:rsidP="00C51C88">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6423" w14:paraId="5FABDB3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693FD" w14:textId="77777777" w:rsidR="00726423" w:rsidRDefault="00726423" w:rsidP="00C51C88">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61C80762" w14:textId="77777777" w:rsidR="00726423" w:rsidRDefault="00726423" w:rsidP="00C51C88">
            <w:pPr>
              <w:pStyle w:val="TAC"/>
              <w:rPr>
                <w:sz w:val="14"/>
                <w:szCs w:val="16"/>
                <w:lang w:val="sv-SE" w:eastAsia="ja-JP"/>
              </w:rPr>
            </w:pPr>
          </w:p>
          <w:p w14:paraId="51D01676" w14:textId="77777777" w:rsidR="00726423" w:rsidRDefault="00726423" w:rsidP="00C51C88">
            <w:pPr>
              <w:pStyle w:val="TAC"/>
              <w:rPr>
                <w:sz w:val="14"/>
                <w:szCs w:val="16"/>
                <w:lang w:val="sv-SE" w:eastAsia="ja-JP"/>
              </w:rPr>
            </w:pPr>
            <w:r>
              <w:rPr>
                <w:sz w:val="14"/>
                <w:szCs w:val="16"/>
                <w:lang w:val="sv-SE" w:eastAsia="ja-JP"/>
              </w:rPr>
              <w:t>1</w:t>
            </w:r>
          </w:p>
          <w:p w14:paraId="36FAA13B" w14:textId="77777777" w:rsidR="00726423" w:rsidRDefault="00726423" w:rsidP="00C51C88">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480831A5" w14:textId="77777777" w:rsidR="00726423" w:rsidRPr="00DD67D7" w:rsidRDefault="00726423" w:rsidP="00C51C88">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7D655F47" w14:textId="77777777" w:rsidR="00726423" w:rsidRPr="00DD67D7" w:rsidRDefault="00726423" w:rsidP="00C51C88">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35052CEA" w14:textId="77777777" w:rsidR="00726423" w:rsidRPr="00DD67D7" w:rsidRDefault="00726423" w:rsidP="00C51C88">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2298EC3E" w14:textId="77777777" w:rsidR="00726423" w:rsidRDefault="00726423" w:rsidP="00C51C88">
            <w:pPr>
              <w:pStyle w:val="TAC"/>
              <w:rPr>
                <w:rFonts w:eastAsia="MS Mincho"/>
                <w:sz w:val="14"/>
                <w:szCs w:val="16"/>
                <w:lang w:val="sv-SE" w:eastAsia="ja-JP"/>
              </w:rPr>
            </w:pPr>
            <w:r>
              <w:rPr>
                <w:rFonts w:eastAsia="MS Mincho" w:hint="eastAsia"/>
                <w:sz w:val="14"/>
                <w:szCs w:val="16"/>
                <w:lang w:val="sv-SE" w:eastAsia="ja-JP"/>
              </w:rPr>
              <w:t>2.6 dB ([3])</w:t>
            </w:r>
          </w:p>
        </w:tc>
      </w:tr>
      <w:tr w:rsidR="00726423" w14:paraId="158CAC5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F04CA61" w14:textId="77777777" w:rsidR="00726423" w:rsidRDefault="00726423" w:rsidP="00C51C88">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5D4D470" w14:textId="77777777" w:rsidR="00726423" w:rsidRDefault="00726423"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0E6A76D" w14:textId="77777777" w:rsidR="00726423" w:rsidRDefault="00726423" w:rsidP="00C51C88">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0BB1D92B"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40E4EE8F"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29A0B6AC" w14:textId="77777777" w:rsidR="00726423" w:rsidRDefault="00726423" w:rsidP="00C51C88">
            <w:pPr>
              <w:pStyle w:val="TAC"/>
              <w:rPr>
                <w:rFonts w:eastAsia="MS Mincho"/>
                <w:sz w:val="14"/>
                <w:szCs w:val="16"/>
                <w:lang w:val="sv-SE" w:eastAsia="ja-JP"/>
              </w:rPr>
            </w:pPr>
            <w:r>
              <w:rPr>
                <w:rFonts w:eastAsia="MS Mincho" w:hint="eastAsia"/>
                <w:sz w:val="14"/>
                <w:szCs w:val="16"/>
                <w:lang w:val="sv-SE" w:eastAsia="ja-JP"/>
              </w:rPr>
              <w:t>4.1 dB ([3])</w:t>
            </w:r>
          </w:p>
        </w:tc>
      </w:tr>
      <w:tr w:rsidR="00726423" w14:paraId="230549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BC66DD" w14:textId="77777777" w:rsidR="00726423" w:rsidRDefault="00726423" w:rsidP="00C51C88">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66C2FD48" w14:textId="77777777" w:rsidR="00726423" w:rsidRDefault="00726423"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17B9A8E" w14:textId="77777777" w:rsidR="00726423" w:rsidRDefault="00726423" w:rsidP="00C51C88">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5DE52CE6"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3BF8624D"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42DFE948"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6423" w14:paraId="54F2EFA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E80F26" w14:textId="77777777" w:rsidR="00726423" w:rsidRDefault="00726423" w:rsidP="00C51C88">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0D99D91C" w14:textId="77777777" w:rsidR="00726423" w:rsidRDefault="00726423"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22AB267" w14:textId="77777777" w:rsidR="00726423" w:rsidRDefault="00726423" w:rsidP="00C51C88">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1B0B1234"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12C6273D"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56DC1A89" w14:textId="77777777" w:rsidR="00726423" w:rsidRDefault="00726423" w:rsidP="00C51C88">
            <w:pPr>
              <w:pStyle w:val="TAC"/>
              <w:rPr>
                <w:rFonts w:eastAsia="MS Mincho"/>
                <w:sz w:val="14"/>
                <w:szCs w:val="16"/>
                <w:lang w:val="sv-SE" w:eastAsia="ja-JP"/>
              </w:rPr>
            </w:pPr>
            <w:r>
              <w:rPr>
                <w:rFonts w:eastAsia="MS Mincho" w:hint="eastAsia"/>
                <w:sz w:val="14"/>
                <w:szCs w:val="16"/>
                <w:lang w:val="sv-SE" w:eastAsia="ja-JP"/>
              </w:rPr>
              <w:t>8.9 dB ([3])</w:t>
            </w:r>
          </w:p>
        </w:tc>
      </w:tr>
      <w:tr w:rsidR="00726423" w14:paraId="340F4E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6DFE8FB" w14:textId="77777777" w:rsidR="00726423" w:rsidRDefault="00726423" w:rsidP="00C51C88">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56F99177" w14:textId="77777777" w:rsidR="00726423" w:rsidRDefault="00726423"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F4E697B" w14:textId="77777777" w:rsidR="00726423" w:rsidRDefault="00726423" w:rsidP="00C51C88">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317910"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0AFE2B70"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53D52C3F" w14:textId="77777777" w:rsidR="00726423" w:rsidRDefault="00726423" w:rsidP="00C51C88">
            <w:pPr>
              <w:pStyle w:val="TAC"/>
              <w:rPr>
                <w:rFonts w:eastAsia="MS Mincho"/>
                <w:sz w:val="14"/>
                <w:szCs w:val="16"/>
                <w:lang w:val="sv-SE" w:eastAsia="ja-JP"/>
              </w:rPr>
            </w:pPr>
            <w:r>
              <w:rPr>
                <w:rFonts w:eastAsia="MS Mincho" w:hint="eastAsia"/>
                <w:sz w:val="14"/>
                <w:szCs w:val="16"/>
                <w:lang w:val="sv-SE" w:eastAsia="ja-JP"/>
              </w:rPr>
              <w:t>9.7 dB ([3])</w:t>
            </w:r>
          </w:p>
        </w:tc>
      </w:tr>
      <w:tr w:rsidR="00726423" w14:paraId="3052F3BF"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A4131EC" w14:textId="77777777" w:rsidR="00726423" w:rsidRDefault="00726423" w:rsidP="00C51C88">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422501A7" w14:textId="77777777" w:rsidR="00726423" w:rsidRDefault="00726423"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0BD321F" w14:textId="77777777" w:rsidR="00726423" w:rsidRDefault="00726423" w:rsidP="00C51C88">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538898F"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501F290"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26C36052" w14:textId="77777777" w:rsidR="00726423" w:rsidRDefault="00726423" w:rsidP="00C51C88">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6423" w14:paraId="6603CC4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95DA493" w14:textId="77777777" w:rsidR="00726423" w:rsidRDefault="00726423" w:rsidP="00C51C88">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87F9277" w14:textId="77777777" w:rsidR="00726423" w:rsidRDefault="00726423"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122AAD5" w14:textId="77777777" w:rsidR="00726423" w:rsidRDefault="00726423" w:rsidP="00C51C88">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A0091C8"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62E58EC7"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1BA3626E" w14:textId="77777777" w:rsidR="00726423" w:rsidRDefault="00726423" w:rsidP="00C51C88">
            <w:pPr>
              <w:pStyle w:val="TAC"/>
              <w:rPr>
                <w:rFonts w:eastAsia="MS Mincho"/>
                <w:sz w:val="14"/>
                <w:szCs w:val="16"/>
                <w:lang w:val="sv-SE" w:eastAsia="ja-JP"/>
              </w:rPr>
            </w:pPr>
            <w:r>
              <w:rPr>
                <w:rFonts w:eastAsia="MS Mincho" w:hint="eastAsia"/>
                <w:sz w:val="14"/>
                <w:szCs w:val="16"/>
                <w:lang w:val="sv-SE" w:eastAsia="ja-JP"/>
              </w:rPr>
              <w:t>13.0 dB ([3])</w:t>
            </w:r>
          </w:p>
        </w:tc>
      </w:tr>
      <w:tr w:rsidR="00726423" w14:paraId="2FBCEE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0DA72" w14:textId="77777777" w:rsidR="00726423" w:rsidRDefault="00726423" w:rsidP="00C51C88">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3891DA9" w14:textId="77777777" w:rsidR="00726423" w:rsidRDefault="00726423" w:rsidP="00C51C88">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E43927F" w14:textId="77777777" w:rsidR="00726423" w:rsidRDefault="00726423" w:rsidP="00C51C88">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157CB28"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3019A023" w14:textId="77777777" w:rsidR="00726423" w:rsidRDefault="00726423" w:rsidP="00C51C88">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62213A0D" w14:textId="77777777" w:rsidR="00726423" w:rsidRDefault="00726423" w:rsidP="00C51C88">
            <w:pPr>
              <w:pStyle w:val="TAC"/>
              <w:rPr>
                <w:rFonts w:eastAsia="MS Mincho"/>
                <w:sz w:val="14"/>
                <w:szCs w:val="16"/>
                <w:lang w:val="sv-SE" w:eastAsia="ja-JP"/>
              </w:rPr>
            </w:pPr>
            <w:r>
              <w:rPr>
                <w:rFonts w:eastAsia="MS Mincho" w:hint="eastAsia"/>
                <w:sz w:val="14"/>
                <w:szCs w:val="16"/>
                <w:lang w:val="sv-SE" w:eastAsia="ja-JP"/>
              </w:rPr>
              <w:t>14.1 dB ([3])</w:t>
            </w:r>
          </w:p>
        </w:tc>
      </w:tr>
    </w:tbl>
    <w:p w14:paraId="0F42EB9C" w14:textId="77777777" w:rsidR="009D5E57" w:rsidRPr="005A0682" w:rsidRDefault="009D5E57" w:rsidP="009D5E57">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1CF2313F" w14:textId="38DE979D" w:rsidR="00930B6A" w:rsidRDefault="00930B6A" w:rsidP="00565DF9">
      <w:r>
        <w:rPr>
          <w:rFonts w:hint="eastAsia"/>
        </w:rPr>
        <w:t xml:space="preserve">Please input your comments regarding the above </w:t>
      </w:r>
      <w:r w:rsidR="00AF2874">
        <w:t>table</w:t>
      </w:r>
      <w:bookmarkStart w:id="3" w:name="_GoBack"/>
      <w:bookmarkEnd w:id="3"/>
      <w:r w:rsidR="00FE2CF4">
        <w:t>.</w:t>
      </w:r>
    </w:p>
    <w:tbl>
      <w:tblPr>
        <w:tblStyle w:val="af1"/>
        <w:tblW w:w="0" w:type="auto"/>
        <w:tblLook w:val="04A0" w:firstRow="1" w:lastRow="0" w:firstColumn="1" w:lastColumn="0" w:noHBand="0" w:noVBand="1"/>
      </w:tblPr>
      <w:tblGrid>
        <w:gridCol w:w="1838"/>
        <w:gridCol w:w="7469"/>
      </w:tblGrid>
      <w:tr w:rsidR="00FA23F1" w14:paraId="5406D19D" w14:textId="77777777" w:rsidTr="007B280D">
        <w:tc>
          <w:tcPr>
            <w:tcW w:w="1838" w:type="dxa"/>
          </w:tcPr>
          <w:p w14:paraId="6879727A" w14:textId="77777777" w:rsidR="00FA23F1" w:rsidRDefault="00FA23F1" w:rsidP="00C51C88">
            <w:pPr>
              <w:spacing w:line="240" w:lineRule="auto"/>
              <w:rPr>
                <w:lang w:eastAsia="zh-CN"/>
              </w:rPr>
            </w:pPr>
            <w:r>
              <w:rPr>
                <w:rFonts w:hint="eastAsia"/>
                <w:lang w:eastAsia="zh-CN"/>
              </w:rPr>
              <w:t>Companies</w:t>
            </w:r>
          </w:p>
        </w:tc>
        <w:tc>
          <w:tcPr>
            <w:tcW w:w="7469" w:type="dxa"/>
          </w:tcPr>
          <w:p w14:paraId="1629935B" w14:textId="77777777" w:rsidR="00FA23F1" w:rsidRDefault="00FA23F1" w:rsidP="00C51C88">
            <w:pPr>
              <w:spacing w:line="240" w:lineRule="auto"/>
              <w:rPr>
                <w:lang w:eastAsia="zh-CN"/>
              </w:rPr>
            </w:pPr>
            <w:r>
              <w:rPr>
                <w:rFonts w:hint="eastAsia"/>
                <w:lang w:eastAsia="zh-CN"/>
              </w:rPr>
              <w:t>Comments</w:t>
            </w:r>
          </w:p>
        </w:tc>
      </w:tr>
      <w:tr w:rsidR="00FA23F1" w14:paraId="5630ED9E" w14:textId="77777777" w:rsidTr="007B280D">
        <w:tc>
          <w:tcPr>
            <w:tcW w:w="1838" w:type="dxa"/>
          </w:tcPr>
          <w:p w14:paraId="24A45FC9" w14:textId="7AA3423E" w:rsidR="00FA23F1" w:rsidRDefault="00FA23F1" w:rsidP="00C51C88">
            <w:pPr>
              <w:spacing w:line="240" w:lineRule="auto"/>
              <w:rPr>
                <w:rFonts w:hint="eastAsia"/>
                <w:lang w:eastAsia="zh-CN"/>
              </w:rPr>
            </w:pPr>
            <w:r>
              <w:rPr>
                <w:rFonts w:hint="eastAsia"/>
                <w:lang w:eastAsia="zh-CN"/>
              </w:rPr>
              <w:t>Ericsson</w:t>
            </w:r>
          </w:p>
        </w:tc>
        <w:tc>
          <w:tcPr>
            <w:tcW w:w="7469" w:type="dxa"/>
          </w:tcPr>
          <w:p w14:paraId="0E9C07B4" w14:textId="77777777" w:rsidR="00FA23F1" w:rsidRDefault="00FA23F1" w:rsidP="00FA23F1">
            <w:pPr>
              <w:numPr>
                <w:ilvl w:val="0"/>
                <w:numId w:val="31"/>
              </w:numPr>
              <w:autoSpaceDE/>
              <w:autoSpaceDN/>
              <w:adjustRightInd/>
              <w:snapToGrid/>
              <w:spacing w:after="0" w:line="240" w:lineRule="auto"/>
              <w:jc w:val="left"/>
              <w:rPr>
                <w:lang w:val="sv-SE"/>
              </w:rPr>
            </w:pPr>
            <w:r>
              <w:t xml:space="preserve">The CQI table shall account for both </w:t>
            </w:r>
            <w:r>
              <w:rPr>
                <w:color w:val="ED7D31"/>
              </w:rPr>
              <w:t>Stand-Alone/Guard-Band and In-Band deployments.</w:t>
            </w:r>
          </w:p>
          <w:p w14:paraId="12E02AAF" w14:textId="77777777" w:rsidR="00FA23F1" w:rsidRDefault="00FA23F1" w:rsidP="00FA23F1">
            <w:pPr>
              <w:numPr>
                <w:ilvl w:val="0"/>
                <w:numId w:val="31"/>
              </w:numPr>
              <w:autoSpaceDE/>
              <w:autoSpaceDN/>
              <w:adjustRightInd/>
              <w:snapToGrid/>
              <w:spacing w:after="0" w:line="240" w:lineRule="auto"/>
              <w:jc w:val="left"/>
              <w:rPr>
                <w:lang w:val="sv-SE"/>
              </w:rPr>
            </w:pPr>
            <w:r>
              <w:t>To account for the online comment: “</w:t>
            </w:r>
            <w:r>
              <w:rPr>
                <w:i/>
                <w:iCs/>
              </w:rPr>
              <w:t>NPDSCH does not support BPSK at all</w:t>
            </w:r>
            <w:r>
              <w:t xml:space="preserve">”, and in relation with it we have put </w:t>
            </w:r>
            <w:r>
              <w:rPr>
                <w:color w:val="ED7D31"/>
              </w:rPr>
              <w:t>N/A</w:t>
            </w:r>
            <w:r>
              <w:t>.</w:t>
            </w:r>
          </w:p>
          <w:p w14:paraId="3CD22815" w14:textId="77777777" w:rsidR="00FA23F1" w:rsidRDefault="00FA23F1" w:rsidP="00FA23F1">
            <w:pPr>
              <w:rPr>
                <w:sz w:val="21"/>
                <w:szCs w:val="21"/>
                <w:lang w:val="sv-SE" w:eastAsia="zh-CN"/>
              </w:rPr>
            </w:pPr>
            <w:r>
              <w:t> </w:t>
            </w:r>
          </w:p>
          <w:p w14:paraId="6558836B" w14:textId="77777777" w:rsidR="00FA23F1" w:rsidRDefault="00FA23F1" w:rsidP="00FA23F1">
            <w:pPr>
              <w:rPr>
                <w:lang w:val="sv-SE"/>
              </w:rPr>
            </w:pPr>
            <w:r>
              <w:t> </w:t>
            </w:r>
          </w:p>
          <w:tbl>
            <w:tblPr>
              <w:tblW w:w="6886" w:type="dxa"/>
              <w:jc w:val="center"/>
              <w:tblCellMar>
                <w:left w:w="0" w:type="dxa"/>
                <w:right w:w="0" w:type="dxa"/>
              </w:tblCellMar>
              <w:tblLook w:val="04A0" w:firstRow="1" w:lastRow="0" w:firstColumn="1" w:lastColumn="0" w:noHBand="0" w:noVBand="1"/>
            </w:tblPr>
            <w:tblGrid>
              <w:gridCol w:w="939"/>
              <w:gridCol w:w="1108"/>
              <w:gridCol w:w="800"/>
              <w:gridCol w:w="736"/>
              <w:gridCol w:w="800"/>
              <w:gridCol w:w="736"/>
              <w:gridCol w:w="467"/>
              <w:gridCol w:w="689"/>
              <w:gridCol w:w="674"/>
            </w:tblGrid>
            <w:tr w:rsidR="007B280D" w:rsidRPr="007B280D" w14:paraId="670E0E67" w14:textId="77777777" w:rsidTr="007B280D">
              <w:trPr>
                <w:jc w:val="center"/>
              </w:trPr>
              <w:tc>
                <w:tcPr>
                  <w:tcW w:w="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69F41" w14:textId="77777777" w:rsidR="00FA23F1" w:rsidRPr="007B280D" w:rsidRDefault="00FA23F1" w:rsidP="00FA23F1">
                  <w:pPr>
                    <w:pStyle w:val="TAH"/>
                    <w:rPr>
                      <w:sz w:val="10"/>
                      <w:lang w:val="en-US"/>
                    </w:rPr>
                  </w:pPr>
                  <w:r w:rsidRPr="007B280D">
                    <w:rPr>
                      <w:sz w:val="10"/>
                      <w:szCs w:val="14"/>
                    </w:rPr>
                    <w:t>Reported value</w:t>
                  </w:r>
                </w:p>
              </w:tc>
              <w:tc>
                <w:tcPr>
                  <w:tcW w:w="11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082BFF" w14:textId="77777777" w:rsidR="00FA23F1" w:rsidRPr="007B280D" w:rsidRDefault="00FA23F1" w:rsidP="00FA23F1">
                  <w:pPr>
                    <w:pStyle w:val="TAH"/>
                    <w:rPr>
                      <w:sz w:val="10"/>
                    </w:rPr>
                  </w:pPr>
                  <w:r w:rsidRPr="007B280D">
                    <w:rPr>
                      <w:sz w:val="10"/>
                      <w:szCs w:val="14"/>
                    </w:rPr>
                    <w:t>NPDCCH repetition level</w:t>
                  </w:r>
                </w:p>
              </w:tc>
              <w:tc>
                <w:tcPr>
                  <w:tcW w:w="428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8CB5FF" w14:textId="77777777" w:rsidR="00FA23F1" w:rsidRPr="007B280D" w:rsidRDefault="00FA23F1" w:rsidP="00FA23F1">
                  <w:pPr>
                    <w:pStyle w:val="TAH"/>
                    <w:rPr>
                      <w:sz w:val="10"/>
                    </w:rPr>
                  </w:pPr>
                  <w:r w:rsidRPr="007B280D">
                    <w:rPr>
                      <w:sz w:val="10"/>
                      <w:szCs w:val="14"/>
                    </w:rPr>
                    <w:t>NPDSCH transport block</w:t>
                  </w:r>
                </w:p>
                <w:p w14:paraId="012EC1E5" w14:textId="77777777" w:rsidR="00FA23F1" w:rsidRPr="007B280D" w:rsidRDefault="00FA23F1" w:rsidP="00FA23F1">
                  <w:pPr>
                    <w:pStyle w:val="TAH"/>
                    <w:rPr>
                      <w:sz w:val="10"/>
                    </w:rPr>
                  </w:pPr>
                  <w:r w:rsidRPr="007B280D">
                    <w:rPr>
                      <w:sz w:val="10"/>
                      <w:szCs w:val="14"/>
                    </w:rPr>
                    <w:t>error probability not exceeding 0.1</w:t>
                  </w:r>
                </w:p>
              </w:tc>
              <w:tc>
                <w:tcPr>
                  <w:tcW w:w="6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121E4" w14:textId="77777777" w:rsidR="00FA23F1" w:rsidRPr="007B280D" w:rsidRDefault="00FA23F1" w:rsidP="00FA23F1">
                  <w:pPr>
                    <w:pStyle w:val="TAH"/>
                    <w:rPr>
                      <w:sz w:val="10"/>
                    </w:rPr>
                  </w:pPr>
                  <w:r w:rsidRPr="007B280D">
                    <w:rPr>
                      <w:sz w:val="10"/>
                      <w:szCs w:val="14"/>
                    </w:rPr>
                    <w:t>SNR</w:t>
                  </w:r>
                </w:p>
              </w:tc>
            </w:tr>
            <w:tr w:rsidR="007B280D" w:rsidRPr="007B280D" w14:paraId="3713424D" w14:textId="77777777" w:rsidTr="007B280D">
              <w:trPr>
                <w:jc w:val="center"/>
              </w:trPr>
              <w:tc>
                <w:tcPr>
                  <w:tcW w:w="816" w:type="dxa"/>
                  <w:vMerge/>
                  <w:tcBorders>
                    <w:top w:val="single" w:sz="8" w:space="0" w:color="auto"/>
                    <w:left w:val="single" w:sz="8" w:space="0" w:color="auto"/>
                    <w:bottom w:val="single" w:sz="8" w:space="0" w:color="auto"/>
                    <w:right w:val="single" w:sz="8" w:space="0" w:color="auto"/>
                  </w:tcBorders>
                  <w:vAlign w:val="center"/>
                  <w:hideMark/>
                </w:tcPr>
                <w:p w14:paraId="214B846C" w14:textId="77777777" w:rsidR="00FA23F1" w:rsidRPr="007B280D" w:rsidRDefault="00FA23F1" w:rsidP="00FA23F1">
                  <w:pPr>
                    <w:jc w:val="left"/>
                    <w:rPr>
                      <w:rFonts w:ascii="Arial" w:eastAsia="Times New Roman" w:hAnsi="Arial" w:cs="Arial"/>
                      <w:b/>
                      <w:bCs/>
                      <w:sz w:val="10"/>
                      <w:szCs w:val="20"/>
                      <w:lang w:eastAsia="en-GB"/>
                    </w:rPr>
                  </w:pPr>
                </w:p>
              </w:tc>
              <w:tc>
                <w:tcPr>
                  <w:tcW w:w="1108" w:type="dxa"/>
                  <w:vMerge/>
                  <w:tcBorders>
                    <w:top w:val="single" w:sz="8" w:space="0" w:color="auto"/>
                    <w:left w:val="nil"/>
                    <w:bottom w:val="single" w:sz="8" w:space="0" w:color="auto"/>
                    <w:right w:val="single" w:sz="8" w:space="0" w:color="auto"/>
                  </w:tcBorders>
                  <w:vAlign w:val="center"/>
                  <w:hideMark/>
                </w:tcPr>
                <w:p w14:paraId="6923F880" w14:textId="77777777" w:rsidR="00FA23F1" w:rsidRPr="007B280D" w:rsidRDefault="00FA23F1" w:rsidP="00FA23F1">
                  <w:pPr>
                    <w:jc w:val="left"/>
                    <w:rPr>
                      <w:rFonts w:ascii="Arial" w:eastAsia="Times New Roman" w:hAnsi="Arial" w:cs="Arial"/>
                      <w:b/>
                      <w:bCs/>
                      <w:sz w:val="10"/>
                      <w:szCs w:val="20"/>
                      <w:lang w:eastAsia="en-GB"/>
                    </w:rPr>
                  </w:pP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4013B77" w14:textId="77777777" w:rsidR="00FA23F1" w:rsidRPr="007B280D" w:rsidRDefault="00FA23F1" w:rsidP="00FA23F1">
                  <w:pPr>
                    <w:pStyle w:val="TAH"/>
                    <w:rPr>
                      <w:sz w:val="10"/>
                    </w:rPr>
                  </w:pPr>
                  <w:r w:rsidRPr="007B280D">
                    <w:rPr>
                      <w:sz w:val="10"/>
                      <w:szCs w:val="14"/>
                    </w:rPr>
                    <w:t>Modulation</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E530C76" w14:textId="77777777" w:rsidR="00FA23F1" w:rsidRPr="007B280D" w:rsidRDefault="00FA23F1" w:rsidP="00FA23F1">
                  <w:pPr>
                    <w:pStyle w:val="TAH"/>
                    <w:rPr>
                      <w:sz w:val="10"/>
                    </w:rPr>
                  </w:pPr>
                  <w:r w:rsidRPr="007B280D">
                    <w:rPr>
                      <w:sz w:val="10"/>
                      <w:szCs w:val="14"/>
                    </w:rPr>
                    <w:t>Code rate x 1024</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3311E89B" w14:textId="77777777" w:rsidR="00FA23F1" w:rsidRPr="007B280D" w:rsidRDefault="00FA23F1" w:rsidP="00FA23F1">
                  <w:pPr>
                    <w:pStyle w:val="TAH"/>
                    <w:rPr>
                      <w:sz w:val="10"/>
                    </w:rPr>
                  </w:pPr>
                  <w:r w:rsidRPr="007B280D">
                    <w:rPr>
                      <w:sz w:val="10"/>
                      <w:szCs w:val="14"/>
                    </w:rPr>
                    <w:t>Efficiency</w:t>
                  </w:r>
                </w:p>
              </w:tc>
              <w:tc>
                <w:tcPr>
                  <w:tcW w:w="0" w:type="auto"/>
                  <w:vMerge/>
                  <w:tcBorders>
                    <w:top w:val="single" w:sz="8" w:space="0" w:color="auto"/>
                    <w:left w:val="nil"/>
                    <w:bottom w:val="single" w:sz="8" w:space="0" w:color="auto"/>
                    <w:right w:val="single" w:sz="8" w:space="0" w:color="auto"/>
                  </w:tcBorders>
                  <w:vAlign w:val="center"/>
                  <w:hideMark/>
                </w:tcPr>
                <w:p w14:paraId="51153EB3" w14:textId="77777777" w:rsidR="00FA23F1" w:rsidRPr="007B280D" w:rsidRDefault="00FA23F1" w:rsidP="00FA23F1">
                  <w:pPr>
                    <w:jc w:val="left"/>
                    <w:rPr>
                      <w:rFonts w:ascii="Arial" w:eastAsia="Times New Roman" w:hAnsi="Arial" w:cs="Arial"/>
                      <w:b/>
                      <w:bCs/>
                      <w:sz w:val="10"/>
                      <w:szCs w:val="20"/>
                      <w:lang w:eastAsia="en-GB"/>
                    </w:rPr>
                  </w:pPr>
                </w:p>
              </w:tc>
            </w:tr>
            <w:tr w:rsidR="007B280D" w:rsidRPr="007B280D" w14:paraId="14F1552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365AD" w14:textId="77777777" w:rsidR="00FA23F1" w:rsidRPr="007B280D" w:rsidRDefault="00FA23F1" w:rsidP="00FA23F1">
                  <w:pPr>
                    <w:pStyle w:val="TAC"/>
                    <w:ind w:left="280" w:hanging="280"/>
                    <w:rPr>
                      <w:sz w:val="10"/>
                    </w:rPr>
                  </w:pPr>
                  <w:r w:rsidRPr="007B280D">
                    <w:rPr>
                      <w:sz w:val="10"/>
                      <w:szCs w:val="14"/>
                    </w:rPr>
                    <w:t>noMeasurement</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098A8" w14:textId="77777777" w:rsidR="00FA23F1" w:rsidRPr="007B280D" w:rsidRDefault="00FA23F1" w:rsidP="00FA23F1">
                  <w:pPr>
                    <w:pStyle w:val="TAC"/>
                    <w:ind w:left="280" w:hanging="280"/>
                    <w:rPr>
                      <w:sz w:val="10"/>
                    </w:rPr>
                  </w:pPr>
                  <w:r w:rsidRPr="007B280D">
                    <w:rPr>
                      <w:sz w:val="10"/>
                      <w:szCs w:val="14"/>
                    </w:rPr>
                    <w:t>No measurement reporting</w:t>
                  </w:r>
                </w:p>
              </w:tc>
              <w:tc>
                <w:tcPr>
                  <w:tcW w:w="428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5AD33C7" w14:textId="77777777" w:rsidR="00FA23F1" w:rsidRPr="007B280D" w:rsidRDefault="00FA23F1" w:rsidP="00FA23F1">
                  <w:pPr>
                    <w:pStyle w:val="TAC"/>
                    <w:ind w:left="280" w:hanging="280"/>
                    <w:rPr>
                      <w:sz w:val="10"/>
                    </w:rPr>
                  </w:pPr>
                  <w:r w:rsidRPr="007B280D">
                    <w:rPr>
                      <w:sz w:val="10"/>
                      <w:szCs w:val="14"/>
                    </w:rPr>
                    <w:t>Out of range</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0A855D3" w14:textId="77777777" w:rsidR="00FA23F1" w:rsidRPr="007B280D" w:rsidRDefault="00FA23F1" w:rsidP="00FA23F1">
                  <w:pPr>
                    <w:pStyle w:val="TAC"/>
                    <w:ind w:left="280" w:hanging="280"/>
                    <w:rPr>
                      <w:sz w:val="10"/>
                    </w:rPr>
                  </w:pPr>
                  <w:r w:rsidRPr="007B280D">
                    <w:rPr>
                      <w:sz w:val="10"/>
                      <w:szCs w:val="14"/>
                    </w:rPr>
                    <w:t> </w:t>
                  </w:r>
                </w:p>
              </w:tc>
            </w:tr>
            <w:tr w:rsidR="007B280D" w:rsidRPr="007B280D" w14:paraId="77CD3933"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C4FF3" w14:textId="77777777" w:rsidR="00FA23F1" w:rsidRPr="007B280D" w:rsidRDefault="00FA23F1" w:rsidP="00FA23F1">
                  <w:pPr>
                    <w:pStyle w:val="TAC"/>
                    <w:ind w:left="280" w:hanging="280"/>
                    <w:rPr>
                      <w:sz w:val="10"/>
                    </w:rPr>
                  </w:pPr>
                  <w:r w:rsidRPr="007B280D">
                    <w:rPr>
                      <w:sz w:val="10"/>
                      <w:szCs w:val="14"/>
                      <w:lang w:eastAsia="ja-JP"/>
                    </w:rPr>
                    <w:t>candidateRep-A</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3D925" w14:textId="77777777" w:rsidR="00FA23F1" w:rsidRPr="007B280D" w:rsidRDefault="00FA23F1" w:rsidP="00FA23F1">
                  <w:pPr>
                    <w:pStyle w:val="TAC"/>
                    <w:ind w:left="280" w:hanging="280"/>
                    <w:rPr>
                      <w:sz w:val="10"/>
                    </w:rPr>
                  </w:pPr>
                  <w:r w:rsidRPr="007B280D">
                    <w:rPr>
                      <w:sz w:val="10"/>
                      <w:szCs w:val="14"/>
                      <w:lang w:eastAsia="ja-JP"/>
                    </w:rPr>
                    <w:t>1</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85E3F4D"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12AF452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8FD2E14"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53DD9C97"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0C3B62E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84C65" w14:textId="77777777" w:rsidR="00FA23F1" w:rsidRPr="007B280D" w:rsidRDefault="00FA23F1" w:rsidP="00FA23F1">
                  <w:pPr>
                    <w:pStyle w:val="TAC"/>
                    <w:ind w:left="280" w:hanging="280"/>
                    <w:rPr>
                      <w:sz w:val="10"/>
                    </w:rPr>
                  </w:pPr>
                  <w:r w:rsidRPr="007B280D">
                    <w:rPr>
                      <w:sz w:val="10"/>
                      <w:szCs w:val="14"/>
                      <w:lang w:eastAsia="ja-JP"/>
                    </w:rPr>
                    <w:t>candidateRep-B</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83B4" w14:textId="77777777" w:rsidR="00FA23F1" w:rsidRPr="007B280D" w:rsidRDefault="00FA23F1" w:rsidP="00FA23F1">
                  <w:pPr>
                    <w:pStyle w:val="TAC"/>
                    <w:ind w:left="280" w:hanging="280"/>
                    <w:rPr>
                      <w:sz w:val="10"/>
                    </w:rPr>
                  </w:pPr>
                  <w:r w:rsidRPr="007B280D">
                    <w:rPr>
                      <w:sz w:val="10"/>
                      <w:szCs w:val="14"/>
                      <w:lang w:eastAsia="ja-JP"/>
                    </w:rPr>
                    <w:t>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C44F07"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8BA0D"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65DE3"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CAD26"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2FF5D0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EC296" w14:textId="77777777" w:rsidR="00FA23F1" w:rsidRPr="007B280D" w:rsidRDefault="00FA23F1" w:rsidP="00FA23F1">
                  <w:pPr>
                    <w:pStyle w:val="TAC"/>
                    <w:ind w:left="280" w:hanging="280"/>
                    <w:rPr>
                      <w:sz w:val="10"/>
                    </w:rPr>
                  </w:pPr>
                  <w:r w:rsidRPr="007B280D">
                    <w:rPr>
                      <w:sz w:val="10"/>
                      <w:szCs w:val="14"/>
                      <w:lang w:eastAsia="ja-JP"/>
                    </w:rPr>
                    <w:t>candidateRep-C</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BDFF1" w14:textId="77777777" w:rsidR="00FA23F1" w:rsidRPr="007B280D" w:rsidRDefault="00FA23F1" w:rsidP="00FA23F1">
                  <w:pPr>
                    <w:pStyle w:val="TAC"/>
                    <w:ind w:left="280" w:hanging="280"/>
                    <w:rPr>
                      <w:sz w:val="10"/>
                    </w:rPr>
                  </w:pPr>
                  <w:r w:rsidRPr="007B280D">
                    <w:rPr>
                      <w:sz w:val="10"/>
                      <w:szCs w:val="14"/>
                      <w:lang w:eastAsia="ja-JP"/>
                    </w:rPr>
                    <w:t>4</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1AE628"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C82E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4AE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1A8CE"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586F5608"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A2D9" w14:textId="77777777" w:rsidR="00FA23F1" w:rsidRPr="007B280D" w:rsidRDefault="00FA23F1" w:rsidP="00FA23F1">
                  <w:pPr>
                    <w:pStyle w:val="TAC"/>
                    <w:ind w:left="280" w:hanging="280"/>
                    <w:rPr>
                      <w:sz w:val="10"/>
                    </w:rPr>
                  </w:pPr>
                  <w:r w:rsidRPr="007B280D">
                    <w:rPr>
                      <w:sz w:val="10"/>
                      <w:szCs w:val="14"/>
                      <w:lang w:eastAsia="ja-JP"/>
                    </w:rPr>
                    <w:t>candidateRep-D</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8124F" w14:textId="77777777" w:rsidR="00FA23F1" w:rsidRPr="007B280D" w:rsidRDefault="00FA23F1" w:rsidP="00FA23F1">
                  <w:pPr>
                    <w:pStyle w:val="TAC"/>
                    <w:ind w:left="280" w:hanging="280"/>
                    <w:rPr>
                      <w:sz w:val="10"/>
                    </w:rPr>
                  </w:pPr>
                  <w:r w:rsidRPr="007B280D">
                    <w:rPr>
                      <w:sz w:val="10"/>
                      <w:szCs w:val="14"/>
                      <w:lang w:eastAsia="ja-JP"/>
                    </w:rPr>
                    <w:t>8</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0E3325E"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7103FE6"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5704F38"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09BEA1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31C13E1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4522A" w14:textId="77777777" w:rsidR="00FA23F1" w:rsidRPr="007B280D" w:rsidRDefault="00FA23F1" w:rsidP="00FA23F1">
                  <w:pPr>
                    <w:pStyle w:val="TAC"/>
                    <w:ind w:left="280" w:hanging="280"/>
                    <w:rPr>
                      <w:sz w:val="10"/>
                    </w:rPr>
                  </w:pPr>
                  <w:r w:rsidRPr="007B280D">
                    <w:rPr>
                      <w:sz w:val="10"/>
                      <w:szCs w:val="14"/>
                      <w:lang w:eastAsia="ja-JP"/>
                    </w:rPr>
                    <w:t>candidateRep-E</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0E641" w14:textId="77777777" w:rsidR="00FA23F1" w:rsidRPr="007B280D" w:rsidRDefault="00FA23F1" w:rsidP="00FA23F1">
                  <w:pPr>
                    <w:pStyle w:val="TAC"/>
                    <w:ind w:left="280" w:hanging="280"/>
                    <w:rPr>
                      <w:sz w:val="10"/>
                    </w:rPr>
                  </w:pPr>
                  <w:r w:rsidRPr="007B280D">
                    <w:rPr>
                      <w:sz w:val="10"/>
                      <w:szCs w:val="14"/>
                      <w:lang w:eastAsia="ja-JP"/>
                    </w:rPr>
                    <w:t>16</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D5E3303"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1D7ED67"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3BB773C"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29DA2B7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77B22404"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76FAA" w14:textId="77777777" w:rsidR="00FA23F1" w:rsidRPr="007B280D" w:rsidRDefault="00FA23F1" w:rsidP="00FA23F1">
                  <w:pPr>
                    <w:pStyle w:val="TAC"/>
                    <w:ind w:left="280" w:hanging="280"/>
                    <w:rPr>
                      <w:sz w:val="10"/>
                    </w:rPr>
                  </w:pPr>
                  <w:r w:rsidRPr="007B280D">
                    <w:rPr>
                      <w:sz w:val="10"/>
                      <w:szCs w:val="14"/>
                      <w:lang w:eastAsia="ja-JP"/>
                    </w:rPr>
                    <w:t>candidateRep-F</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A3E6" w14:textId="77777777" w:rsidR="00FA23F1" w:rsidRPr="007B280D" w:rsidRDefault="00FA23F1" w:rsidP="00FA23F1">
                  <w:pPr>
                    <w:pStyle w:val="TAC"/>
                    <w:ind w:left="280" w:hanging="280"/>
                    <w:rPr>
                      <w:sz w:val="10"/>
                    </w:rPr>
                  </w:pPr>
                  <w:r w:rsidRPr="007B280D">
                    <w:rPr>
                      <w:sz w:val="10"/>
                      <w:szCs w:val="14"/>
                      <w:lang w:eastAsia="ja-JP"/>
                    </w:rPr>
                    <w:t>32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8B391EA"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BF16BF0"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7C6BD4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E589754"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4C3AF77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C97A1" w14:textId="77777777" w:rsidR="00FA23F1" w:rsidRPr="007B280D" w:rsidRDefault="00FA23F1" w:rsidP="00FA23F1">
                  <w:pPr>
                    <w:pStyle w:val="TAC"/>
                    <w:ind w:left="280" w:hanging="280"/>
                    <w:rPr>
                      <w:sz w:val="10"/>
                    </w:rPr>
                  </w:pPr>
                  <w:r w:rsidRPr="007B280D">
                    <w:rPr>
                      <w:sz w:val="10"/>
                      <w:szCs w:val="14"/>
                      <w:lang w:eastAsia="ja-JP"/>
                    </w:rPr>
                    <w:t>candidateRep-G</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BDCD"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0B31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C822E2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31A69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0D01A6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4A92133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0F84CD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A7F4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6670E2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A96B20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2398C4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4C7DE7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2AEE8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B0FE73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1C26034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58432F" w14:textId="77777777" w:rsidR="00FA23F1" w:rsidRPr="007B280D" w:rsidRDefault="00FA23F1" w:rsidP="007B280D">
                  <w:pPr>
                    <w:pStyle w:val="TAC"/>
                    <w:rPr>
                      <w:sz w:val="10"/>
                    </w:rPr>
                  </w:pPr>
                  <w:r w:rsidRPr="007B280D">
                    <w:rPr>
                      <w:color w:val="ED7D31"/>
                      <w:sz w:val="10"/>
                      <w:szCs w:val="14"/>
                      <w:lang w:eastAsia="ja-JP"/>
                    </w:rPr>
                    <w:t>Guard-Band &amp; Stand-Alone Deployments</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16491A" w14:textId="77777777" w:rsidR="00FA23F1" w:rsidRPr="007B280D" w:rsidRDefault="00FA23F1" w:rsidP="00FA23F1">
                  <w:pPr>
                    <w:pStyle w:val="TAC"/>
                    <w:ind w:left="280" w:hanging="280"/>
                    <w:rPr>
                      <w:sz w:val="10"/>
                    </w:rPr>
                  </w:pPr>
                  <w:r w:rsidRPr="007B280D">
                    <w:rPr>
                      <w:sz w:val="10"/>
                      <w:szCs w:val="14"/>
                      <w:lang w:eastAsia="ja-JP"/>
                    </w:rPr>
                    <w:t>QPSK (TBS index 6)</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3FF3AF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18706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406C4C0"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B6BFE3"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7EC270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A29C5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E54856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B8EAB7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B55C9F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5326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9B64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DE9BA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7062FF4"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36A9F1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C674F4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599A6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In-Band Deployments</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428651EA" w14:textId="77777777" w:rsidR="00FA23F1" w:rsidRPr="007B280D" w:rsidRDefault="00FA23F1" w:rsidP="00FA23F1">
                  <w:pPr>
                    <w:pStyle w:val="TAC"/>
                    <w:ind w:left="280" w:hanging="280"/>
                    <w:rPr>
                      <w:sz w:val="10"/>
                    </w:rPr>
                  </w:pPr>
                  <w:r w:rsidRPr="007B280D">
                    <w:rPr>
                      <w:color w:val="ED7D31"/>
                      <w:sz w:val="10"/>
                      <w:szCs w:val="14"/>
                      <w:lang w:eastAsia="ja-JP"/>
                    </w:rPr>
                    <w:t>QPSK (TBS index 4)</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360163B0" w14:textId="77777777" w:rsidR="00FA23F1" w:rsidRPr="007B280D" w:rsidRDefault="00FA23F1" w:rsidP="00FA23F1">
                  <w:pPr>
                    <w:pStyle w:val="TAC"/>
                    <w:ind w:left="280" w:hanging="280"/>
                    <w:rPr>
                      <w:sz w:val="10"/>
                    </w:rPr>
                  </w:pPr>
                  <w:r w:rsidRPr="007B280D">
                    <w:rPr>
                      <w:sz w:val="10"/>
                      <w:szCs w:val="14"/>
                      <w:lang w:eastAsia="ja-JP"/>
                    </w:rPr>
                    <w:t>336.8</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E5A3412" w14:textId="77777777" w:rsidR="00FA23F1" w:rsidRPr="007B280D" w:rsidRDefault="00FA23F1" w:rsidP="00FA23F1">
                  <w:pPr>
                    <w:pStyle w:val="TAC"/>
                    <w:ind w:left="280" w:hanging="280"/>
                    <w:rPr>
                      <w:sz w:val="10"/>
                    </w:rPr>
                  </w:pPr>
                  <w:r w:rsidRPr="007B280D">
                    <w:rPr>
                      <w:sz w:val="10"/>
                      <w:szCs w:val="14"/>
                      <w:lang w:eastAsia="ja-JP"/>
                    </w:rPr>
                    <w:t>0.6579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58C8E47" w14:textId="77777777" w:rsidR="00FA23F1" w:rsidRPr="007B280D" w:rsidRDefault="00FA23F1" w:rsidP="00FA23F1">
                  <w:pPr>
                    <w:pStyle w:val="TAC"/>
                    <w:ind w:left="280" w:hanging="280"/>
                    <w:rPr>
                      <w:sz w:val="10"/>
                    </w:rPr>
                  </w:pPr>
                  <w:r w:rsidRPr="007B280D">
                    <w:rPr>
                      <w:sz w:val="10"/>
                      <w:szCs w:val="14"/>
                      <w:lang w:eastAsia="ja-JP"/>
                    </w:rPr>
                    <w:t>1.0 dB ([3])</w:t>
                  </w:r>
                </w:p>
              </w:tc>
            </w:tr>
            <w:tr w:rsidR="007B280D" w:rsidRPr="007B280D" w14:paraId="512ED69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43027" w14:textId="77777777" w:rsidR="00FA23F1" w:rsidRPr="007B280D" w:rsidRDefault="00FA23F1" w:rsidP="00FA23F1">
                  <w:pPr>
                    <w:pStyle w:val="TAC"/>
                    <w:ind w:left="280" w:hanging="280"/>
                    <w:rPr>
                      <w:sz w:val="10"/>
                    </w:rPr>
                  </w:pPr>
                  <w:r w:rsidRPr="007B280D">
                    <w:rPr>
                      <w:sz w:val="10"/>
                      <w:szCs w:val="14"/>
                      <w:lang w:eastAsia="ja-JP"/>
                    </w:rPr>
                    <w:t>candidateRep-H</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80A2F" w14:textId="77777777" w:rsidR="00FA23F1" w:rsidRPr="007B280D" w:rsidRDefault="00FA23F1" w:rsidP="00FA23F1">
                  <w:pPr>
                    <w:pStyle w:val="TAC"/>
                    <w:ind w:left="280" w:hanging="280"/>
                    <w:rPr>
                      <w:sz w:val="10"/>
                    </w:rPr>
                  </w:pPr>
                  <w:r w:rsidRPr="007B280D">
                    <w:rPr>
                      <w:sz w:val="10"/>
                      <w:szCs w:val="14"/>
                      <w:lang w:eastAsia="ja-JP"/>
                    </w:rPr>
                    <w:t> </w:t>
                  </w:r>
                </w:p>
                <w:p w14:paraId="691B6186" w14:textId="77777777" w:rsidR="00FA23F1" w:rsidRPr="007B280D" w:rsidRDefault="00FA23F1" w:rsidP="00FA23F1">
                  <w:pPr>
                    <w:pStyle w:val="TAC"/>
                    <w:ind w:left="280" w:hanging="280"/>
                    <w:rPr>
                      <w:sz w:val="10"/>
                    </w:rPr>
                  </w:pPr>
                  <w:r w:rsidRPr="007B280D">
                    <w:rPr>
                      <w:sz w:val="10"/>
                      <w:szCs w:val="14"/>
                      <w:lang w:eastAsia="ja-JP"/>
                    </w:rPr>
                    <w:t>1</w:t>
                  </w:r>
                </w:p>
                <w:p w14:paraId="5A793136" w14:textId="77777777" w:rsidR="00FA23F1" w:rsidRPr="007B280D" w:rsidRDefault="00FA23F1" w:rsidP="00FA23F1">
                  <w:pPr>
                    <w:pStyle w:val="TAC"/>
                    <w:ind w:left="280" w:hanging="280"/>
                    <w:rPr>
                      <w:sz w:val="10"/>
                    </w:rPr>
                  </w:pPr>
                  <w:r w:rsidRPr="007B280D">
                    <w:rPr>
                      <w:sz w:val="10"/>
                      <w:szCs w:val="14"/>
                      <w:lang w:eastAsia="ja-JP"/>
                    </w:rPr>
                    <w:t> </w:t>
                  </w:r>
                </w:p>
              </w:tc>
              <w:tc>
                <w:tcPr>
                  <w:tcW w:w="800" w:type="dxa"/>
                  <w:vMerge/>
                  <w:tcBorders>
                    <w:top w:val="nil"/>
                    <w:left w:val="nil"/>
                    <w:bottom w:val="single" w:sz="8" w:space="0" w:color="auto"/>
                    <w:right w:val="single" w:sz="8" w:space="0" w:color="auto"/>
                  </w:tcBorders>
                  <w:vAlign w:val="center"/>
                  <w:hideMark/>
                </w:tcPr>
                <w:p w14:paraId="7661D52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3B58FE" w14:textId="77777777" w:rsidR="00FA23F1" w:rsidRPr="007B280D" w:rsidRDefault="00FA23F1" w:rsidP="00FA23F1">
                  <w:pPr>
                    <w:pStyle w:val="TAC"/>
                    <w:ind w:left="280" w:hanging="280"/>
                    <w:rPr>
                      <w:sz w:val="10"/>
                    </w:rPr>
                  </w:pPr>
                  <w:r w:rsidRPr="007B280D">
                    <w:rPr>
                      <w:sz w:val="10"/>
                      <w:szCs w:val="14"/>
                      <w:lang w:eastAsia="ja-JP"/>
                    </w:rPr>
                    <w:t>QPSK (TBS index 8)</w:t>
                  </w:r>
                </w:p>
              </w:tc>
              <w:tc>
                <w:tcPr>
                  <w:tcW w:w="800" w:type="dxa"/>
                  <w:vMerge/>
                  <w:tcBorders>
                    <w:top w:val="nil"/>
                    <w:left w:val="nil"/>
                    <w:bottom w:val="single" w:sz="8" w:space="0" w:color="auto"/>
                    <w:right w:val="single" w:sz="8" w:space="0" w:color="auto"/>
                  </w:tcBorders>
                  <w:vAlign w:val="center"/>
                  <w:hideMark/>
                </w:tcPr>
                <w:p w14:paraId="59D1CCAF"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60A62931" w14:textId="77777777" w:rsidR="00FA23F1" w:rsidRPr="007B280D" w:rsidRDefault="00FA23F1" w:rsidP="00FA23F1">
                  <w:pPr>
                    <w:pStyle w:val="TAC"/>
                    <w:ind w:left="280" w:hanging="280"/>
                    <w:rPr>
                      <w:sz w:val="10"/>
                    </w:rPr>
                  </w:pPr>
                  <w:r w:rsidRPr="007B280D">
                    <w:rPr>
                      <w:color w:val="ED7D31"/>
                      <w:sz w:val="10"/>
                      <w:szCs w:val="14"/>
                      <w:lang w:eastAsia="ja-JP"/>
                    </w:rPr>
                    <w:t>QPSK (TBS index 6)</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18731E9" w14:textId="77777777" w:rsidR="00FA23F1" w:rsidRPr="007B280D" w:rsidRDefault="00FA23F1" w:rsidP="00FA23F1">
                  <w:pPr>
                    <w:pStyle w:val="TAC"/>
                    <w:ind w:left="280" w:hanging="280"/>
                    <w:rPr>
                      <w:sz w:val="10"/>
                    </w:rPr>
                  </w:pPr>
                  <w:r w:rsidRPr="007B280D">
                    <w:rPr>
                      <w:sz w:val="10"/>
                      <w:szCs w:val="14"/>
                      <w:lang w:eastAsia="ja-JP"/>
                    </w:rPr>
                    <w:t>453.6</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1A92B42E" w14:textId="77777777" w:rsidR="00FA23F1" w:rsidRPr="007B280D" w:rsidRDefault="00FA23F1" w:rsidP="00FA23F1">
                  <w:pPr>
                    <w:pStyle w:val="TAC"/>
                    <w:ind w:left="280" w:hanging="280"/>
                    <w:rPr>
                      <w:sz w:val="10"/>
                    </w:rPr>
                  </w:pPr>
                  <w:r w:rsidRPr="007B280D">
                    <w:rPr>
                      <w:sz w:val="10"/>
                      <w:szCs w:val="14"/>
                      <w:lang w:eastAsia="ja-JP"/>
                    </w:rPr>
                    <w:t>0.8860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916F7D8" w14:textId="77777777" w:rsidR="00FA23F1" w:rsidRPr="007B280D" w:rsidRDefault="00FA23F1" w:rsidP="00FA23F1">
                  <w:pPr>
                    <w:pStyle w:val="TAC"/>
                    <w:ind w:left="280" w:hanging="280"/>
                    <w:rPr>
                      <w:sz w:val="10"/>
                    </w:rPr>
                  </w:pPr>
                  <w:r w:rsidRPr="007B280D">
                    <w:rPr>
                      <w:sz w:val="10"/>
                      <w:szCs w:val="14"/>
                      <w:lang w:eastAsia="ja-JP"/>
                    </w:rPr>
                    <w:t>2.6 dB ([3])</w:t>
                  </w:r>
                </w:p>
              </w:tc>
            </w:tr>
            <w:tr w:rsidR="007B280D" w:rsidRPr="007B280D" w14:paraId="72356AC7"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C00E8" w14:textId="77777777" w:rsidR="00FA23F1" w:rsidRPr="007B280D" w:rsidRDefault="00FA23F1" w:rsidP="00FA23F1">
                  <w:pPr>
                    <w:pStyle w:val="TAC"/>
                    <w:ind w:left="280" w:hanging="280"/>
                    <w:rPr>
                      <w:sz w:val="10"/>
                    </w:rPr>
                  </w:pPr>
                  <w:r w:rsidRPr="007B280D">
                    <w:rPr>
                      <w:sz w:val="10"/>
                      <w:szCs w:val="14"/>
                      <w:lang w:eastAsia="ja-JP"/>
                    </w:rPr>
                    <w:lastRenderedPageBreak/>
                    <w:t>candidateRep-I</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B7CC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691EB67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A4B84DE" w14:textId="77777777" w:rsidR="00FA23F1" w:rsidRPr="007B280D" w:rsidRDefault="00FA23F1" w:rsidP="00FA23F1">
                  <w:pPr>
                    <w:pStyle w:val="TAC"/>
                    <w:ind w:left="280" w:hanging="280"/>
                    <w:rPr>
                      <w:sz w:val="10"/>
                    </w:rPr>
                  </w:pPr>
                  <w:r w:rsidRPr="007B280D">
                    <w:rPr>
                      <w:sz w:val="10"/>
                      <w:szCs w:val="14"/>
                      <w:lang w:eastAsia="ja-JP"/>
                    </w:rPr>
                    <w:t>QPSK (TBS index 10)</w:t>
                  </w:r>
                </w:p>
              </w:tc>
              <w:tc>
                <w:tcPr>
                  <w:tcW w:w="800" w:type="dxa"/>
                  <w:vMerge/>
                  <w:tcBorders>
                    <w:top w:val="nil"/>
                    <w:left w:val="nil"/>
                    <w:bottom w:val="single" w:sz="8" w:space="0" w:color="auto"/>
                    <w:right w:val="single" w:sz="8" w:space="0" w:color="auto"/>
                  </w:tcBorders>
                  <w:vAlign w:val="center"/>
                  <w:hideMark/>
                </w:tcPr>
                <w:p w14:paraId="1E351FFA"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7187FCD" w14:textId="77777777" w:rsidR="00FA23F1" w:rsidRPr="007B280D" w:rsidRDefault="00FA23F1" w:rsidP="00FA23F1">
                  <w:pPr>
                    <w:pStyle w:val="TAC"/>
                    <w:ind w:left="280" w:hanging="280"/>
                    <w:rPr>
                      <w:sz w:val="10"/>
                    </w:rPr>
                  </w:pPr>
                  <w:r w:rsidRPr="007B280D">
                    <w:rPr>
                      <w:color w:val="ED7D31"/>
                      <w:sz w:val="10"/>
                      <w:szCs w:val="14"/>
                      <w:lang w:eastAsia="ja-JP"/>
                    </w:rPr>
                    <w:t>QPSK (TBS index 8)</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BCE58" w14:textId="77777777" w:rsidR="00FA23F1" w:rsidRPr="007B280D" w:rsidRDefault="00FA23F1" w:rsidP="00FA23F1">
                  <w:pPr>
                    <w:pStyle w:val="TAC"/>
                    <w:ind w:left="280" w:hanging="280"/>
                    <w:rPr>
                      <w:sz w:val="10"/>
                    </w:rPr>
                  </w:pPr>
                  <w:r w:rsidRPr="007B280D">
                    <w:rPr>
                      <w:sz w:val="10"/>
                      <w:szCs w:val="14"/>
                      <w:lang w:eastAsia="ja-JP"/>
                    </w:rPr>
                    <w:t>579.4</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7A49D" w14:textId="77777777" w:rsidR="00FA23F1" w:rsidRPr="007B280D" w:rsidRDefault="00FA23F1" w:rsidP="00FA23F1">
                  <w:pPr>
                    <w:pStyle w:val="TAC"/>
                    <w:ind w:left="280" w:hanging="280"/>
                    <w:rPr>
                      <w:sz w:val="10"/>
                    </w:rPr>
                  </w:pPr>
                  <w:r w:rsidRPr="007B280D">
                    <w:rPr>
                      <w:sz w:val="10"/>
                      <w:szCs w:val="14"/>
                      <w:lang w:eastAsia="ja-JP"/>
                    </w:rPr>
                    <w:t>1.1316</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353000B" w14:textId="77777777" w:rsidR="00FA23F1" w:rsidRPr="007B280D" w:rsidRDefault="00FA23F1" w:rsidP="00FA23F1">
                  <w:pPr>
                    <w:pStyle w:val="TAC"/>
                    <w:ind w:left="280" w:hanging="280"/>
                    <w:rPr>
                      <w:sz w:val="10"/>
                    </w:rPr>
                  </w:pPr>
                  <w:r w:rsidRPr="007B280D">
                    <w:rPr>
                      <w:sz w:val="10"/>
                      <w:szCs w:val="14"/>
                      <w:lang w:eastAsia="ja-JP"/>
                    </w:rPr>
                    <w:t>4.1 dB ([3])</w:t>
                  </w:r>
                </w:p>
              </w:tc>
            </w:tr>
            <w:tr w:rsidR="007B280D" w:rsidRPr="007B280D" w14:paraId="63813CEE"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E4AC2" w14:textId="77777777" w:rsidR="00FA23F1" w:rsidRPr="007B280D" w:rsidRDefault="00FA23F1" w:rsidP="00FA23F1">
                  <w:pPr>
                    <w:pStyle w:val="TAC"/>
                    <w:ind w:left="280" w:hanging="280"/>
                    <w:rPr>
                      <w:sz w:val="10"/>
                    </w:rPr>
                  </w:pPr>
                  <w:r w:rsidRPr="007B280D">
                    <w:rPr>
                      <w:sz w:val="10"/>
                      <w:szCs w:val="14"/>
                      <w:lang w:eastAsia="ja-JP"/>
                    </w:rPr>
                    <w:t>candidateRep-J</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6AEB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23B8C1AD"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1EAC99E" w14:textId="77777777" w:rsidR="00FA23F1" w:rsidRPr="007B280D" w:rsidRDefault="00FA23F1" w:rsidP="00FA23F1">
                  <w:pPr>
                    <w:pStyle w:val="TAC"/>
                    <w:ind w:left="280" w:hanging="280"/>
                    <w:rPr>
                      <w:sz w:val="10"/>
                    </w:rPr>
                  </w:pPr>
                  <w:r w:rsidRPr="007B280D">
                    <w:rPr>
                      <w:sz w:val="10"/>
                      <w:szCs w:val="14"/>
                      <w:lang w:eastAsia="ja-JP"/>
                    </w:rPr>
                    <w:t>QPSK (TBS index 12)</w:t>
                  </w:r>
                </w:p>
              </w:tc>
              <w:tc>
                <w:tcPr>
                  <w:tcW w:w="800" w:type="dxa"/>
                  <w:vMerge/>
                  <w:tcBorders>
                    <w:top w:val="nil"/>
                    <w:left w:val="nil"/>
                    <w:bottom w:val="single" w:sz="8" w:space="0" w:color="auto"/>
                    <w:right w:val="single" w:sz="8" w:space="0" w:color="auto"/>
                  </w:tcBorders>
                  <w:vAlign w:val="center"/>
                  <w:hideMark/>
                </w:tcPr>
                <w:p w14:paraId="2745559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9F2501D" w14:textId="77777777" w:rsidR="00FA23F1" w:rsidRPr="007B280D" w:rsidRDefault="00FA23F1" w:rsidP="00FA23F1">
                  <w:pPr>
                    <w:pStyle w:val="TAC"/>
                    <w:ind w:left="280" w:hanging="280"/>
                    <w:rPr>
                      <w:sz w:val="10"/>
                    </w:rPr>
                  </w:pPr>
                  <w:r w:rsidRPr="007B280D">
                    <w:rPr>
                      <w:color w:val="ED7D31"/>
                      <w:sz w:val="10"/>
                      <w:szCs w:val="14"/>
                      <w:lang w:eastAsia="ja-JP"/>
                    </w:rPr>
                    <w:t>QPSK (TBS index 10)</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83E7A" w14:textId="77777777" w:rsidR="00FA23F1" w:rsidRPr="007B280D" w:rsidRDefault="00FA23F1" w:rsidP="00FA23F1">
                  <w:pPr>
                    <w:pStyle w:val="TAC"/>
                    <w:ind w:left="280" w:hanging="280"/>
                    <w:rPr>
                      <w:sz w:val="10"/>
                    </w:rPr>
                  </w:pPr>
                  <w:r w:rsidRPr="007B280D">
                    <w:rPr>
                      <w:sz w:val="10"/>
                      <w:szCs w:val="14"/>
                      <w:lang w:eastAsia="ja-JP"/>
                    </w:rPr>
                    <w:t>759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1B547" w14:textId="77777777" w:rsidR="00FA23F1" w:rsidRPr="007B280D" w:rsidRDefault="00FA23F1" w:rsidP="00FA23F1">
                  <w:pPr>
                    <w:pStyle w:val="TAC"/>
                    <w:ind w:left="280" w:hanging="280"/>
                    <w:rPr>
                      <w:sz w:val="10"/>
                    </w:rPr>
                  </w:pPr>
                  <w:r w:rsidRPr="007B280D">
                    <w:rPr>
                      <w:sz w:val="10"/>
                      <w:szCs w:val="14"/>
                      <w:lang w:eastAsia="ja-JP"/>
                    </w:rPr>
                    <w:t>1.4825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81407EF" w14:textId="77777777" w:rsidR="00FA23F1" w:rsidRPr="007B280D" w:rsidRDefault="00FA23F1" w:rsidP="00FA23F1">
                  <w:pPr>
                    <w:pStyle w:val="TAC"/>
                    <w:ind w:left="280" w:hanging="280"/>
                    <w:rPr>
                      <w:sz w:val="10"/>
                    </w:rPr>
                  </w:pPr>
                  <w:r w:rsidRPr="007B280D">
                    <w:rPr>
                      <w:sz w:val="10"/>
                      <w:szCs w:val="14"/>
                      <w:lang w:eastAsia="ja-JP"/>
                    </w:rPr>
                    <w:t>6.3 dB ([3])</w:t>
                  </w:r>
                </w:p>
              </w:tc>
            </w:tr>
            <w:tr w:rsidR="007B280D" w:rsidRPr="007B280D" w14:paraId="3605D0A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B6B59" w14:textId="77777777" w:rsidR="00FA23F1" w:rsidRPr="007B280D" w:rsidRDefault="00FA23F1" w:rsidP="00FA23F1">
                  <w:pPr>
                    <w:pStyle w:val="TAC"/>
                    <w:ind w:left="280" w:hanging="280"/>
                    <w:rPr>
                      <w:sz w:val="10"/>
                    </w:rPr>
                  </w:pPr>
                  <w:r w:rsidRPr="007B280D">
                    <w:rPr>
                      <w:sz w:val="10"/>
                      <w:szCs w:val="14"/>
                      <w:lang w:eastAsia="ja-JP"/>
                    </w:rPr>
                    <w:t>candidateRep-K</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21CF6"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14BDC4F0"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F38EE2D" w14:textId="77777777" w:rsidR="00FA23F1" w:rsidRPr="007B280D" w:rsidRDefault="00FA23F1" w:rsidP="00FA23F1">
                  <w:pPr>
                    <w:pStyle w:val="TAC"/>
                    <w:ind w:left="280" w:hanging="280"/>
                    <w:rPr>
                      <w:sz w:val="10"/>
                    </w:rPr>
                  </w:pPr>
                  <w:r w:rsidRPr="007B280D">
                    <w:rPr>
                      <w:sz w:val="10"/>
                      <w:szCs w:val="14"/>
                      <w:lang w:eastAsia="ja-JP"/>
                    </w:rPr>
                    <w:t>16QAM (TBS index 14)</w:t>
                  </w:r>
                </w:p>
              </w:tc>
              <w:tc>
                <w:tcPr>
                  <w:tcW w:w="800" w:type="dxa"/>
                  <w:vMerge/>
                  <w:tcBorders>
                    <w:top w:val="nil"/>
                    <w:left w:val="nil"/>
                    <w:bottom w:val="single" w:sz="8" w:space="0" w:color="auto"/>
                    <w:right w:val="single" w:sz="8" w:space="0" w:color="auto"/>
                  </w:tcBorders>
                  <w:vAlign w:val="center"/>
                  <w:hideMark/>
                </w:tcPr>
                <w:p w14:paraId="5616022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55DBDE8" w14:textId="77777777" w:rsidR="00FA23F1" w:rsidRPr="007B280D" w:rsidRDefault="00FA23F1" w:rsidP="00FA23F1">
                  <w:pPr>
                    <w:pStyle w:val="TAC"/>
                    <w:ind w:left="280" w:hanging="280"/>
                    <w:rPr>
                      <w:sz w:val="10"/>
                    </w:rPr>
                  </w:pPr>
                  <w:r w:rsidRPr="007B280D">
                    <w:rPr>
                      <w:color w:val="ED7D31"/>
                      <w:sz w:val="10"/>
                      <w:szCs w:val="14"/>
                      <w:lang w:eastAsia="ja-JP"/>
                    </w:rPr>
                    <w:t>16QAM (TBS index 11)</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B2D0C" w14:textId="77777777" w:rsidR="00FA23F1" w:rsidRPr="007B280D" w:rsidRDefault="00FA23F1" w:rsidP="00FA23F1">
                  <w:pPr>
                    <w:pStyle w:val="TAC"/>
                    <w:ind w:left="280" w:hanging="280"/>
                    <w:rPr>
                      <w:sz w:val="10"/>
                    </w:rPr>
                  </w:pPr>
                  <w:r w:rsidRPr="007B280D">
                    <w:rPr>
                      <w:sz w:val="10"/>
                      <w:szCs w:val="14"/>
                      <w:lang w:eastAsia="ja-JP"/>
                    </w:rPr>
                    <w:t>487.3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BEEF1" w14:textId="77777777" w:rsidR="00FA23F1" w:rsidRPr="007B280D" w:rsidRDefault="00FA23F1" w:rsidP="00FA23F1">
                  <w:pPr>
                    <w:pStyle w:val="TAC"/>
                    <w:ind w:left="280" w:hanging="280"/>
                    <w:rPr>
                      <w:sz w:val="10"/>
                    </w:rPr>
                  </w:pPr>
                  <w:r w:rsidRPr="007B280D">
                    <w:rPr>
                      <w:sz w:val="10"/>
                      <w:szCs w:val="14"/>
                      <w:lang w:eastAsia="ja-JP"/>
                    </w:rPr>
                    <w:t>1.9035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FDA5543" w14:textId="77777777" w:rsidR="00FA23F1" w:rsidRPr="007B280D" w:rsidRDefault="00FA23F1" w:rsidP="00FA23F1">
                  <w:pPr>
                    <w:pStyle w:val="TAC"/>
                    <w:ind w:left="280" w:hanging="280"/>
                    <w:rPr>
                      <w:sz w:val="10"/>
                    </w:rPr>
                  </w:pPr>
                  <w:r w:rsidRPr="007B280D">
                    <w:rPr>
                      <w:sz w:val="10"/>
                      <w:szCs w:val="14"/>
                      <w:lang w:eastAsia="ja-JP"/>
                    </w:rPr>
                    <w:t>8.9 dB ([3])</w:t>
                  </w:r>
                </w:p>
              </w:tc>
            </w:tr>
            <w:tr w:rsidR="007B280D" w:rsidRPr="007B280D" w14:paraId="5D40C6C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21399" w14:textId="77777777" w:rsidR="00FA23F1" w:rsidRPr="007B280D" w:rsidRDefault="00FA23F1" w:rsidP="00FA23F1">
                  <w:pPr>
                    <w:pStyle w:val="TAC"/>
                    <w:ind w:left="280" w:hanging="280"/>
                    <w:rPr>
                      <w:sz w:val="10"/>
                    </w:rPr>
                  </w:pPr>
                  <w:r w:rsidRPr="007B280D">
                    <w:rPr>
                      <w:sz w:val="10"/>
                      <w:szCs w:val="14"/>
                      <w:lang w:eastAsia="ja-JP"/>
                    </w:rPr>
                    <w:t>candidateRep-L</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69D4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BDBF486"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04082C9" w14:textId="77777777" w:rsidR="00FA23F1" w:rsidRPr="007B280D" w:rsidRDefault="00FA23F1" w:rsidP="00FA23F1">
                  <w:pPr>
                    <w:pStyle w:val="TAC"/>
                    <w:ind w:left="280" w:hanging="280"/>
                    <w:rPr>
                      <w:sz w:val="10"/>
                    </w:rPr>
                  </w:pPr>
                  <w:r w:rsidRPr="007B280D">
                    <w:rPr>
                      <w:sz w:val="10"/>
                      <w:szCs w:val="14"/>
                      <w:lang w:eastAsia="ja-JP"/>
                    </w:rPr>
                    <w:t>16QAM (TBS index 16)</w:t>
                  </w:r>
                </w:p>
              </w:tc>
              <w:tc>
                <w:tcPr>
                  <w:tcW w:w="800" w:type="dxa"/>
                  <w:vMerge/>
                  <w:tcBorders>
                    <w:top w:val="nil"/>
                    <w:left w:val="nil"/>
                    <w:bottom w:val="single" w:sz="8" w:space="0" w:color="auto"/>
                    <w:right w:val="single" w:sz="8" w:space="0" w:color="auto"/>
                  </w:tcBorders>
                  <w:vAlign w:val="center"/>
                  <w:hideMark/>
                </w:tcPr>
                <w:p w14:paraId="15E62526"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392BEB43" w14:textId="77777777" w:rsidR="00FA23F1" w:rsidRPr="007B280D" w:rsidRDefault="00FA23F1" w:rsidP="00FA23F1">
                  <w:pPr>
                    <w:pStyle w:val="TAC"/>
                    <w:ind w:left="280" w:hanging="280"/>
                    <w:rPr>
                      <w:sz w:val="10"/>
                    </w:rPr>
                  </w:pPr>
                  <w:r w:rsidRPr="007B280D">
                    <w:rPr>
                      <w:color w:val="ED7D31"/>
                      <w:sz w:val="10"/>
                      <w:szCs w:val="14"/>
                      <w:lang w:eastAsia="ja-JP"/>
                    </w:rPr>
                    <w:t>16QAM (TBS index 13)</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D359D" w14:textId="77777777" w:rsidR="00FA23F1" w:rsidRPr="007B280D" w:rsidRDefault="00FA23F1" w:rsidP="00FA23F1">
                  <w:pPr>
                    <w:pStyle w:val="TAC"/>
                    <w:ind w:left="280" w:hanging="280"/>
                    <w:rPr>
                      <w:sz w:val="10"/>
                    </w:rPr>
                  </w:pPr>
                  <w:r w:rsidRPr="007B280D">
                    <w:rPr>
                      <w:sz w:val="10"/>
                      <w:szCs w:val="14"/>
                      <w:lang w:eastAsia="ja-JP"/>
                    </w:rPr>
                    <w:t>541.2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EC4CA" w14:textId="77777777" w:rsidR="00FA23F1" w:rsidRPr="007B280D" w:rsidRDefault="00FA23F1" w:rsidP="00FA23F1">
                  <w:pPr>
                    <w:pStyle w:val="TAC"/>
                    <w:ind w:left="280" w:hanging="280"/>
                    <w:rPr>
                      <w:sz w:val="10"/>
                    </w:rPr>
                  </w:pPr>
                  <w:r w:rsidRPr="007B280D">
                    <w:rPr>
                      <w:sz w:val="10"/>
                      <w:szCs w:val="14"/>
                      <w:lang w:eastAsia="ja-JP"/>
                    </w:rPr>
                    <w:t>2.1140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C4063C8" w14:textId="77777777" w:rsidR="00FA23F1" w:rsidRPr="007B280D" w:rsidRDefault="00FA23F1" w:rsidP="00FA23F1">
                  <w:pPr>
                    <w:pStyle w:val="TAC"/>
                    <w:ind w:left="280" w:hanging="280"/>
                    <w:rPr>
                      <w:sz w:val="10"/>
                    </w:rPr>
                  </w:pPr>
                  <w:r w:rsidRPr="007B280D">
                    <w:rPr>
                      <w:sz w:val="10"/>
                      <w:szCs w:val="14"/>
                      <w:lang w:eastAsia="ja-JP"/>
                    </w:rPr>
                    <w:t>9.7 dB ([3])</w:t>
                  </w:r>
                </w:p>
              </w:tc>
            </w:tr>
            <w:tr w:rsidR="007B280D" w:rsidRPr="007B280D" w14:paraId="04A8F8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76378" w14:textId="77777777" w:rsidR="00FA23F1" w:rsidRPr="007B280D" w:rsidRDefault="00FA23F1" w:rsidP="00FA23F1">
                  <w:pPr>
                    <w:pStyle w:val="TAC"/>
                    <w:ind w:left="280" w:hanging="280"/>
                    <w:rPr>
                      <w:sz w:val="10"/>
                    </w:rPr>
                  </w:pPr>
                  <w:r w:rsidRPr="007B280D">
                    <w:rPr>
                      <w:sz w:val="10"/>
                      <w:szCs w:val="14"/>
                      <w:lang w:eastAsia="ja-JP"/>
                    </w:rPr>
                    <w:t>candidateRep-M</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FA08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6CE1BC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C0C9F19" w14:textId="77777777" w:rsidR="00FA23F1" w:rsidRPr="007B280D" w:rsidRDefault="00FA23F1" w:rsidP="00FA23F1">
                  <w:pPr>
                    <w:pStyle w:val="TAC"/>
                    <w:ind w:left="280" w:hanging="280"/>
                    <w:rPr>
                      <w:sz w:val="10"/>
                    </w:rPr>
                  </w:pPr>
                  <w:r w:rsidRPr="007B280D">
                    <w:rPr>
                      <w:sz w:val="10"/>
                      <w:szCs w:val="14"/>
                      <w:lang w:eastAsia="ja-JP"/>
                    </w:rPr>
                    <w:t>16QAM (TBS index 18)</w:t>
                  </w:r>
                </w:p>
              </w:tc>
              <w:tc>
                <w:tcPr>
                  <w:tcW w:w="800" w:type="dxa"/>
                  <w:vMerge/>
                  <w:tcBorders>
                    <w:top w:val="nil"/>
                    <w:left w:val="nil"/>
                    <w:bottom w:val="single" w:sz="8" w:space="0" w:color="auto"/>
                    <w:right w:val="single" w:sz="8" w:space="0" w:color="auto"/>
                  </w:tcBorders>
                  <w:vAlign w:val="center"/>
                  <w:hideMark/>
                </w:tcPr>
                <w:p w14:paraId="4B405AF2"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EEDE015" w14:textId="77777777" w:rsidR="00FA23F1" w:rsidRPr="007B280D" w:rsidRDefault="00FA23F1" w:rsidP="00FA23F1">
                  <w:pPr>
                    <w:pStyle w:val="TAC"/>
                    <w:ind w:left="280" w:hanging="280"/>
                    <w:rPr>
                      <w:sz w:val="10"/>
                    </w:rPr>
                  </w:pPr>
                  <w:r w:rsidRPr="007B280D">
                    <w:rPr>
                      <w:color w:val="ED7D31"/>
                      <w:sz w:val="10"/>
                      <w:szCs w:val="14"/>
                      <w:lang w:eastAsia="ja-JP"/>
                    </w:rPr>
                    <w:t>16QAM (TBS index 15)</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A9499" w14:textId="77777777" w:rsidR="00FA23F1" w:rsidRPr="007B280D" w:rsidRDefault="00FA23F1" w:rsidP="00FA23F1">
                  <w:pPr>
                    <w:pStyle w:val="TAC"/>
                    <w:ind w:left="280" w:hanging="280"/>
                    <w:rPr>
                      <w:sz w:val="10"/>
                    </w:rPr>
                  </w:pPr>
                  <w:r w:rsidRPr="007B280D">
                    <w:rPr>
                      <w:sz w:val="10"/>
                      <w:szCs w:val="14"/>
                      <w:lang w:eastAsia="ja-JP"/>
                    </w:rPr>
                    <w:t>658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35493" w14:textId="77777777" w:rsidR="00FA23F1" w:rsidRPr="007B280D" w:rsidRDefault="00FA23F1" w:rsidP="00FA23F1">
                  <w:pPr>
                    <w:pStyle w:val="TAC"/>
                    <w:ind w:left="280" w:hanging="280"/>
                    <w:rPr>
                      <w:sz w:val="10"/>
                    </w:rPr>
                  </w:pPr>
                  <w:r w:rsidRPr="007B280D">
                    <w:rPr>
                      <w:sz w:val="10"/>
                      <w:szCs w:val="14"/>
                      <w:lang w:eastAsia="ja-JP"/>
                    </w:rPr>
                    <w:t>2.5702</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2305E93" w14:textId="77777777" w:rsidR="00FA23F1" w:rsidRPr="007B280D" w:rsidRDefault="00FA23F1" w:rsidP="00FA23F1">
                  <w:pPr>
                    <w:pStyle w:val="TAC"/>
                    <w:ind w:left="280" w:hanging="280"/>
                    <w:rPr>
                      <w:sz w:val="10"/>
                    </w:rPr>
                  </w:pPr>
                  <w:r w:rsidRPr="007B280D">
                    <w:rPr>
                      <w:sz w:val="10"/>
                      <w:szCs w:val="14"/>
                      <w:lang w:eastAsia="ja-JP"/>
                    </w:rPr>
                    <w:t>11.7 dB ([3])</w:t>
                  </w:r>
                </w:p>
              </w:tc>
            </w:tr>
            <w:tr w:rsidR="007B280D" w:rsidRPr="007B280D" w14:paraId="21BDAA14"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A0048" w14:textId="77777777" w:rsidR="00FA23F1" w:rsidRPr="007B280D" w:rsidRDefault="00FA23F1" w:rsidP="00FA23F1">
                  <w:pPr>
                    <w:pStyle w:val="TAC"/>
                    <w:ind w:left="280" w:hanging="280"/>
                    <w:rPr>
                      <w:sz w:val="10"/>
                    </w:rPr>
                  </w:pPr>
                  <w:r w:rsidRPr="007B280D">
                    <w:rPr>
                      <w:sz w:val="10"/>
                      <w:szCs w:val="14"/>
                      <w:lang w:eastAsia="ja-JP"/>
                    </w:rPr>
                    <w:t>candidateRep-N</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9C3C4"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B680879"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119F4BB" w14:textId="77777777" w:rsidR="00FA23F1" w:rsidRPr="007B280D" w:rsidRDefault="00FA23F1" w:rsidP="00FA23F1">
                  <w:pPr>
                    <w:pStyle w:val="TAC"/>
                    <w:ind w:left="280" w:hanging="280"/>
                    <w:rPr>
                      <w:sz w:val="10"/>
                    </w:rPr>
                  </w:pPr>
                  <w:r w:rsidRPr="007B280D">
                    <w:rPr>
                      <w:sz w:val="10"/>
                      <w:szCs w:val="14"/>
                      <w:lang w:eastAsia="ja-JP"/>
                    </w:rPr>
                    <w:t>16QAM (TBS index 20)</w:t>
                  </w:r>
                </w:p>
              </w:tc>
              <w:tc>
                <w:tcPr>
                  <w:tcW w:w="800" w:type="dxa"/>
                  <w:vMerge/>
                  <w:tcBorders>
                    <w:top w:val="nil"/>
                    <w:left w:val="nil"/>
                    <w:bottom w:val="single" w:sz="8" w:space="0" w:color="auto"/>
                    <w:right w:val="single" w:sz="8" w:space="0" w:color="auto"/>
                  </w:tcBorders>
                  <w:vAlign w:val="center"/>
                  <w:hideMark/>
                </w:tcPr>
                <w:p w14:paraId="1BCE7D8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BB37F56" w14:textId="77777777" w:rsidR="00FA23F1" w:rsidRPr="007B280D" w:rsidRDefault="00FA23F1" w:rsidP="00FA23F1">
                  <w:pPr>
                    <w:pStyle w:val="TAC"/>
                    <w:ind w:left="280" w:hanging="280"/>
                    <w:rPr>
                      <w:sz w:val="10"/>
                    </w:rPr>
                  </w:pPr>
                  <w:r w:rsidRPr="007B280D">
                    <w:rPr>
                      <w:color w:val="ED7D31"/>
                      <w:sz w:val="10"/>
                      <w:szCs w:val="14"/>
                      <w:lang w:eastAsia="ja-JP"/>
                    </w:rPr>
                    <w:t>16QAM (TBS index 16)</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8DC6A" w14:textId="77777777" w:rsidR="00FA23F1" w:rsidRPr="007B280D" w:rsidRDefault="00FA23F1" w:rsidP="00FA23F1">
                  <w:pPr>
                    <w:pStyle w:val="TAC"/>
                    <w:ind w:left="280" w:hanging="280"/>
                    <w:rPr>
                      <w:sz w:val="10"/>
                    </w:rPr>
                  </w:pPr>
                  <w:r w:rsidRPr="007B280D">
                    <w:rPr>
                      <w:sz w:val="10"/>
                      <w:szCs w:val="14"/>
                      <w:lang w:eastAsia="ja-JP"/>
                    </w:rPr>
                    <w:t>783.7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C7DA4" w14:textId="77777777" w:rsidR="00FA23F1" w:rsidRPr="007B280D" w:rsidRDefault="00FA23F1" w:rsidP="00FA23F1">
                  <w:pPr>
                    <w:pStyle w:val="TAC"/>
                    <w:ind w:left="280" w:hanging="280"/>
                    <w:rPr>
                      <w:sz w:val="10"/>
                    </w:rPr>
                  </w:pPr>
                  <w:r w:rsidRPr="007B280D">
                    <w:rPr>
                      <w:sz w:val="10"/>
                      <w:szCs w:val="14"/>
                      <w:lang w:eastAsia="ja-JP"/>
                    </w:rPr>
                    <w:t>3.0614</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08CB9B9" w14:textId="77777777" w:rsidR="00FA23F1" w:rsidRPr="007B280D" w:rsidRDefault="00FA23F1" w:rsidP="00FA23F1">
                  <w:pPr>
                    <w:pStyle w:val="TAC"/>
                    <w:ind w:left="280" w:hanging="280"/>
                    <w:rPr>
                      <w:sz w:val="10"/>
                    </w:rPr>
                  </w:pPr>
                  <w:r w:rsidRPr="007B280D">
                    <w:rPr>
                      <w:sz w:val="10"/>
                      <w:szCs w:val="14"/>
                      <w:lang w:eastAsia="ja-JP"/>
                    </w:rPr>
                    <w:t>13.0 dB ([3])</w:t>
                  </w:r>
                </w:p>
              </w:tc>
            </w:tr>
            <w:tr w:rsidR="007B280D" w:rsidRPr="007B280D" w14:paraId="7342A94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279C4" w14:textId="77777777" w:rsidR="00FA23F1" w:rsidRPr="007B280D" w:rsidRDefault="00FA23F1" w:rsidP="00FA23F1">
                  <w:pPr>
                    <w:pStyle w:val="TAC"/>
                    <w:ind w:left="280" w:hanging="280"/>
                    <w:rPr>
                      <w:sz w:val="10"/>
                    </w:rPr>
                  </w:pPr>
                  <w:r w:rsidRPr="007B280D">
                    <w:rPr>
                      <w:sz w:val="10"/>
                      <w:szCs w:val="14"/>
                      <w:lang w:eastAsia="ja-JP"/>
                    </w:rPr>
                    <w:t>candidateRep-O</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60608"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DD232B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3F0F0E5" w14:textId="77777777" w:rsidR="00FA23F1" w:rsidRPr="007B280D" w:rsidRDefault="00FA23F1" w:rsidP="00FA23F1">
                  <w:pPr>
                    <w:pStyle w:val="TAC"/>
                    <w:ind w:left="280" w:hanging="280"/>
                    <w:rPr>
                      <w:sz w:val="10"/>
                    </w:rPr>
                  </w:pPr>
                  <w:r w:rsidRPr="007B280D">
                    <w:rPr>
                      <w:sz w:val="10"/>
                      <w:szCs w:val="14"/>
                      <w:lang w:eastAsia="ja-JP"/>
                    </w:rPr>
                    <w:t>16QAM (TBS index 21)</w:t>
                  </w:r>
                </w:p>
              </w:tc>
              <w:tc>
                <w:tcPr>
                  <w:tcW w:w="800" w:type="dxa"/>
                  <w:vMerge/>
                  <w:tcBorders>
                    <w:top w:val="nil"/>
                    <w:left w:val="nil"/>
                    <w:bottom w:val="single" w:sz="8" w:space="0" w:color="auto"/>
                    <w:right w:val="single" w:sz="8" w:space="0" w:color="auto"/>
                  </w:tcBorders>
                  <w:vAlign w:val="center"/>
                  <w:hideMark/>
                </w:tcPr>
                <w:p w14:paraId="5D566D8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7B513A2" w14:textId="77777777" w:rsidR="00FA23F1" w:rsidRPr="007B280D" w:rsidRDefault="00FA23F1" w:rsidP="00FA23F1">
                  <w:pPr>
                    <w:pStyle w:val="TAC"/>
                    <w:ind w:left="280" w:hanging="280"/>
                    <w:rPr>
                      <w:sz w:val="10"/>
                    </w:rPr>
                  </w:pPr>
                  <w:r w:rsidRPr="007B280D">
                    <w:rPr>
                      <w:color w:val="ED7D31"/>
                      <w:sz w:val="10"/>
                      <w:szCs w:val="14"/>
                      <w:lang w:eastAsia="ja-JP"/>
                    </w:rPr>
                    <w:t>16QAM (TBS index 17)</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F1926" w14:textId="77777777" w:rsidR="00FA23F1" w:rsidRPr="007B280D" w:rsidRDefault="00FA23F1" w:rsidP="00FA23F1">
                  <w:pPr>
                    <w:pStyle w:val="TAC"/>
                    <w:ind w:left="280" w:hanging="280"/>
                    <w:rPr>
                      <w:sz w:val="10"/>
                    </w:rPr>
                  </w:pPr>
                  <w:r w:rsidRPr="007B280D">
                    <w:rPr>
                      <w:sz w:val="10"/>
                      <w:szCs w:val="14"/>
                      <w:lang w:eastAsia="ja-JP"/>
                    </w:rPr>
                    <w:t>837.6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4A4D7" w14:textId="77777777" w:rsidR="00FA23F1" w:rsidRPr="007B280D" w:rsidRDefault="00FA23F1" w:rsidP="00FA23F1">
                  <w:pPr>
                    <w:pStyle w:val="TAC"/>
                    <w:ind w:left="280" w:hanging="280"/>
                    <w:rPr>
                      <w:sz w:val="10"/>
                    </w:rPr>
                  </w:pPr>
                  <w:r w:rsidRPr="007B280D">
                    <w:rPr>
                      <w:sz w:val="10"/>
                      <w:szCs w:val="14"/>
                      <w:lang w:eastAsia="ja-JP"/>
                    </w:rPr>
                    <w:t>3.2719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CA4A460" w14:textId="77777777" w:rsidR="00FA23F1" w:rsidRPr="007B280D" w:rsidRDefault="00FA23F1" w:rsidP="00FA23F1">
                  <w:pPr>
                    <w:pStyle w:val="TAC"/>
                    <w:ind w:left="280" w:hanging="280"/>
                    <w:rPr>
                      <w:sz w:val="10"/>
                    </w:rPr>
                  </w:pPr>
                  <w:r w:rsidRPr="007B280D">
                    <w:rPr>
                      <w:sz w:val="10"/>
                      <w:szCs w:val="14"/>
                      <w:lang w:eastAsia="ja-JP"/>
                    </w:rPr>
                    <w:t>14.1 dB ([3])</w:t>
                  </w:r>
                </w:p>
              </w:tc>
            </w:tr>
          </w:tbl>
          <w:p w14:paraId="50FB5D23" w14:textId="77777777" w:rsidR="00FA23F1" w:rsidRDefault="00FA23F1" w:rsidP="00C51C88">
            <w:pPr>
              <w:spacing w:line="240" w:lineRule="auto"/>
            </w:pPr>
          </w:p>
        </w:tc>
      </w:tr>
      <w:tr w:rsidR="00FA23F1" w14:paraId="58610405" w14:textId="77777777" w:rsidTr="007B280D">
        <w:tc>
          <w:tcPr>
            <w:tcW w:w="1838" w:type="dxa"/>
          </w:tcPr>
          <w:p w14:paraId="2E18A170" w14:textId="2FF94CE3" w:rsidR="00FA23F1" w:rsidRDefault="00FA23F1" w:rsidP="00C51C88">
            <w:pPr>
              <w:spacing w:line="240" w:lineRule="auto"/>
              <w:rPr>
                <w:rFonts w:hint="eastAsia"/>
                <w:lang w:eastAsia="zh-CN"/>
              </w:rPr>
            </w:pPr>
            <w:r>
              <w:rPr>
                <w:rFonts w:hint="eastAsia"/>
                <w:lang w:eastAsia="zh-CN"/>
              </w:rPr>
              <w:lastRenderedPageBreak/>
              <w:t xml:space="preserve">Lenovo, </w:t>
            </w:r>
            <w:r w:rsidR="007B280D">
              <w:rPr>
                <w:lang w:eastAsia="zh-CN"/>
              </w:rPr>
              <w:t>Motorola</w:t>
            </w:r>
          </w:p>
        </w:tc>
        <w:tc>
          <w:tcPr>
            <w:tcW w:w="7469" w:type="dxa"/>
          </w:tcPr>
          <w:p w14:paraId="30C82228" w14:textId="77777777" w:rsidR="00FA23F1" w:rsidRDefault="00FA23F1" w:rsidP="00FA23F1">
            <w:pPr>
              <w:numPr>
                <w:ilvl w:val="0"/>
                <w:numId w:val="32"/>
              </w:numPr>
              <w:autoSpaceDE/>
              <w:autoSpaceDN/>
              <w:adjustRightInd/>
              <w:snapToGrid/>
              <w:spacing w:after="0" w:line="240" w:lineRule="auto"/>
              <w:jc w:val="left"/>
              <w:rPr>
                <w:lang w:val="es-MX"/>
              </w:rPr>
            </w:pPr>
            <w:r>
              <w:rPr>
                <w:lang w:val="es-MX"/>
              </w:rPr>
              <w:t>To address the issue proposed by Gerardo, we think it is better to use code rate for NPDSCH (similar to legacy eMTC) instead of TBS index since the required SNR is different for different deployments with same TBS index.  NPDSCH BPSK is not supported, we can use NPDSCH QPSK low code rate with repetition numbers instead of N/A.</w:t>
            </w:r>
          </w:p>
          <w:p w14:paraId="275D4DEA" w14:textId="77777777" w:rsidR="00FA23F1" w:rsidRDefault="00FA23F1" w:rsidP="00FA23F1">
            <w:pPr>
              <w:numPr>
                <w:ilvl w:val="0"/>
                <w:numId w:val="32"/>
              </w:numPr>
              <w:autoSpaceDE/>
              <w:autoSpaceDN/>
              <w:adjustRightInd/>
              <w:snapToGrid/>
              <w:spacing w:after="0" w:line="240" w:lineRule="auto"/>
              <w:jc w:val="left"/>
              <w:rPr>
                <w:lang w:val="es-MX"/>
              </w:rPr>
            </w:pPr>
            <w:r>
              <w:rPr>
                <w:lang w:val="es-MX"/>
              </w:rPr>
              <w:t>For UE configured with 16QAM,  MCS 0 with repetiton nubmer of 2048 is supported in NPDSCH, so the CQI table should include the corresponding entry(e.g. NPDCCH repetition number 512, 1024, 2048).  If the new table only includes the NPDCCH repetition number up to 32, we should consider how to fallback to legacy table (e.g., support NPDCCH repetition number 512, 1024, 2048). Note. 16QAM is configured to UE with the capabililty not for UE in good channel condition.</w:t>
            </w:r>
          </w:p>
          <w:p w14:paraId="01F613C4" w14:textId="77777777" w:rsidR="00FA23F1" w:rsidRPr="00FA23F1" w:rsidRDefault="00FA23F1" w:rsidP="00C51C88">
            <w:pPr>
              <w:spacing w:line="240" w:lineRule="auto"/>
              <w:rPr>
                <w:lang w:val="es-MX" w:eastAsia="zh-CN"/>
              </w:rPr>
            </w:pPr>
          </w:p>
        </w:tc>
      </w:tr>
      <w:tr w:rsidR="00FA23F1" w14:paraId="1021C048" w14:textId="77777777" w:rsidTr="007B280D">
        <w:tc>
          <w:tcPr>
            <w:tcW w:w="1838" w:type="dxa"/>
          </w:tcPr>
          <w:p w14:paraId="1CE4080A" w14:textId="4182BED5" w:rsidR="00FA23F1" w:rsidRDefault="00FA23F1" w:rsidP="00C51C88">
            <w:pPr>
              <w:spacing w:line="240" w:lineRule="auto"/>
              <w:rPr>
                <w:rFonts w:hint="eastAsia"/>
                <w:lang w:eastAsia="zh-CN"/>
              </w:rPr>
            </w:pPr>
            <w:r>
              <w:rPr>
                <w:rFonts w:hint="eastAsia"/>
                <w:lang w:eastAsia="zh-CN"/>
              </w:rPr>
              <w:t>Moderator</w:t>
            </w:r>
          </w:p>
        </w:tc>
        <w:tc>
          <w:tcPr>
            <w:tcW w:w="7469" w:type="dxa"/>
          </w:tcPr>
          <w:p w14:paraId="572E8F03" w14:textId="77777777" w:rsidR="00FA23F1" w:rsidRDefault="00FB051E" w:rsidP="00C51C88">
            <w:pPr>
              <w:spacing w:line="240" w:lineRule="auto"/>
              <w:rPr>
                <w:rFonts w:hint="eastAsia"/>
                <w:lang w:eastAsia="zh-CN"/>
              </w:rPr>
            </w:pPr>
            <w:r>
              <w:rPr>
                <w:rFonts w:hint="eastAsia"/>
                <w:lang w:eastAsia="zh-CN"/>
              </w:rPr>
              <w:t>Based on the online comment, the BPSK has been changed back to QPSK.</w:t>
            </w:r>
          </w:p>
          <w:p w14:paraId="1D4C9FF0" w14:textId="6D30AFAA" w:rsidR="00FB051E" w:rsidRDefault="00FB051E" w:rsidP="00FB051E">
            <w:pPr>
              <w:spacing w:line="240" w:lineRule="auto"/>
              <w:rPr>
                <w:lang w:eastAsia="zh-CN"/>
              </w:rPr>
            </w:pPr>
            <w:r>
              <w:rPr>
                <w:lang w:eastAsia="zh-CN"/>
              </w:rPr>
              <w:t>On the difference between standalone/guardband and inband deployment, with the following note in the agreement, the intention is to use coding rate/efficiency as legacy, then there’s no need differentiate between deployments.</w:t>
            </w:r>
          </w:p>
          <w:p w14:paraId="73153867" w14:textId="1FA08C3C" w:rsidR="00FB051E" w:rsidRPr="00FB051E" w:rsidRDefault="00FB051E" w:rsidP="00FB051E">
            <w:pPr>
              <w:spacing w:line="240" w:lineRule="auto"/>
              <w:ind w:leftChars="200" w:left="440"/>
              <w:rPr>
                <w:rFonts w:hint="eastAsia"/>
                <w:i/>
                <w:lang w:eastAsia="zh-CN"/>
              </w:rPr>
            </w:pPr>
            <w:r w:rsidRPr="00FB051E">
              <w:rPr>
                <w:i/>
                <w:lang w:eastAsia="zh-CN"/>
              </w:rPr>
              <w:t>Note: The (TBS index X) and SNR are just for information, based on standalone deployment. They will be removed once it’s agreed.</w:t>
            </w:r>
          </w:p>
        </w:tc>
      </w:tr>
      <w:tr w:rsidR="00FA23F1" w14:paraId="77C7C1BD" w14:textId="77777777" w:rsidTr="007B280D">
        <w:tc>
          <w:tcPr>
            <w:tcW w:w="1838" w:type="dxa"/>
          </w:tcPr>
          <w:p w14:paraId="31E70FBA" w14:textId="30315908" w:rsidR="00FA23F1" w:rsidRDefault="00FA23F1" w:rsidP="00C51C88">
            <w:pPr>
              <w:spacing w:line="240" w:lineRule="auto"/>
              <w:rPr>
                <w:lang w:eastAsia="zh-CN"/>
              </w:rPr>
            </w:pPr>
          </w:p>
        </w:tc>
        <w:tc>
          <w:tcPr>
            <w:tcW w:w="7469" w:type="dxa"/>
          </w:tcPr>
          <w:p w14:paraId="08531E8D" w14:textId="77777777" w:rsidR="00FA23F1" w:rsidRDefault="00FA23F1" w:rsidP="00C51C88">
            <w:pPr>
              <w:spacing w:line="240" w:lineRule="auto"/>
              <w:rPr>
                <w:lang w:eastAsia="zh-CN"/>
              </w:rPr>
            </w:pPr>
          </w:p>
        </w:tc>
      </w:tr>
      <w:tr w:rsidR="00FA23F1" w14:paraId="5C95D1EC" w14:textId="77777777" w:rsidTr="007B280D">
        <w:tc>
          <w:tcPr>
            <w:tcW w:w="1838" w:type="dxa"/>
          </w:tcPr>
          <w:p w14:paraId="327E2C28" w14:textId="77777777" w:rsidR="00FA23F1" w:rsidRDefault="00FA23F1" w:rsidP="00C51C88">
            <w:pPr>
              <w:spacing w:line="240" w:lineRule="auto"/>
              <w:rPr>
                <w:lang w:eastAsia="zh-CN"/>
              </w:rPr>
            </w:pPr>
          </w:p>
        </w:tc>
        <w:tc>
          <w:tcPr>
            <w:tcW w:w="7469" w:type="dxa"/>
          </w:tcPr>
          <w:p w14:paraId="2D70D486" w14:textId="77777777" w:rsidR="00FA23F1" w:rsidRDefault="00FA23F1" w:rsidP="00C51C88">
            <w:pPr>
              <w:spacing w:line="240" w:lineRule="auto"/>
              <w:rPr>
                <w:lang w:eastAsia="zh-CN"/>
              </w:rPr>
            </w:pPr>
          </w:p>
        </w:tc>
      </w:tr>
    </w:tbl>
    <w:p w14:paraId="0313CB80" w14:textId="77777777" w:rsidR="00D2220D" w:rsidRDefault="00D2220D" w:rsidP="00565DF9"/>
    <w:p w14:paraId="10CFE1FF" w14:textId="711FC8A4" w:rsidR="00835722" w:rsidRDefault="00742175" w:rsidP="00565DF9">
      <w:pPr>
        <w:pStyle w:val="30"/>
      </w:pPr>
      <w:r>
        <w:rPr>
          <w:lang w:eastAsia="zh-CN"/>
        </w:rPr>
        <w:t xml:space="preserve">Issue </w:t>
      </w:r>
      <w:r>
        <w:rPr>
          <w:lang w:eastAsia="zh-CN"/>
        </w:rPr>
        <w:t>3</w:t>
      </w:r>
      <w:r>
        <w:rPr>
          <w:lang w:eastAsia="zh-CN"/>
        </w:rPr>
        <w:t xml:space="preserve">: </w:t>
      </w:r>
      <w:r w:rsidR="00033350">
        <w:rPr>
          <w:lang w:eastAsia="zh-CN"/>
        </w:rPr>
        <w:t>Switching of CQI table</w:t>
      </w:r>
    </w:p>
    <w:p w14:paraId="3CD65796" w14:textId="1B7E5784" w:rsidR="00FD6606" w:rsidRDefault="00015879" w:rsidP="00565DF9">
      <w:r>
        <w:t xml:space="preserve">As commented by several companies, the switching between the </w:t>
      </w:r>
      <w:r w:rsidR="003E7358">
        <w:t xml:space="preserve">legacy table and the CQI table should be </w:t>
      </w:r>
      <w:r w:rsidR="008D6508">
        <w:t>discussed</w:t>
      </w:r>
      <w:r w:rsidR="003E7358">
        <w:t>.</w:t>
      </w:r>
      <w:r w:rsidR="008D6508">
        <w:t xml:space="preserve"> In contributions, the following options have been proposed:</w:t>
      </w:r>
    </w:p>
    <w:p w14:paraId="10D48BCD" w14:textId="44B74485" w:rsidR="008D6508" w:rsidRDefault="00B26C0D" w:rsidP="00B26C0D">
      <w:pPr>
        <w:pStyle w:val="af7"/>
        <w:numPr>
          <w:ilvl w:val="1"/>
          <w:numId w:val="30"/>
        </w:numPr>
        <w:rPr>
          <w:rFonts w:ascii="Times New Roman" w:hAnsi="Times New Roman" w:cs="Times New Roman"/>
          <w:sz w:val="22"/>
        </w:rPr>
      </w:pPr>
      <w:r w:rsidRPr="00B26C0D">
        <w:rPr>
          <w:rFonts w:ascii="Times New Roman" w:hAnsi="Times New Roman" w:cs="Times New Roman"/>
          <w:sz w:val="22"/>
        </w:rPr>
        <w:t xml:space="preserve">Option 1: </w:t>
      </w:r>
      <w:r w:rsidR="004E6047">
        <w:rPr>
          <w:rFonts w:ascii="Times New Roman" w:hAnsi="Times New Roman" w:cs="Times New Roman"/>
          <w:sz w:val="22"/>
        </w:rPr>
        <w:t>UE indicate</w:t>
      </w:r>
      <w:r w:rsidR="00F862FC">
        <w:rPr>
          <w:rFonts w:ascii="Times New Roman" w:hAnsi="Times New Roman" w:cs="Times New Roman"/>
          <w:sz w:val="22"/>
        </w:rPr>
        <w:t>s</w:t>
      </w:r>
      <w:r w:rsidR="004E6047">
        <w:rPr>
          <w:rFonts w:ascii="Times New Roman" w:hAnsi="Times New Roman" w:cs="Times New Roman"/>
          <w:sz w:val="22"/>
        </w:rPr>
        <w:t xml:space="preserve"> the use of legacy or new CQI table via MAC CE.</w:t>
      </w:r>
    </w:p>
    <w:p w14:paraId="584ABFAB" w14:textId="52AF6616" w:rsidR="004E6047" w:rsidRDefault="004E6047" w:rsidP="00B26C0D">
      <w:pPr>
        <w:pStyle w:val="af7"/>
        <w:numPr>
          <w:ilvl w:val="1"/>
          <w:numId w:val="30"/>
        </w:numPr>
        <w:rPr>
          <w:rFonts w:ascii="Times New Roman" w:hAnsi="Times New Roman" w:cs="Times New Roman"/>
          <w:sz w:val="22"/>
        </w:rPr>
      </w:pPr>
      <w:r>
        <w:rPr>
          <w:rFonts w:ascii="Times New Roman" w:hAnsi="Times New Roman" w:cs="Times New Roman"/>
          <w:sz w:val="22"/>
        </w:rPr>
        <w:t xml:space="preserve">Option 2: </w:t>
      </w:r>
      <w:r w:rsidR="00F862FC">
        <w:rPr>
          <w:rFonts w:ascii="Times New Roman" w:hAnsi="Times New Roman" w:cs="Times New Roman"/>
          <w:sz w:val="22"/>
        </w:rPr>
        <w:t>eNB indicates the use of legacy or new CQI table via MAC CE.</w:t>
      </w:r>
    </w:p>
    <w:p w14:paraId="45CC88F8" w14:textId="53FCD9CD" w:rsidR="00F862FC" w:rsidRDefault="00F862FC" w:rsidP="00B26C0D">
      <w:pPr>
        <w:pStyle w:val="af7"/>
        <w:numPr>
          <w:ilvl w:val="1"/>
          <w:numId w:val="30"/>
        </w:numPr>
        <w:rPr>
          <w:rFonts w:ascii="Times New Roman" w:hAnsi="Times New Roman" w:cs="Times New Roman"/>
          <w:sz w:val="22"/>
        </w:rPr>
      </w:pPr>
      <w:r>
        <w:rPr>
          <w:rFonts w:ascii="Times New Roman" w:hAnsi="Times New Roman" w:cs="Times New Roman"/>
          <w:sz w:val="22"/>
        </w:rPr>
        <w:t xml:space="preserve">Option 3: </w:t>
      </w:r>
      <w:r w:rsidR="00187ADD">
        <w:rPr>
          <w:rFonts w:ascii="Times New Roman" w:hAnsi="Times New Roman" w:cs="Times New Roman"/>
          <w:sz w:val="22"/>
        </w:rPr>
        <w:t xml:space="preserve">eNB configures the </w:t>
      </w:r>
      <w:r w:rsidR="00187ADD">
        <w:rPr>
          <w:rFonts w:ascii="Times New Roman" w:hAnsi="Times New Roman" w:cs="Times New Roman"/>
          <w:sz w:val="22"/>
        </w:rPr>
        <w:t>use of legacy or new CQI table via</w:t>
      </w:r>
      <w:r w:rsidR="00187ADD">
        <w:rPr>
          <w:rFonts w:ascii="Times New Roman" w:hAnsi="Times New Roman" w:cs="Times New Roman"/>
          <w:sz w:val="22"/>
        </w:rPr>
        <w:t xml:space="preserve"> RRC configuration</w:t>
      </w:r>
    </w:p>
    <w:p w14:paraId="2FF20E3B" w14:textId="13EED5E1" w:rsidR="00FE48FF" w:rsidRPr="00B26C0D" w:rsidRDefault="00B617BE" w:rsidP="00BA355B">
      <w:pPr>
        <w:pStyle w:val="af7"/>
        <w:numPr>
          <w:ilvl w:val="1"/>
          <w:numId w:val="30"/>
        </w:numPr>
        <w:spacing w:after="120"/>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51B08674" w14:textId="6AAF69B9" w:rsidR="00BA355B" w:rsidRDefault="00BA355B" w:rsidP="00BA355B">
      <w:r>
        <w:rPr>
          <w:rFonts w:hint="eastAsia"/>
        </w:rPr>
        <w:t xml:space="preserve">Please input your comments regarding the above </w:t>
      </w:r>
      <w:r>
        <w:t>options</w:t>
      </w:r>
      <w:r>
        <w:t>.</w:t>
      </w:r>
    </w:p>
    <w:tbl>
      <w:tblPr>
        <w:tblStyle w:val="af1"/>
        <w:tblW w:w="0" w:type="auto"/>
        <w:tblLook w:val="04A0" w:firstRow="1" w:lastRow="0" w:firstColumn="1" w:lastColumn="0" w:noHBand="0" w:noVBand="1"/>
      </w:tblPr>
      <w:tblGrid>
        <w:gridCol w:w="1838"/>
        <w:gridCol w:w="7469"/>
      </w:tblGrid>
      <w:tr w:rsidR="00BA355B" w14:paraId="45DEC53C" w14:textId="77777777" w:rsidTr="00C51C88">
        <w:tc>
          <w:tcPr>
            <w:tcW w:w="1838" w:type="dxa"/>
          </w:tcPr>
          <w:p w14:paraId="7C22FDC2" w14:textId="77777777" w:rsidR="00BA355B" w:rsidRDefault="00BA355B" w:rsidP="00C51C88">
            <w:pPr>
              <w:spacing w:line="240" w:lineRule="auto"/>
              <w:rPr>
                <w:lang w:eastAsia="zh-CN"/>
              </w:rPr>
            </w:pPr>
            <w:r>
              <w:rPr>
                <w:rFonts w:hint="eastAsia"/>
                <w:lang w:eastAsia="zh-CN"/>
              </w:rPr>
              <w:t>Companies</w:t>
            </w:r>
          </w:p>
        </w:tc>
        <w:tc>
          <w:tcPr>
            <w:tcW w:w="7469" w:type="dxa"/>
          </w:tcPr>
          <w:p w14:paraId="656DF1B6" w14:textId="77777777" w:rsidR="00BA355B" w:rsidRDefault="00BA355B" w:rsidP="00C51C88">
            <w:pPr>
              <w:spacing w:line="240" w:lineRule="auto"/>
              <w:rPr>
                <w:lang w:eastAsia="zh-CN"/>
              </w:rPr>
            </w:pPr>
            <w:r>
              <w:rPr>
                <w:rFonts w:hint="eastAsia"/>
                <w:lang w:eastAsia="zh-CN"/>
              </w:rPr>
              <w:t>Comments</w:t>
            </w:r>
          </w:p>
        </w:tc>
      </w:tr>
      <w:tr w:rsidR="001771DF" w14:paraId="46ED4AD2" w14:textId="77777777" w:rsidTr="00C51C88">
        <w:tc>
          <w:tcPr>
            <w:tcW w:w="1838" w:type="dxa"/>
          </w:tcPr>
          <w:p w14:paraId="648B0C96" w14:textId="77777777" w:rsidR="001771DF" w:rsidRDefault="001771DF" w:rsidP="00C51C88">
            <w:pPr>
              <w:spacing w:line="240" w:lineRule="auto"/>
              <w:rPr>
                <w:rFonts w:hint="eastAsia"/>
                <w:lang w:eastAsia="zh-CN"/>
              </w:rPr>
            </w:pPr>
          </w:p>
        </w:tc>
        <w:tc>
          <w:tcPr>
            <w:tcW w:w="7469" w:type="dxa"/>
          </w:tcPr>
          <w:p w14:paraId="456ECE4D" w14:textId="77777777" w:rsidR="001771DF" w:rsidRDefault="001771DF" w:rsidP="00C51C88">
            <w:pPr>
              <w:spacing w:line="240" w:lineRule="auto"/>
              <w:rPr>
                <w:rFonts w:hint="eastAsia"/>
                <w:lang w:eastAsia="zh-CN"/>
              </w:rPr>
            </w:pPr>
          </w:p>
        </w:tc>
      </w:tr>
      <w:tr w:rsidR="001771DF" w14:paraId="0B7C8E55" w14:textId="77777777" w:rsidTr="00C51C88">
        <w:tc>
          <w:tcPr>
            <w:tcW w:w="1838" w:type="dxa"/>
          </w:tcPr>
          <w:p w14:paraId="6114FAB0" w14:textId="77777777" w:rsidR="001771DF" w:rsidRDefault="001771DF" w:rsidP="00C51C88">
            <w:pPr>
              <w:spacing w:line="240" w:lineRule="auto"/>
              <w:rPr>
                <w:rFonts w:hint="eastAsia"/>
                <w:lang w:eastAsia="zh-CN"/>
              </w:rPr>
            </w:pPr>
          </w:p>
        </w:tc>
        <w:tc>
          <w:tcPr>
            <w:tcW w:w="7469" w:type="dxa"/>
          </w:tcPr>
          <w:p w14:paraId="7CE22A45" w14:textId="77777777" w:rsidR="001771DF" w:rsidRDefault="001771DF" w:rsidP="00C51C88">
            <w:pPr>
              <w:spacing w:line="240" w:lineRule="auto"/>
              <w:rPr>
                <w:rFonts w:hint="eastAsia"/>
                <w:lang w:eastAsia="zh-CN"/>
              </w:rPr>
            </w:pPr>
          </w:p>
        </w:tc>
      </w:tr>
      <w:tr w:rsidR="001771DF" w14:paraId="6E7934E9" w14:textId="77777777" w:rsidTr="00C51C88">
        <w:tc>
          <w:tcPr>
            <w:tcW w:w="1838" w:type="dxa"/>
          </w:tcPr>
          <w:p w14:paraId="03F9CE3D" w14:textId="77777777" w:rsidR="001771DF" w:rsidRDefault="001771DF" w:rsidP="00C51C88">
            <w:pPr>
              <w:spacing w:line="240" w:lineRule="auto"/>
              <w:rPr>
                <w:rFonts w:hint="eastAsia"/>
                <w:lang w:eastAsia="zh-CN"/>
              </w:rPr>
            </w:pPr>
          </w:p>
        </w:tc>
        <w:tc>
          <w:tcPr>
            <w:tcW w:w="7469" w:type="dxa"/>
          </w:tcPr>
          <w:p w14:paraId="2169AF5D" w14:textId="77777777" w:rsidR="001771DF" w:rsidRDefault="001771DF" w:rsidP="00C51C88">
            <w:pPr>
              <w:spacing w:line="240" w:lineRule="auto"/>
              <w:rPr>
                <w:rFonts w:hint="eastAsia"/>
                <w:lang w:eastAsia="zh-CN"/>
              </w:rPr>
            </w:pPr>
          </w:p>
        </w:tc>
      </w:tr>
    </w:tbl>
    <w:p w14:paraId="057EE572" w14:textId="77777777" w:rsidR="007F4D73" w:rsidRDefault="007F4D73" w:rsidP="00565DF9"/>
    <w:p w14:paraId="7F230247" w14:textId="510681A9" w:rsidR="00D52C08" w:rsidRDefault="00D52C08" w:rsidP="00D52C08">
      <w:pPr>
        <w:pStyle w:val="30"/>
      </w:pPr>
      <w:r>
        <w:rPr>
          <w:lang w:eastAsia="zh-CN"/>
        </w:rPr>
        <w:t xml:space="preserve">Issue </w:t>
      </w:r>
      <w:r>
        <w:rPr>
          <w:lang w:eastAsia="zh-CN"/>
        </w:rPr>
        <w:t>4</w:t>
      </w:r>
      <w:r>
        <w:rPr>
          <w:lang w:eastAsia="zh-CN"/>
        </w:rPr>
        <w:t xml:space="preserve">: </w:t>
      </w:r>
      <w:r>
        <w:rPr>
          <w:lang w:eastAsia="zh-CN"/>
        </w:rPr>
        <w:t>The capturing</w:t>
      </w:r>
      <w:r>
        <w:rPr>
          <w:lang w:eastAsia="zh-CN"/>
        </w:rPr>
        <w:t xml:space="preserve"> of CQI table</w:t>
      </w:r>
      <w:r>
        <w:rPr>
          <w:lang w:eastAsia="zh-CN"/>
        </w:rPr>
        <w:t xml:space="preserve"> in spec</w:t>
      </w:r>
    </w:p>
    <w:p w14:paraId="7034F7A4" w14:textId="515E89CD" w:rsidR="007F4D73" w:rsidRDefault="00FB7C03" w:rsidP="00565DF9">
      <w:pPr>
        <w:rPr>
          <w:rFonts w:hint="eastAsia"/>
        </w:rPr>
      </w:pPr>
      <w:r>
        <w:rPr>
          <w:rFonts w:hint="eastAsia"/>
        </w:rPr>
        <w:t>On the capturing of the new CQI table, there are two options:</w:t>
      </w:r>
    </w:p>
    <w:p w14:paraId="4E1687A4" w14:textId="5EDAFB2C" w:rsidR="00FB7C03" w:rsidRDefault="00FB7C03" w:rsidP="00FB7C03">
      <w:pPr>
        <w:pStyle w:val="af7"/>
        <w:numPr>
          <w:ilvl w:val="1"/>
          <w:numId w:val="30"/>
        </w:numPr>
        <w:rPr>
          <w:rFonts w:ascii="Times New Roman" w:hAnsi="Times New Roman" w:cs="Times New Roman"/>
          <w:sz w:val="22"/>
        </w:rPr>
      </w:pPr>
      <w:r w:rsidRPr="00FA4F51">
        <w:rPr>
          <w:rFonts w:ascii="Times New Roman" w:hAnsi="Times New Roman" w:cs="Times New Roman" w:hint="eastAsia"/>
          <w:sz w:val="22"/>
        </w:rPr>
        <w:t xml:space="preserve">Option 1: </w:t>
      </w:r>
      <w:r w:rsidR="00525895">
        <w:rPr>
          <w:rFonts w:ascii="Times New Roman" w:hAnsi="Times New Roman" w:cs="Times New Roman"/>
          <w:sz w:val="22"/>
        </w:rPr>
        <w:t>The new CQI table is captured in TS 36.213</w:t>
      </w:r>
      <w:r w:rsidR="007D6F80">
        <w:rPr>
          <w:rFonts w:ascii="Times New Roman" w:hAnsi="Times New Roman" w:cs="Times New Roman"/>
          <w:sz w:val="22"/>
        </w:rPr>
        <w:t>, the detail is up to the Editor.</w:t>
      </w:r>
    </w:p>
    <w:p w14:paraId="2285C2BB" w14:textId="1DB3FD7A" w:rsidR="00525895" w:rsidRPr="00FA4F51" w:rsidRDefault="00525895" w:rsidP="00264101">
      <w:pPr>
        <w:pStyle w:val="af7"/>
        <w:numPr>
          <w:ilvl w:val="1"/>
          <w:numId w:val="30"/>
        </w:numPr>
        <w:spacing w:after="120"/>
        <w:rPr>
          <w:rFonts w:ascii="Times New Roman" w:hAnsi="Times New Roman" w:cs="Times New Roman"/>
          <w:sz w:val="22"/>
        </w:rPr>
      </w:pPr>
      <w:r>
        <w:rPr>
          <w:rFonts w:ascii="Times New Roman" w:hAnsi="Times New Roman" w:cs="Times New Roman"/>
          <w:sz w:val="22"/>
        </w:rPr>
        <w:t xml:space="preserve">Option 2: </w:t>
      </w:r>
      <w:r w:rsidR="007D6F80">
        <w:rPr>
          <w:rFonts w:ascii="Times New Roman" w:hAnsi="Times New Roman" w:cs="Times New Roman"/>
          <w:sz w:val="22"/>
        </w:rPr>
        <w:t>The new CQI table is captured in TS 36.133, send LS to RAN2/RAN4 of the agreements on channel quality reporting.</w:t>
      </w:r>
    </w:p>
    <w:p w14:paraId="4839F2DD" w14:textId="77777777" w:rsidR="00264101" w:rsidRDefault="00264101" w:rsidP="00264101">
      <w:r>
        <w:rPr>
          <w:rFonts w:hint="eastAsia"/>
        </w:rPr>
        <w:t xml:space="preserve">Please input your comments regarding the above </w:t>
      </w:r>
      <w:r>
        <w:t>options.</w:t>
      </w:r>
    </w:p>
    <w:tbl>
      <w:tblPr>
        <w:tblStyle w:val="af1"/>
        <w:tblW w:w="0" w:type="auto"/>
        <w:tblLook w:val="04A0" w:firstRow="1" w:lastRow="0" w:firstColumn="1" w:lastColumn="0" w:noHBand="0" w:noVBand="1"/>
      </w:tblPr>
      <w:tblGrid>
        <w:gridCol w:w="1838"/>
        <w:gridCol w:w="7469"/>
      </w:tblGrid>
      <w:tr w:rsidR="00264101" w14:paraId="69731CDD" w14:textId="77777777" w:rsidTr="00C51C88">
        <w:tc>
          <w:tcPr>
            <w:tcW w:w="1838" w:type="dxa"/>
          </w:tcPr>
          <w:p w14:paraId="7226E648" w14:textId="77777777" w:rsidR="00264101" w:rsidRDefault="00264101" w:rsidP="00C51C88">
            <w:pPr>
              <w:spacing w:line="240" w:lineRule="auto"/>
              <w:rPr>
                <w:lang w:eastAsia="zh-CN"/>
              </w:rPr>
            </w:pPr>
            <w:r>
              <w:rPr>
                <w:rFonts w:hint="eastAsia"/>
                <w:lang w:eastAsia="zh-CN"/>
              </w:rPr>
              <w:t>Companies</w:t>
            </w:r>
          </w:p>
        </w:tc>
        <w:tc>
          <w:tcPr>
            <w:tcW w:w="7469" w:type="dxa"/>
          </w:tcPr>
          <w:p w14:paraId="595D4028" w14:textId="77777777" w:rsidR="00264101" w:rsidRDefault="00264101" w:rsidP="00C51C88">
            <w:pPr>
              <w:spacing w:line="240" w:lineRule="auto"/>
              <w:rPr>
                <w:lang w:eastAsia="zh-CN"/>
              </w:rPr>
            </w:pPr>
            <w:r>
              <w:rPr>
                <w:rFonts w:hint="eastAsia"/>
                <w:lang w:eastAsia="zh-CN"/>
              </w:rPr>
              <w:t>Comments</w:t>
            </w:r>
          </w:p>
        </w:tc>
      </w:tr>
      <w:tr w:rsidR="00264101" w14:paraId="20A6B9A0" w14:textId="77777777" w:rsidTr="00C51C88">
        <w:tc>
          <w:tcPr>
            <w:tcW w:w="1838" w:type="dxa"/>
          </w:tcPr>
          <w:p w14:paraId="00273E6E" w14:textId="77777777" w:rsidR="00264101" w:rsidRDefault="00264101" w:rsidP="00C51C88">
            <w:pPr>
              <w:spacing w:line="240" w:lineRule="auto"/>
              <w:rPr>
                <w:rFonts w:hint="eastAsia"/>
                <w:lang w:eastAsia="zh-CN"/>
              </w:rPr>
            </w:pPr>
          </w:p>
        </w:tc>
        <w:tc>
          <w:tcPr>
            <w:tcW w:w="7469" w:type="dxa"/>
          </w:tcPr>
          <w:p w14:paraId="7C92A3E6" w14:textId="77777777" w:rsidR="00264101" w:rsidRDefault="00264101" w:rsidP="00C51C88">
            <w:pPr>
              <w:spacing w:line="240" w:lineRule="auto"/>
              <w:rPr>
                <w:rFonts w:hint="eastAsia"/>
                <w:lang w:eastAsia="zh-CN"/>
              </w:rPr>
            </w:pPr>
          </w:p>
        </w:tc>
      </w:tr>
      <w:tr w:rsidR="00264101" w14:paraId="66E50DCC" w14:textId="77777777" w:rsidTr="00C51C88">
        <w:tc>
          <w:tcPr>
            <w:tcW w:w="1838" w:type="dxa"/>
          </w:tcPr>
          <w:p w14:paraId="372BF5C9" w14:textId="77777777" w:rsidR="00264101" w:rsidRDefault="00264101" w:rsidP="00C51C88">
            <w:pPr>
              <w:spacing w:line="240" w:lineRule="auto"/>
              <w:rPr>
                <w:rFonts w:hint="eastAsia"/>
                <w:lang w:eastAsia="zh-CN"/>
              </w:rPr>
            </w:pPr>
          </w:p>
        </w:tc>
        <w:tc>
          <w:tcPr>
            <w:tcW w:w="7469" w:type="dxa"/>
          </w:tcPr>
          <w:p w14:paraId="2C80DE83" w14:textId="77777777" w:rsidR="00264101" w:rsidRDefault="00264101" w:rsidP="00C51C88">
            <w:pPr>
              <w:spacing w:line="240" w:lineRule="auto"/>
              <w:rPr>
                <w:rFonts w:hint="eastAsia"/>
                <w:lang w:eastAsia="zh-CN"/>
              </w:rPr>
            </w:pPr>
          </w:p>
        </w:tc>
      </w:tr>
      <w:tr w:rsidR="00264101" w14:paraId="3054BDB3" w14:textId="77777777" w:rsidTr="00C51C88">
        <w:tc>
          <w:tcPr>
            <w:tcW w:w="1838" w:type="dxa"/>
          </w:tcPr>
          <w:p w14:paraId="7C4F2C83" w14:textId="77777777" w:rsidR="00264101" w:rsidRDefault="00264101" w:rsidP="00C51C88">
            <w:pPr>
              <w:spacing w:line="240" w:lineRule="auto"/>
              <w:rPr>
                <w:rFonts w:hint="eastAsia"/>
                <w:lang w:eastAsia="zh-CN"/>
              </w:rPr>
            </w:pPr>
          </w:p>
        </w:tc>
        <w:tc>
          <w:tcPr>
            <w:tcW w:w="7469" w:type="dxa"/>
          </w:tcPr>
          <w:p w14:paraId="046BA2E4" w14:textId="77777777" w:rsidR="00264101" w:rsidRDefault="00264101" w:rsidP="00C51C88">
            <w:pPr>
              <w:spacing w:line="240" w:lineRule="auto"/>
              <w:rPr>
                <w:rFonts w:hint="eastAsia"/>
                <w:lang w:eastAsia="zh-CN"/>
              </w:rPr>
            </w:pPr>
          </w:p>
        </w:tc>
      </w:tr>
    </w:tbl>
    <w:p w14:paraId="0D1640FB" w14:textId="77777777" w:rsidR="00AD673D" w:rsidRPr="00565DF9" w:rsidRDefault="00AD673D" w:rsidP="00565DF9"/>
    <w:p w14:paraId="5DCD3306" w14:textId="372E79FA" w:rsidR="007216CC" w:rsidRDefault="000C461E">
      <w:pPr>
        <w:pStyle w:val="1"/>
        <w:rPr>
          <w:lang w:eastAsia="zh-CN"/>
        </w:rPr>
      </w:pPr>
      <w:r>
        <w:rPr>
          <w:lang w:eastAsia="zh-CN"/>
        </w:rPr>
        <w:t xml:space="preserve">Previous </w:t>
      </w:r>
      <w:r w:rsidR="00ED2ABB">
        <w:rPr>
          <w:rFonts w:hint="eastAsia"/>
          <w:lang w:eastAsia="zh-CN"/>
        </w:rPr>
        <w:t>Discussion</w:t>
      </w:r>
    </w:p>
    <w:p w14:paraId="242B5A34" w14:textId="77777777" w:rsidR="007216CC" w:rsidRDefault="00ED2ABB">
      <w:pPr>
        <w:pStyle w:val="2"/>
        <w:rPr>
          <w:lang w:eastAsia="zh-CN"/>
        </w:rPr>
      </w:pPr>
      <w:r>
        <w:rPr>
          <w:lang w:eastAsia="zh-CN"/>
        </w:rPr>
        <w:t>Uplink power control</w:t>
      </w:r>
    </w:p>
    <w:p w14:paraId="2E303B62" w14:textId="77777777" w:rsidR="007216CC" w:rsidRDefault="00ED2ABB">
      <w:pPr>
        <w:pStyle w:val="30"/>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af1"/>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af5"/>
              </w:rPr>
            </w:pPr>
            <w:r>
              <w:rPr>
                <w:b/>
              </w:rPr>
              <w:t>Proposal 5</w:t>
            </w:r>
            <w:r>
              <w:rPr>
                <w:rFonts w:hint="eastAsia"/>
                <w:b/>
              </w:rPr>
              <w:t>：</w:t>
            </w:r>
            <w:r>
              <w:rPr>
                <w:b/>
              </w:rPr>
              <w:t>The new power control term can be applied to QPSK when configured with 16QAM</w:t>
            </w:r>
            <w:r>
              <w:rPr>
                <w:rStyle w:val="af5"/>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lastRenderedPageBreak/>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af7"/>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af7"/>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lastRenderedPageBreak/>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4"/>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5"/>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6"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6"/>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7"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7"/>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8"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8"/>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9" w:name="_Toc86954067"/>
            <w:r>
              <w:rPr>
                <w:rFonts w:ascii="Arial" w:hAnsi="Arial"/>
                <w:b/>
                <w:bCs/>
                <w:sz w:val="20"/>
                <w:szCs w:val="20"/>
                <w:lang w:eastAsia="ja-JP"/>
              </w:rPr>
              <w:t>Use P0_Nominal to reduce the difference:</w:t>
            </w:r>
            <w:bookmarkEnd w:id="9"/>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0" w:name="_Toc86954068"/>
            <w:r>
              <w:rPr>
                <w:rFonts w:ascii="Arial" w:hAnsi="Arial"/>
                <w:b/>
                <w:bCs/>
                <w:sz w:val="20"/>
                <w:szCs w:val="20"/>
                <w:lang w:eastAsia="ja-JP"/>
              </w:rPr>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10"/>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1"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1"/>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2"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2"/>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3" w:name="_Hlk86179293"/>
            <w:bookmarkStart w:id="14"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3"/>
            <w:r>
              <w:rPr>
                <w:rFonts w:ascii="Arial" w:hAnsi="Arial"/>
                <w:b/>
                <w:bCs/>
                <w:sz w:val="20"/>
                <w:szCs w:val="20"/>
                <w:lang w:eastAsia="ja-JP"/>
              </w:rPr>
              <w:t>to be the most feasible solution to avoid undesired side-effects.</w:t>
            </w:r>
            <w:bookmarkEnd w:id="14"/>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5" w:name="_Toc86954087"/>
            <w:r>
              <w:rPr>
                <w:rFonts w:ascii="Arial" w:hAnsi="Arial"/>
                <w:b/>
                <w:bCs/>
                <w:sz w:val="20"/>
                <w:szCs w:val="20"/>
                <w:lang w:eastAsia="zh-CN"/>
              </w:rPr>
              <w:lastRenderedPageBreak/>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5"/>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6"/>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7"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7"/>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lastRenderedPageBreak/>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Most companies support to confirm the working assumption</w:t>
      </w:r>
      <w:r>
        <w:rPr>
          <w:lang w:eastAsia="zh-CN"/>
        </w:rPr>
        <w:t>,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af7"/>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af7"/>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C53349">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C53349">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C53349">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lastRenderedPageBreak/>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af1"/>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35pt" o:ole="">
                  <v:imagedata r:id="rId9" o:title=""/>
                </v:shape>
                <o:OLEObject Type="Embed" ProgID="Equation.3" ShapeID="_x0000_i1025" DrawAspect="Content" ObjectID="_1698479356" r:id="rId10"/>
              </w:object>
            </w:r>
            <w:r>
              <w:rPr>
                <w:lang w:eastAsia="zh-CN"/>
              </w:rPr>
              <w:t>as compared to the one that would delivered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as an offset since that will result in side effects too. By offset, we mean e.g., Alternative 1 or Alternative 2 below applied on the estimated Δ</w:t>
            </w:r>
            <w:r>
              <w:rPr>
                <w:vertAlign w:val="subscript"/>
              </w:rPr>
              <w:t>TF</w:t>
            </w:r>
            <w:r>
              <w:t>.</w:t>
            </w:r>
          </w:p>
          <w:p w14:paraId="03197AC5" w14:textId="77777777" w:rsidR="007216CC" w:rsidRDefault="00ED2ABB">
            <w:pPr>
              <w:pStyle w:val="af7"/>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af7"/>
              <w:spacing w:line="240" w:lineRule="auto"/>
              <w:rPr>
                <w:rFonts w:ascii="Times New Roman" w:hAnsi="Times New Roman" w:cs="Times New Roman"/>
              </w:rPr>
            </w:pPr>
          </w:p>
          <w:p w14:paraId="038BFB0C" w14:textId="77777777" w:rsidR="007216CC" w:rsidRDefault="00ED2ABB">
            <w:pPr>
              <w:pStyle w:val="af7"/>
              <w:numPr>
                <w:ilvl w:val="0"/>
                <w:numId w:val="18"/>
              </w:numPr>
              <w:spacing w:line="240" w:lineRule="auto"/>
              <w:rPr>
                <w:rFonts w:ascii="Times New Roman" w:hAnsi="Times New Roman" w:cs="Times New Roman"/>
              </w:rPr>
            </w:pPr>
            <w:r>
              <w:rPr>
                <w:rFonts w:ascii="Times New Roman" w:hAnsi="Times New Roman" w:cs="Times New Roma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t>ZTE, Sanechips</w:t>
            </w:r>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So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lastRenderedPageBreak/>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lastRenderedPageBreak/>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MotoM</w:t>
            </w:r>
          </w:p>
        </w:tc>
        <w:tc>
          <w:tcPr>
            <w:tcW w:w="7611" w:type="dxa"/>
          </w:tcPr>
          <w:p w14:paraId="07AAC328" w14:textId="77F4193A" w:rsidR="00E64D7A" w:rsidRDefault="00E64D7A">
            <w:pPr>
              <w:spacing w:line="240" w:lineRule="auto"/>
              <w:rPr>
                <w:lang w:eastAsia="zh-CN"/>
              </w:rPr>
            </w:pPr>
            <w:r>
              <w:rPr>
                <w:lang w:eastAsia="zh-CN"/>
              </w:rPr>
              <w:t>We are OK with both proposals</w:t>
            </w:r>
            <w:r w:rsidR="0026065F">
              <w:rPr>
                <w:lang w:eastAsia="zh-CN"/>
              </w:rPr>
              <w:t xml:space="preserve"> (e.g., Proposal 1 and Proposal 2)</w:t>
            </w:r>
          </w:p>
        </w:tc>
      </w:tr>
      <w:tr w:rsidR="00095257" w14:paraId="5AEF4236" w14:textId="77777777">
        <w:tc>
          <w:tcPr>
            <w:tcW w:w="1696" w:type="dxa"/>
          </w:tcPr>
          <w:p w14:paraId="48CD968D" w14:textId="41FAC0DC" w:rsidR="00095257" w:rsidRDefault="00095257">
            <w:pPr>
              <w:spacing w:line="240" w:lineRule="auto"/>
              <w:rPr>
                <w:lang w:eastAsia="zh-CN"/>
              </w:rPr>
            </w:pPr>
            <w:r>
              <w:rPr>
                <w:rFonts w:hint="eastAsia"/>
                <w:lang w:eastAsia="zh-CN"/>
              </w:rPr>
              <w:t>MTK</w:t>
            </w:r>
          </w:p>
        </w:tc>
        <w:tc>
          <w:tcPr>
            <w:tcW w:w="7611" w:type="dxa"/>
          </w:tcPr>
          <w:p w14:paraId="12156C7A" w14:textId="12E7C2B8" w:rsidR="00095257" w:rsidRDefault="00095257">
            <w:pPr>
              <w:spacing w:line="240" w:lineRule="auto"/>
              <w:rPr>
                <w:lang w:eastAsia="zh-CN"/>
              </w:rPr>
            </w:pPr>
            <w:r>
              <w:rPr>
                <w:lang w:eastAsia="zh-CN"/>
              </w:rPr>
              <w:t>We are OK with both proposals.</w:t>
            </w:r>
          </w:p>
        </w:tc>
      </w:tr>
      <w:tr w:rsidR="00216924" w14:paraId="2E3AF44C" w14:textId="77777777">
        <w:tc>
          <w:tcPr>
            <w:tcW w:w="1696" w:type="dxa"/>
          </w:tcPr>
          <w:p w14:paraId="1E52FFF6" w14:textId="001A3C92" w:rsidR="00216924" w:rsidRDefault="00216924" w:rsidP="00216924">
            <w:pPr>
              <w:spacing w:line="240" w:lineRule="auto"/>
              <w:rPr>
                <w:lang w:eastAsia="zh-CN"/>
              </w:rPr>
            </w:pPr>
            <w:r>
              <w:t>Huawei, HiSilicon</w:t>
            </w:r>
          </w:p>
        </w:tc>
        <w:tc>
          <w:tcPr>
            <w:tcW w:w="7611" w:type="dxa"/>
          </w:tcPr>
          <w:p w14:paraId="7132357D" w14:textId="0992568E" w:rsidR="00216924" w:rsidRDefault="00216924" w:rsidP="00216924">
            <w:pPr>
              <w:spacing w:line="240" w:lineRule="auto"/>
              <w:rPr>
                <w:lang w:eastAsia="zh-CN"/>
              </w:rPr>
            </w:pPr>
            <w:r>
              <w:rPr>
                <w:rFonts w:hint="eastAsia"/>
                <w:lang w:eastAsia="zh-CN"/>
              </w:rPr>
              <w:t>W</w:t>
            </w:r>
            <w:r>
              <w:rPr>
                <w:lang w:eastAsia="zh-CN"/>
              </w:rPr>
              <w:t>e are OK with both proposals.</w:t>
            </w:r>
          </w:p>
        </w:tc>
      </w:tr>
      <w:tr w:rsidR="00CE0654" w14:paraId="72B0FB2B" w14:textId="77777777">
        <w:tc>
          <w:tcPr>
            <w:tcW w:w="1696" w:type="dxa"/>
          </w:tcPr>
          <w:p w14:paraId="70FAF203" w14:textId="195ACE5E" w:rsidR="00CE0654" w:rsidRDefault="00CE0654" w:rsidP="00216924">
            <w:pPr>
              <w:spacing w:line="240" w:lineRule="auto"/>
            </w:pPr>
            <w:r>
              <w:t>NordicSemi</w:t>
            </w:r>
          </w:p>
        </w:tc>
        <w:tc>
          <w:tcPr>
            <w:tcW w:w="7611" w:type="dxa"/>
          </w:tcPr>
          <w:p w14:paraId="662348E9" w14:textId="6194D3A2" w:rsidR="00CE0654" w:rsidRDefault="00CE0654" w:rsidP="00216924">
            <w:pPr>
              <w:spacing w:line="240" w:lineRule="auto"/>
              <w:rPr>
                <w:lang w:eastAsia="zh-CN"/>
              </w:rPr>
            </w:pPr>
            <w:r>
              <w:rPr>
                <w:lang w:eastAsia="zh-CN"/>
              </w:rPr>
              <w:t>We are OK with both proposals.</w:t>
            </w:r>
          </w:p>
        </w:tc>
      </w:tr>
      <w:tr w:rsidR="00E446F1" w14:paraId="3ADDD693" w14:textId="77777777">
        <w:tc>
          <w:tcPr>
            <w:tcW w:w="1696" w:type="dxa"/>
          </w:tcPr>
          <w:p w14:paraId="01AEAF19" w14:textId="532F1E98" w:rsidR="00E446F1" w:rsidRDefault="00E446F1" w:rsidP="00216924">
            <w:pPr>
              <w:spacing w:line="240" w:lineRule="auto"/>
            </w:pPr>
            <w:r>
              <w:t>Nokia, NSB</w:t>
            </w:r>
          </w:p>
        </w:tc>
        <w:tc>
          <w:tcPr>
            <w:tcW w:w="7611" w:type="dxa"/>
          </w:tcPr>
          <w:p w14:paraId="2580021D" w14:textId="5EA0EB78" w:rsidR="00E446F1" w:rsidRDefault="00E446F1" w:rsidP="00216924">
            <w:pPr>
              <w:spacing w:line="240" w:lineRule="auto"/>
              <w:rPr>
                <w:lang w:eastAsia="zh-CN"/>
              </w:rPr>
            </w:pPr>
            <w:r>
              <w:rPr>
                <w:lang w:eastAsia="zh-CN"/>
              </w:rPr>
              <w:t>We are OK with both proposals.</w:t>
            </w:r>
          </w:p>
        </w:tc>
      </w:tr>
      <w:tr w:rsidR="0092404D" w14:paraId="70D5CA1F" w14:textId="77777777">
        <w:tc>
          <w:tcPr>
            <w:tcW w:w="1696" w:type="dxa"/>
          </w:tcPr>
          <w:p w14:paraId="5A7EB68F" w14:textId="54B7FC39" w:rsidR="0092404D" w:rsidRDefault="0092404D" w:rsidP="00216924">
            <w:pPr>
              <w:spacing w:line="240" w:lineRule="auto"/>
            </w:pPr>
            <w:r>
              <w:rPr>
                <w:rFonts w:hint="eastAsia"/>
              </w:rPr>
              <w:t>Moderator</w:t>
            </w:r>
          </w:p>
        </w:tc>
        <w:tc>
          <w:tcPr>
            <w:tcW w:w="7611" w:type="dxa"/>
          </w:tcPr>
          <w:p w14:paraId="31540561" w14:textId="77777777" w:rsidR="0092404D" w:rsidRDefault="0092404D" w:rsidP="00216924">
            <w:pPr>
              <w:spacing w:line="240" w:lineRule="auto"/>
              <w:rPr>
                <w:lang w:eastAsia="zh-CN"/>
              </w:rPr>
            </w:pPr>
            <w:r>
              <w:rPr>
                <w:rFonts w:hint="eastAsia"/>
                <w:lang w:eastAsia="zh-CN"/>
              </w:rPr>
              <w:t>Based on the comments, the proposal 2 is updated as:</w:t>
            </w:r>
          </w:p>
          <w:p w14:paraId="4A2E6497" w14:textId="50B90F16" w:rsidR="0092404D" w:rsidRDefault="00E5019B" w:rsidP="00B97FBA">
            <w:pPr>
              <w:spacing w:line="240" w:lineRule="auto"/>
              <w:ind w:leftChars="144" w:left="317"/>
              <w:rPr>
                <w:lang w:eastAsia="zh-CN"/>
              </w:rPr>
            </w:pPr>
            <w:r>
              <w:rPr>
                <w:b/>
                <w:lang w:eastAsia="zh-CN"/>
              </w:rPr>
              <w:t xml:space="preserve">Proposal 2: </w:t>
            </w:r>
            <w:r w:rsidR="000255F0">
              <w:rPr>
                <w:b/>
                <w:lang w:eastAsia="zh-CN"/>
              </w:rPr>
              <w:t xml:space="preserve">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00984A2A">
              <w:rPr>
                <w:b/>
                <w:sz w:val="20"/>
                <w:lang w:eastAsia="zh-CN"/>
              </w:rPr>
              <w:t>is supported</w:t>
            </w:r>
            <w:r>
              <w:rPr>
                <w:rFonts w:hint="eastAsia"/>
                <w:b/>
                <w:sz w:val="20"/>
                <w:lang w:eastAsia="zh-CN"/>
              </w:rPr>
              <w:t>, when 16-QAM is configured.</w:t>
            </w:r>
            <w:r w:rsidR="00984A2A">
              <w:rPr>
                <w:b/>
                <w:sz w:val="20"/>
                <w:lang w:eastAsia="zh-CN"/>
              </w:rPr>
              <w:t xml:space="preserve"> FFS on the offset.</w:t>
            </w:r>
          </w:p>
        </w:tc>
      </w:tr>
    </w:tbl>
    <w:p w14:paraId="1D594DCF" w14:textId="7F5F1893" w:rsidR="007216CC" w:rsidRDefault="007216CC">
      <w:pPr>
        <w:spacing w:line="240" w:lineRule="auto"/>
        <w:rPr>
          <w:lang w:eastAsia="zh-CN"/>
        </w:rPr>
      </w:pPr>
    </w:p>
    <w:p w14:paraId="060AC815" w14:textId="77777777" w:rsidR="007216CC" w:rsidRDefault="00ED2ABB">
      <w:pPr>
        <w:pStyle w:val="2"/>
        <w:rPr>
          <w:lang w:eastAsia="zh-CN"/>
        </w:rPr>
      </w:pPr>
      <w:r>
        <w:rPr>
          <w:lang w:eastAsia="zh-CN"/>
        </w:rPr>
        <w:t>Channel quality reporting</w:t>
      </w:r>
    </w:p>
    <w:p w14:paraId="66AA84D9" w14:textId="77777777" w:rsidR="007216CC" w:rsidRDefault="00ED2ABB">
      <w:pPr>
        <w:pStyle w:val="30"/>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af1"/>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lastRenderedPageBreak/>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宋体"/>
                      <w:lang w:val="en-US" w:eastAsia="zh-CN"/>
                    </w:rPr>
                  </w:pPr>
                  <w:r>
                    <w:rPr>
                      <w:rFonts w:eastAsia="宋体"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宋体"/>
                      <w:lang w:val="en-US" w:eastAsia="zh-CN"/>
                    </w:rPr>
                  </w:pPr>
                  <w:r>
                    <w:rPr>
                      <w:rFonts w:eastAsia="宋体"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宋体"/>
                      <w:lang w:val="en-US" w:eastAsia="zh-CN"/>
                    </w:rPr>
                  </w:pPr>
                  <w:r>
                    <w:rPr>
                      <w:rFonts w:eastAsia="宋体"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宋体"/>
                      <w:lang w:val="en-US" w:eastAsia="zh-CN"/>
                    </w:rPr>
                  </w:pPr>
                  <w:r>
                    <w:rPr>
                      <w:rFonts w:eastAsia="宋体"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宋体"/>
                      <w:lang w:val="en-US" w:eastAsia="zh-CN"/>
                    </w:rPr>
                  </w:pPr>
                  <w:r>
                    <w:rPr>
                      <w:rFonts w:eastAsia="宋体"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宋体"/>
                      <w:lang w:val="en-US" w:eastAsia="zh-CN"/>
                    </w:rPr>
                  </w:pPr>
                  <w:r>
                    <w:rPr>
                      <w:rFonts w:eastAsia="宋体"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宋体"/>
                      <w:lang w:val="en-US" w:eastAsia="zh-CN"/>
                    </w:rPr>
                  </w:pPr>
                  <w:r>
                    <w:rPr>
                      <w:rFonts w:eastAsia="宋体"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宋体"/>
                      <w:lang w:val="en-US" w:eastAsia="zh-CN"/>
                    </w:rPr>
                  </w:pPr>
                  <w:r>
                    <w:rPr>
                      <w:rFonts w:eastAsia="宋体"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宋体"/>
                      <w:lang w:val="en-US" w:eastAsia="zh-CN"/>
                    </w:rPr>
                  </w:pPr>
                  <w:r>
                    <w:rPr>
                      <w:rFonts w:eastAsia="宋体"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宋体"/>
                      <w:lang w:val="en-US" w:eastAsia="zh-CN"/>
                    </w:rPr>
                  </w:pPr>
                  <w:r>
                    <w:rPr>
                      <w:rFonts w:eastAsia="宋体"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宋体"/>
                      <w:lang w:val="en-US" w:eastAsia="zh-CN"/>
                    </w:rPr>
                  </w:pPr>
                  <w:r>
                    <w:rPr>
                      <w:rFonts w:eastAsia="宋体"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宋体"/>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宋体"/>
                      <w:lang w:val="en-US" w:eastAsia="zh-CN"/>
                    </w:rPr>
                  </w:pPr>
                  <w:r>
                    <w:rPr>
                      <w:rFonts w:eastAsia="宋体"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宋体"/>
                      <w:lang w:val="en-US" w:eastAsia="zh-CN"/>
                    </w:rPr>
                  </w:pPr>
                  <w:r>
                    <w:rPr>
                      <w:rFonts w:eastAsia="宋体"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宋体"/>
                      <w:lang w:val="en-US" w:eastAsia="zh-CN"/>
                    </w:rPr>
                  </w:pPr>
                  <w:r>
                    <w:rPr>
                      <w:rFonts w:eastAsia="宋体"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宋体"/>
                      <w:lang w:val="en-US" w:eastAsia="zh-CN"/>
                    </w:rPr>
                  </w:pPr>
                  <w:r>
                    <w:rPr>
                      <w:rFonts w:eastAsia="宋体"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宋体"/>
                      <w:lang w:val="en-US" w:eastAsia="zh-CN"/>
                    </w:rPr>
                  </w:pPr>
                  <w:r>
                    <w:rPr>
                      <w:rFonts w:eastAsia="宋体"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宋体"/>
                      <w:lang w:val="en-US" w:eastAsia="zh-CN"/>
                    </w:rPr>
                  </w:pPr>
                  <w:r>
                    <w:rPr>
                      <w:rFonts w:eastAsia="宋体"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宋体"/>
                      <w:lang w:val="en-US" w:eastAsia="zh-CN"/>
                    </w:rPr>
                  </w:pPr>
                  <w:r>
                    <w:rPr>
                      <w:rFonts w:eastAsia="宋体"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宋体"/>
                      <w:lang w:val="en-US" w:eastAsia="zh-CN"/>
                    </w:rPr>
                  </w:pPr>
                  <w:r>
                    <w:rPr>
                      <w:rFonts w:eastAsia="宋体"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宋体"/>
                      <w:lang w:val="en-US" w:eastAsia="zh-CN"/>
                    </w:rPr>
                  </w:pPr>
                  <w:r>
                    <w:rPr>
                      <w:rFonts w:eastAsia="宋体"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宋体"/>
                      <w:lang w:val="en-US" w:eastAsia="zh-CN"/>
                    </w:rPr>
                  </w:pPr>
                  <w:r>
                    <w:rPr>
                      <w:rFonts w:eastAsia="宋体"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宋体"/>
                      <w:lang w:val="en-US" w:eastAsia="zh-CN"/>
                    </w:rPr>
                  </w:pPr>
                  <w:r>
                    <w:rPr>
                      <w:rFonts w:eastAsia="宋体"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宋体"/>
                      <w:lang w:val="en-US" w:eastAsia="zh-CN"/>
                    </w:rPr>
                  </w:pPr>
                  <w:r>
                    <w:rPr>
                      <w:rFonts w:eastAsia="宋体"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宋体"/>
                      <w:lang w:val="en-US" w:eastAsia="zh-CN"/>
                    </w:rPr>
                  </w:pPr>
                  <w:r>
                    <w:rPr>
                      <w:rFonts w:eastAsia="宋体"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宋体"/>
                      <w:lang w:val="en-US" w:eastAsia="zh-CN"/>
                    </w:rPr>
                  </w:pPr>
                  <w:r>
                    <w:rPr>
                      <w:rFonts w:eastAsia="宋体"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宋体"/>
                      <w:lang w:val="en-US" w:eastAsia="zh-CN"/>
                    </w:rPr>
                  </w:pPr>
                  <w:r>
                    <w:rPr>
                      <w:rFonts w:eastAsia="宋体"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宋体"/>
                      <w:lang w:val="en-US" w:eastAsia="zh-CN"/>
                    </w:rPr>
                  </w:pPr>
                  <w:r>
                    <w:rPr>
                      <w:rFonts w:eastAsia="宋体"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宋体"/>
                      <w:lang w:val="en-US" w:eastAsia="zh-CN"/>
                    </w:rPr>
                  </w:pPr>
                  <w:r>
                    <w:rPr>
                      <w:rFonts w:eastAsia="宋体"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宋体"/>
                      <w:lang w:val="en-US" w:eastAsia="zh-CN"/>
                    </w:rPr>
                  </w:pPr>
                  <w:r>
                    <w:rPr>
                      <w:rFonts w:eastAsia="宋体"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宋体"/>
                      <w:lang w:val="en-US" w:eastAsia="zh-CN"/>
                    </w:rPr>
                  </w:pPr>
                  <w:r>
                    <w:rPr>
                      <w:rFonts w:eastAsia="宋体"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宋体"/>
                      <w:lang w:val="en-US" w:eastAsia="zh-CN"/>
                    </w:rPr>
                  </w:pPr>
                  <w:r>
                    <w:rPr>
                      <w:rFonts w:eastAsia="宋体"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宋体"/>
                      <w:lang w:val="en-US" w:eastAsia="zh-CN"/>
                    </w:rPr>
                  </w:pPr>
                  <w:r>
                    <w:rPr>
                      <w:rFonts w:eastAsia="宋体"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宋体"/>
                      <w:lang w:val="en-US" w:eastAsia="zh-CN"/>
                    </w:rPr>
                  </w:pPr>
                  <w:r>
                    <w:rPr>
                      <w:rFonts w:eastAsia="宋体"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lastRenderedPageBreak/>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af7"/>
              <w:numPr>
                <w:ilvl w:val="0"/>
                <w:numId w:val="19"/>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0D4D335" w14:textId="77777777" w:rsidR="007216CC" w:rsidRDefault="00ED2ABB">
            <w:pPr>
              <w:pStyle w:val="af7"/>
              <w:numPr>
                <w:ilvl w:val="0"/>
                <w:numId w:val="19"/>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3FB77251" w14:textId="77777777" w:rsidR="007216CC" w:rsidRDefault="00ED2ABB">
            <w:pPr>
              <w:rPr>
                <w:lang w:eastAsia="en-GB"/>
              </w:rPr>
            </w:pPr>
            <w:r>
              <w:rPr>
                <w:b/>
                <w:bCs/>
                <w:lang w:eastAsia="en-GB"/>
              </w:rPr>
              <w:lastRenderedPageBreak/>
              <w:t>Proposal 2: The eNB can configure, via higher-layer signalling,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r>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r>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r>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r>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r>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r>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r>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r>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r>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r>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r>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r>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r>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r>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r>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r>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lastRenderedPageBreak/>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af7"/>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af7"/>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af7"/>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r>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r>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r>
                    <w:rPr>
                      <w:color w:val="000000"/>
                      <w:sz w:val="20"/>
                      <w:szCs w:val="20"/>
                      <w:lang w:eastAsia="zh-CN"/>
                    </w:rPr>
                    <w:t>candidateRep-B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r>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r>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r>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r>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r>
                    <w:rPr>
                      <w:color w:val="000000"/>
                      <w:sz w:val="20"/>
                      <w:szCs w:val="20"/>
                      <w:lang w:eastAsia="zh-CN"/>
                    </w:rPr>
                    <w:lastRenderedPageBreak/>
                    <w:t>candidateRep-G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r>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r>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r>
                    <w:rPr>
                      <w:sz w:val="20"/>
                      <w:szCs w:val="20"/>
                      <w:lang w:eastAsia="zh-CN"/>
                    </w:rPr>
                    <w:t>candidateRep-J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r>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r>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r>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r>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r>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r>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r>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r>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r>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lastRenderedPageBreak/>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8"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8"/>
          </w:p>
          <w:p w14:paraId="0BCDDC04" w14:textId="77777777" w:rsidR="007216CC" w:rsidRDefault="00ED2ABB">
            <w:pPr>
              <w:pStyle w:val="Observation"/>
              <w:numPr>
                <w:ilvl w:val="0"/>
                <w:numId w:val="0"/>
              </w:numPr>
              <w:spacing w:line="240" w:lineRule="auto"/>
              <w:ind w:left="360" w:hanging="360"/>
            </w:pPr>
            <w:bookmarkStart w:id="19"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9"/>
          </w:p>
          <w:p w14:paraId="737E49DC" w14:textId="77777777" w:rsidR="007216CC" w:rsidRDefault="00ED2ABB">
            <w:pPr>
              <w:pStyle w:val="Observation"/>
              <w:numPr>
                <w:ilvl w:val="0"/>
                <w:numId w:val="21"/>
              </w:numPr>
              <w:spacing w:line="240" w:lineRule="auto"/>
            </w:pPr>
            <w:bookmarkStart w:id="20" w:name="_Toc86954055"/>
            <w:r>
              <w:t>The “CQI reporting definition” was agreed in RAN1# 104bis-e, whereas the down-selection including Option1, Option2, and Option 3 was agreed in RAN1# 105-e upon knowing the “CQI reporting definition”.</w:t>
            </w:r>
            <w:bookmarkEnd w:id="20"/>
            <w:r>
              <w:t xml:space="preserve"> </w:t>
            </w:r>
          </w:p>
          <w:p w14:paraId="4EE476E8" w14:textId="77777777" w:rsidR="007216CC" w:rsidRDefault="00ED2ABB">
            <w:pPr>
              <w:pStyle w:val="Observation"/>
              <w:numPr>
                <w:ilvl w:val="0"/>
                <w:numId w:val="21"/>
              </w:numPr>
              <w:spacing w:line="240" w:lineRule="auto"/>
            </w:pPr>
            <w:bookmarkStart w:id="21" w:name="_Toc86954056"/>
            <w:r>
              <w:lastRenderedPageBreak/>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2" w:name="_Toc86954057"/>
            <w:bookmarkEnd w:id="21"/>
          </w:p>
          <w:p w14:paraId="2DB27108" w14:textId="77777777" w:rsidR="007216CC" w:rsidRDefault="00ED2ABB">
            <w:pPr>
              <w:pStyle w:val="Observation"/>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2"/>
          </w:p>
          <w:p w14:paraId="31A71613" w14:textId="77777777" w:rsidR="007216CC" w:rsidRDefault="00ED2ABB">
            <w:pPr>
              <w:pStyle w:val="Observation"/>
              <w:numPr>
                <w:ilvl w:val="0"/>
                <w:numId w:val="0"/>
              </w:numPr>
              <w:spacing w:line="240" w:lineRule="auto"/>
              <w:ind w:left="360" w:hanging="360"/>
            </w:pPr>
            <w:bookmarkStart w:id="23" w:name="_Toc86954058"/>
            <w:r>
              <w:t>Observation 4 The CQI mapping table in TS 36.133 clause 9.1.22.15 currently utilizes 13 out of 16 entries [5], however due that Option 1 will utilize more than three reports for 16-QAM it be necessary to override some legacy QPSK entries.</w:t>
            </w:r>
            <w:bookmarkEnd w:id="23"/>
          </w:p>
          <w:p w14:paraId="7206AC65" w14:textId="77777777" w:rsidR="007216CC" w:rsidRDefault="00ED2ABB">
            <w:pPr>
              <w:pStyle w:val="Observation"/>
              <w:numPr>
                <w:ilvl w:val="0"/>
                <w:numId w:val="0"/>
              </w:numPr>
              <w:spacing w:line="240" w:lineRule="auto"/>
              <w:ind w:left="360" w:hanging="360"/>
            </w:pPr>
            <w:bookmarkStart w:id="24"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4"/>
          </w:p>
          <w:p w14:paraId="05108233" w14:textId="77777777" w:rsidR="007216CC" w:rsidRDefault="00ED2ABB">
            <w:pPr>
              <w:pStyle w:val="Observation"/>
              <w:numPr>
                <w:ilvl w:val="0"/>
                <w:numId w:val="0"/>
              </w:numPr>
              <w:spacing w:line="240" w:lineRule="auto"/>
              <w:ind w:left="360" w:hanging="360"/>
            </w:pPr>
            <w:bookmarkStart w:id="25" w:name="_Toc86954060"/>
            <w:r>
              <w:t>Observation 6 One possible way of overriding legacy QPSK entries and still having them available when required, is through interpreting Table 9.1.22.15-1 as per legacy or as per Rel-17 depending on Rmax.</w:t>
            </w:r>
            <w:bookmarkEnd w:id="25"/>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6"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6"/>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2"/>
            <w:r>
              <w:rPr>
                <w:rFonts w:ascii="Arial" w:hAnsi="Arial"/>
                <w:b/>
                <w:bCs/>
                <w:sz w:val="20"/>
                <w:szCs w:val="20"/>
                <w:lang w:val="en-GB" w:eastAsia="zh-CN"/>
              </w:rPr>
              <w:t>A UE configured with 16-QAM should in principle be configured with a small Rmax (e.g., Rmax&lt;= 16).</w:t>
            </w:r>
            <w:bookmarkEnd w:id="27"/>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8"/>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r>
                    <w:rPr>
                      <w:sz w:val="14"/>
                      <w:szCs w:val="16"/>
                      <w:lang w:eastAsia="ja-JP"/>
                    </w:rPr>
                    <w:lastRenderedPageBreak/>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9"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9"/>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r>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sidRPr="00E15349">
        <w:rPr>
          <w:lang w:eastAsia="zh-CN"/>
        </w:rPr>
        <w:t>Companies (Nokia, NSB, QC, Lenovo, Moto, Ericsson) support or can accept a combination of NPDCCH repetitions (legacy entries) and NPDSCH MCS. And companies (Huawei, HiSilicon, ZTE, Sanechips, Nokia, NSB, Lenovo, Moto, MTK) support or can accept a table with only NPDSCH MCS.</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1DCB71A3"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192CB321" w14:textId="20D34080"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2A56D6" w14:paraId="566E73BD" w14:textId="77777777" w:rsidTr="003B7605">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2A56D6" w:rsidRDefault="002A56D6" w:rsidP="002A56D6">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2A56D6" w:rsidRDefault="002A56D6" w:rsidP="002A56D6">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2A56D6" w:rsidRPr="00DD67D7" w:rsidRDefault="002A56D6" w:rsidP="002A56D6">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B504DEC" w14:textId="154D32F1"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2CA4374" w14:textId="42F0EF36"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2A56D6" w:rsidRDefault="002A56D6" w:rsidP="002A56D6">
            <w:pPr>
              <w:pStyle w:val="TAC"/>
              <w:rPr>
                <w:rFonts w:eastAsia="MS Mincho"/>
                <w:sz w:val="14"/>
                <w:szCs w:val="16"/>
                <w:lang w:eastAsia="ja-JP"/>
              </w:rPr>
            </w:pPr>
            <w:r>
              <w:rPr>
                <w:rFonts w:eastAsia="MS Mincho" w:hint="eastAsia"/>
                <w:sz w:val="14"/>
                <w:szCs w:val="16"/>
                <w:lang w:eastAsia="ja-JP"/>
              </w:rPr>
              <w:t>-3.6</w:t>
            </w:r>
          </w:p>
        </w:tc>
      </w:tr>
      <w:tr w:rsidR="002A56D6" w14:paraId="039D9C43" w14:textId="77777777" w:rsidTr="001C72ED">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2A56D6" w:rsidRDefault="002A56D6" w:rsidP="002A56D6">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2A56D6" w:rsidRDefault="002A56D6" w:rsidP="002A56D6">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478EF512" w:rsidR="002A56D6" w:rsidRPr="00DD67D7" w:rsidRDefault="00B51475" w:rsidP="002A56D6">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2A56D6">
              <w:rPr>
                <w:rFonts w:eastAsia="MS Mincho" w:hint="eastAsia"/>
                <w:color w:val="AEAAAA" w:themeColor="background2" w:themeShade="BF"/>
                <w:sz w:val="14"/>
                <w:szCs w:val="16"/>
                <w:lang w:eastAsia="ja-JP"/>
              </w:rPr>
              <w:t xml:space="preserve">PSK (TBS index </w:t>
            </w:r>
            <w:r w:rsidR="002A56D6">
              <w:rPr>
                <w:rFonts w:eastAsia="MS Mincho"/>
                <w:color w:val="AEAAAA" w:themeColor="background2" w:themeShade="BF"/>
                <w:sz w:val="14"/>
                <w:szCs w:val="16"/>
                <w:lang w:eastAsia="ja-JP"/>
              </w:rPr>
              <w:t>0</w:t>
            </w:r>
            <w:r w:rsidR="002A56D6">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55D87" w14:textId="79E9D50A"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1171BF17" w14:textId="73E9007A" w:rsidR="002A56D6" w:rsidRPr="00DD67D7" w:rsidRDefault="002A56D6" w:rsidP="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0.157</w:t>
            </w:r>
            <w:r w:rsidR="00DD67D7" w:rsidRPr="00DD67D7">
              <w:rPr>
                <w:rFonts w:eastAsia="MS Mincho"/>
                <w:color w:val="AEAAAA" w:themeColor="background2" w:themeShade="BF"/>
                <w:sz w:val="14"/>
                <w:szCs w:val="16"/>
                <w:lang w:eastAsia="ja-JP"/>
              </w:rPr>
              <w:t>9</w:t>
            </w: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2A56D6" w:rsidRDefault="002A56D6" w:rsidP="002A56D6">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44F0452B"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2</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6F7AC6C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C957F8E" w14:textId="4CC44D18"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4B5E7D9C"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4</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11663272"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D05B95C" w14:textId="063DA76B"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0B55DF25"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8</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490EDB1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3E51BCB" w14:textId="59F6D146"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50440CDE" w:rsidR="007216CC" w:rsidRPr="005A0682" w:rsidRDefault="00BA3BBD" w:rsidP="00BA3BBD">
      <w:pPr>
        <w:spacing w:line="240" w:lineRule="auto"/>
        <w:ind w:leftChars="451" w:left="992"/>
        <w:rPr>
          <w:sz w:val="20"/>
          <w:lang w:eastAsia="zh-CN"/>
        </w:rPr>
      </w:pPr>
      <w:r w:rsidRPr="005A0682">
        <w:rPr>
          <w:rFonts w:hint="eastAsia"/>
          <w:sz w:val="20"/>
          <w:lang w:eastAsia="zh-CN"/>
        </w:rPr>
        <w:t>N</w:t>
      </w:r>
      <w:r w:rsidRPr="005A0682">
        <w:rPr>
          <w:sz w:val="20"/>
          <w:lang w:eastAsia="zh-CN"/>
        </w:rPr>
        <w:t xml:space="preserve">ote: </w:t>
      </w:r>
      <w:r w:rsidR="0085069E">
        <w:rPr>
          <w:sz w:val="20"/>
          <w:lang w:eastAsia="zh-CN"/>
        </w:rPr>
        <w:t xml:space="preserve">The (TBS index X) and SNR are just for information, based on standalone deployment. They will be </w:t>
      </w:r>
      <w:r w:rsidR="003E7955">
        <w:rPr>
          <w:sz w:val="20"/>
          <w:lang w:eastAsia="zh-CN"/>
        </w:rPr>
        <w:t>removed once it’s agreed.</w:t>
      </w:r>
    </w:p>
    <w:p w14:paraId="0C6DDCE4" w14:textId="77777777" w:rsidR="007216CC" w:rsidRDefault="00ED2ABB">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14:paraId="6DBFCE1F" w14:textId="46D5C62D" w:rsidR="007216CC" w:rsidRDefault="00ED2ABB">
      <w:pPr>
        <w:spacing w:line="240" w:lineRule="auto"/>
        <w:rPr>
          <w:lang w:eastAsia="zh-CN"/>
        </w:rPr>
      </w:pPr>
      <w:r>
        <w:rPr>
          <w:lang w:eastAsia="zh-CN"/>
        </w:rPr>
        <w:t xml:space="preserve">Alt 2 (Variant of option 3): </w:t>
      </w:r>
      <w:r w:rsidR="00546757">
        <w:rPr>
          <w:lang w:eastAsia="zh-CN"/>
        </w:rPr>
        <w:t>based on</w:t>
      </w:r>
      <w:r>
        <w:rPr>
          <w:rFonts w:hint="eastAsia"/>
          <w:lang w:eastAsia="zh-CN"/>
        </w:rPr>
        <w:t xml:space="preserve">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228"/>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rsidTr="00693D58">
        <w:trPr>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7017" w:type="dxa"/>
            <w:gridSpan w:val="5"/>
          </w:tcPr>
          <w:p w14:paraId="36376A04" w14:textId="03E8C6FE" w:rsidR="007216CC" w:rsidRDefault="00693D58">
            <w:pPr>
              <w:keepNext/>
              <w:keepLines/>
              <w:spacing w:after="0"/>
              <w:jc w:val="center"/>
              <w:rPr>
                <w:rFonts w:ascii="Arial" w:hAnsi="Arial"/>
                <w:sz w:val="18"/>
              </w:rPr>
            </w:pPr>
            <w:r>
              <w:rPr>
                <w:rFonts w:ascii="Arial" w:hAnsi="Arial" w:hint="eastAsia"/>
                <w:sz w:val="18"/>
              </w:rPr>
              <w:t>Out of range</w:t>
            </w: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tcMar>
              <w:top w:w="0" w:type="dxa"/>
              <w:left w:w="108" w:type="dxa"/>
              <w:bottom w:w="0" w:type="dxa"/>
              <w:right w:w="108" w:type="dxa"/>
            </w:tcMar>
          </w:tcPr>
          <w:p w14:paraId="13B11E80" w14:textId="36CBB238"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5CCF044A"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tcMar>
              <w:top w:w="0" w:type="dxa"/>
              <w:left w:w="108" w:type="dxa"/>
              <w:bottom w:w="0" w:type="dxa"/>
              <w:right w:w="108" w:type="dxa"/>
            </w:tcMar>
          </w:tcPr>
          <w:p w14:paraId="3367C723" w14:textId="4DF0D4E9"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62522635"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tcMar>
              <w:top w:w="0" w:type="dxa"/>
              <w:left w:w="108" w:type="dxa"/>
              <w:bottom w:w="0" w:type="dxa"/>
              <w:right w:w="108" w:type="dxa"/>
            </w:tcMar>
          </w:tcPr>
          <w:p w14:paraId="664C7B1D" w14:textId="3F90532C"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23431653" w:rsidR="007216CC" w:rsidRDefault="00CE36E9">
            <w:pPr>
              <w:keepNext/>
              <w:keepLines/>
              <w:spacing w:after="0"/>
              <w:jc w:val="center"/>
              <w:rPr>
                <w:rFonts w:ascii="Arial" w:hAnsi="Arial"/>
                <w:sz w:val="18"/>
              </w:rPr>
            </w:pPr>
            <w:r>
              <w:rPr>
                <w:rFonts w:ascii="Arial" w:hAnsi="Arial"/>
                <w:sz w:val="18"/>
              </w:rPr>
              <w:t>208</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02B038B9" w14:textId="77777777" w:rsidR="003E7955" w:rsidRPr="003E7955" w:rsidRDefault="003E7955" w:rsidP="00931C20">
      <w:pPr>
        <w:spacing w:line="240" w:lineRule="auto"/>
        <w:ind w:leftChars="257" w:left="565"/>
        <w:rPr>
          <w:lang w:eastAsia="zh-CN"/>
        </w:rPr>
      </w:pPr>
      <w:r w:rsidRPr="003E7955">
        <w:rPr>
          <w:rFonts w:hint="eastAsia"/>
          <w:lang w:eastAsia="zh-CN"/>
        </w:rPr>
        <w:t>N</w:t>
      </w:r>
      <w:r w:rsidRPr="003E7955">
        <w:rPr>
          <w:lang w:eastAsia="zh-CN"/>
        </w:rPr>
        <w:t>ote: The (TBS index X) and SNR are just for information, based on standalone deployment. They will be removed once it’s agreed.</w:t>
      </w: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af7"/>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af7"/>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af1"/>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For the switching of CQI tables, using predefined conditions, e.g., Rmax, to switch tables will limit the flexibility of switching between legacy and new table, and also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enovo, MotoM</w:t>
            </w:r>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lang w:eastAsia="zh-CN"/>
              </w:rPr>
            </w:pPr>
            <w:r>
              <w:rPr>
                <w:lang w:eastAsia="zh-CN"/>
              </w:rPr>
              <w:t>We are OK with either options. But here we should consider the CQI table switching for different channel condition.</w:t>
            </w:r>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r w:rsidR="00D95729" w14:paraId="2EAB8551" w14:textId="77777777">
        <w:tc>
          <w:tcPr>
            <w:tcW w:w="1696" w:type="dxa"/>
          </w:tcPr>
          <w:p w14:paraId="628A0030" w14:textId="2A3970C4" w:rsidR="00D95729" w:rsidRDefault="00D95729">
            <w:pPr>
              <w:spacing w:line="240" w:lineRule="auto"/>
              <w:rPr>
                <w:lang w:eastAsia="zh-CN"/>
              </w:rPr>
            </w:pPr>
            <w:r>
              <w:rPr>
                <w:rFonts w:hint="eastAsia"/>
                <w:lang w:eastAsia="zh-CN"/>
              </w:rPr>
              <w:t>M</w:t>
            </w:r>
            <w:r>
              <w:rPr>
                <w:lang w:eastAsia="zh-CN"/>
              </w:rPr>
              <w:t>TK</w:t>
            </w:r>
          </w:p>
        </w:tc>
        <w:tc>
          <w:tcPr>
            <w:tcW w:w="7611" w:type="dxa"/>
          </w:tcPr>
          <w:p w14:paraId="63362162" w14:textId="7DD61558" w:rsidR="00D95729" w:rsidRDefault="00D95729">
            <w:pPr>
              <w:spacing w:line="240" w:lineRule="auto"/>
              <w:rPr>
                <w:lang w:eastAsia="zh-CN"/>
              </w:rPr>
            </w:pPr>
            <w:r>
              <w:rPr>
                <w:rFonts w:hint="eastAsia"/>
                <w:lang w:eastAsia="zh-CN"/>
              </w:rPr>
              <w:t>W</w:t>
            </w:r>
            <w:r>
              <w:rPr>
                <w:lang w:eastAsia="zh-CN"/>
              </w:rPr>
              <w:t xml:space="preserve">e prefer Alt2. </w:t>
            </w:r>
            <w:r w:rsidR="00045A6B">
              <w:rPr>
                <w:lang w:eastAsia="zh-CN"/>
              </w:rPr>
              <w:t xml:space="preserve">As we know </w:t>
            </w:r>
            <w:r>
              <w:rPr>
                <w:lang w:eastAsia="zh-CN"/>
              </w:rPr>
              <w:t xml:space="preserve">16QAM is intended for high SNR scenarios which is different from Legacy working scenarios, NPDCCH repetition indication is unnecessary for the 16QAM specific CQI table. </w:t>
            </w:r>
            <w:r w:rsidR="00045A6B">
              <w:rPr>
                <w:lang w:eastAsia="zh-CN"/>
              </w:rPr>
              <w:t>And i</w:t>
            </w:r>
            <w:r>
              <w:rPr>
                <w:lang w:eastAsia="zh-CN"/>
              </w:rPr>
              <w:t xml:space="preserve">t’s a little bit weird to put a copy of 1~32 repetition into the new CQI table because UEs could use legacy CQI table to report all repetitions under lower SNR condition. Regarding the switching between legacy and new CQI table, we think it’s better to let UEs autonomously </w:t>
            </w:r>
            <w:r w:rsidR="00045A6B">
              <w:rPr>
                <w:lang w:eastAsia="zh-CN"/>
              </w:rPr>
              <w:t xml:space="preserve">to </w:t>
            </w:r>
            <w:r>
              <w:rPr>
                <w:lang w:eastAsia="zh-CN"/>
              </w:rPr>
              <w:t xml:space="preserve">decide </w:t>
            </w:r>
            <w:r w:rsidR="00045A6B">
              <w:rPr>
                <w:lang w:eastAsia="zh-CN"/>
              </w:rPr>
              <w:t xml:space="preserve">seeing that UEs know the downlink channel status </w:t>
            </w:r>
            <w:r w:rsidR="00DE3CB0">
              <w:rPr>
                <w:lang w:eastAsia="zh-CN"/>
              </w:rPr>
              <w:t>better</w:t>
            </w:r>
            <w:r w:rsidR="00045A6B">
              <w:rPr>
                <w:lang w:eastAsia="zh-CN"/>
              </w:rPr>
              <w:t xml:space="preserve"> than network. One bit </w:t>
            </w:r>
            <w:r w:rsidR="00DE3CB0">
              <w:rPr>
                <w:lang w:eastAsia="zh-CN"/>
              </w:rPr>
              <w:t>might be</w:t>
            </w:r>
            <w:r w:rsidR="00045A6B">
              <w:rPr>
                <w:lang w:eastAsia="zh-CN"/>
              </w:rPr>
              <w:t xml:space="preserve"> expected in MAC CE to distinguish two tables, details leave to RAN2. </w:t>
            </w:r>
          </w:p>
        </w:tc>
      </w:tr>
      <w:tr w:rsidR="00216924" w14:paraId="38CFB1D9" w14:textId="77777777">
        <w:tc>
          <w:tcPr>
            <w:tcW w:w="1696" w:type="dxa"/>
          </w:tcPr>
          <w:p w14:paraId="69BE1E5E" w14:textId="7A2F1230" w:rsidR="00216924" w:rsidRDefault="00216924" w:rsidP="00216924">
            <w:pPr>
              <w:spacing w:line="240" w:lineRule="auto"/>
              <w:rPr>
                <w:lang w:eastAsia="zh-CN"/>
              </w:rPr>
            </w:pPr>
            <w:r>
              <w:t>Huawei, HiSilicon</w:t>
            </w:r>
          </w:p>
        </w:tc>
        <w:tc>
          <w:tcPr>
            <w:tcW w:w="7611" w:type="dxa"/>
          </w:tcPr>
          <w:p w14:paraId="3D9FDC35" w14:textId="6861C8D7" w:rsidR="00216924" w:rsidRDefault="00216924" w:rsidP="00216924">
            <w:pPr>
              <w:spacing w:line="240" w:lineRule="auto"/>
              <w:rPr>
                <w:lang w:eastAsia="zh-CN"/>
              </w:rPr>
            </w:pPr>
            <w:r>
              <w:rPr>
                <w:lang w:eastAsia="zh-CN"/>
              </w:rPr>
              <w:t>We are OK with Alt.2. We do not see any additional benefits in Alt.1 compared with Alt.2. In the high SNR range for 16QAM, the designed CQI states should be targeted for NPDSCH BLER 10% and there is no need to cover NPDCCH with repetitions(&gt;1).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Rmax will limit the flexibility and it is up to MAC command to do this.</w:t>
            </w:r>
          </w:p>
        </w:tc>
      </w:tr>
      <w:tr w:rsidR="00CE0654" w14:paraId="1FF4A2A1" w14:textId="77777777">
        <w:tc>
          <w:tcPr>
            <w:tcW w:w="1696" w:type="dxa"/>
          </w:tcPr>
          <w:p w14:paraId="65C412E7" w14:textId="0291499A" w:rsidR="00CE0654" w:rsidRDefault="00CE0654" w:rsidP="00216924">
            <w:pPr>
              <w:spacing w:line="240" w:lineRule="auto"/>
            </w:pPr>
            <w:r>
              <w:t>NordicSemi</w:t>
            </w:r>
          </w:p>
        </w:tc>
        <w:tc>
          <w:tcPr>
            <w:tcW w:w="7611" w:type="dxa"/>
          </w:tcPr>
          <w:p w14:paraId="2E161371" w14:textId="1F182F50" w:rsidR="00CE0654" w:rsidRDefault="00CE0654" w:rsidP="00216924">
            <w:pPr>
              <w:spacing w:line="240" w:lineRule="auto"/>
              <w:rPr>
                <w:lang w:eastAsia="zh-CN"/>
              </w:rPr>
            </w:pPr>
            <w:r>
              <w:rPr>
                <w:lang w:eastAsia="zh-CN"/>
              </w:rPr>
              <w:t>We prefer Alt1. It provides larger SNR range so that switching between the legacy and the new table are not needed so often.</w:t>
            </w:r>
          </w:p>
        </w:tc>
      </w:tr>
      <w:tr w:rsidR="007279FA" w14:paraId="68D4E389" w14:textId="77777777">
        <w:tc>
          <w:tcPr>
            <w:tcW w:w="1696" w:type="dxa"/>
          </w:tcPr>
          <w:p w14:paraId="37EE3C43" w14:textId="163E285A" w:rsidR="007279FA" w:rsidRDefault="007279FA" w:rsidP="00216924">
            <w:pPr>
              <w:spacing w:line="240" w:lineRule="auto"/>
            </w:pPr>
            <w:r>
              <w:t>Nokia, NSB</w:t>
            </w:r>
          </w:p>
        </w:tc>
        <w:tc>
          <w:tcPr>
            <w:tcW w:w="7611" w:type="dxa"/>
          </w:tcPr>
          <w:p w14:paraId="498AB1D4" w14:textId="162CEECD" w:rsidR="007279FA" w:rsidRDefault="007279FA" w:rsidP="00216924">
            <w:pPr>
              <w:spacing w:line="240" w:lineRule="auto"/>
              <w:rPr>
                <w:lang w:eastAsia="zh-CN"/>
              </w:rPr>
            </w:pPr>
            <w:r>
              <w:rPr>
                <w:lang w:eastAsia="zh-CN"/>
              </w:rPr>
              <w:t xml:space="preserve">We are fine with both options. We have a slight preference </w:t>
            </w:r>
            <w:r w:rsidR="002C5726">
              <w:rPr>
                <w:lang w:eastAsia="zh-CN"/>
              </w:rPr>
              <w:t>for Alt. 2</w:t>
            </w:r>
            <w:r w:rsidR="00634958">
              <w:rPr>
                <w:lang w:eastAsia="zh-CN"/>
              </w:rPr>
              <w:t xml:space="preserve"> but are OK to go with </w:t>
            </w:r>
            <w:r w:rsidR="00225C80">
              <w:rPr>
                <w:lang w:eastAsia="zh-CN"/>
              </w:rPr>
              <w:t>Alt. 1 based on the discussions we had at the last m</w:t>
            </w:r>
            <w:r w:rsidR="00C52AC4">
              <w:rPr>
                <w:lang w:eastAsia="zh-CN"/>
              </w:rPr>
              <w:t>eeting</w:t>
            </w:r>
            <w:r w:rsidR="002C5726">
              <w:rPr>
                <w:lang w:eastAsia="zh-CN"/>
              </w:rPr>
              <w:t>.</w:t>
            </w:r>
            <w:r w:rsidR="006A1DBA">
              <w:rPr>
                <w:lang w:eastAsia="zh-CN"/>
              </w:rPr>
              <w:t xml:space="preserve"> It would be good to discuss </w:t>
            </w:r>
            <w:r w:rsidR="000E3477">
              <w:rPr>
                <w:lang w:eastAsia="zh-CN"/>
              </w:rPr>
              <w:t xml:space="preserve">how table selection/selection is done as this could have an impact on the </w:t>
            </w:r>
            <w:r w:rsidR="0018412C">
              <w:rPr>
                <w:lang w:eastAsia="zh-CN"/>
              </w:rPr>
              <w:t>preference.</w:t>
            </w:r>
          </w:p>
        </w:tc>
      </w:tr>
      <w:tr w:rsidR="00990902" w14:paraId="7B2483C7" w14:textId="77777777">
        <w:tc>
          <w:tcPr>
            <w:tcW w:w="1696" w:type="dxa"/>
          </w:tcPr>
          <w:p w14:paraId="153278BC" w14:textId="42E05DBB" w:rsidR="00990902" w:rsidRDefault="00990902" w:rsidP="00216924">
            <w:pPr>
              <w:spacing w:line="240" w:lineRule="auto"/>
            </w:pPr>
            <w:r>
              <w:rPr>
                <w:rFonts w:hint="eastAsia"/>
              </w:rPr>
              <w:t>Moderator</w:t>
            </w:r>
          </w:p>
        </w:tc>
        <w:tc>
          <w:tcPr>
            <w:tcW w:w="7611" w:type="dxa"/>
          </w:tcPr>
          <w:p w14:paraId="35F7A4A5" w14:textId="77777777" w:rsidR="00990902" w:rsidRDefault="00990902" w:rsidP="00216924">
            <w:pPr>
              <w:spacing w:line="240" w:lineRule="auto"/>
              <w:rPr>
                <w:lang w:eastAsia="zh-CN"/>
              </w:rPr>
            </w:pPr>
            <w:r>
              <w:rPr>
                <w:lang w:eastAsia="zh-CN"/>
              </w:rPr>
              <w:t>I</w:t>
            </w:r>
            <w:r>
              <w:rPr>
                <w:rFonts w:hint="eastAsia"/>
                <w:lang w:eastAsia="zh-CN"/>
              </w:rPr>
              <w:t xml:space="preserve">t </w:t>
            </w:r>
            <w:r>
              <w:rPr>
                <w:lang w:eastAsia="zh-CN"/>
              </w:rPr>
              <w:t>seems the TBS index 0 and 2 are just for BPSK in legacy, so the two tables are updated to be aligned with legacy on these two TBS. It can be changed back if there’s concern from companies.</w:t>
            </w:r>
          </w:p>
          <w:p w14:paraId="4A85DE5F" w14:textId="1B10A3D6" w:rsidR="00990902" w:rsidRDefault="00AC0295" w:rsidP="00216924">
            <w:pPr>
              <w:spacing w:line="240" w:lineRule="auto"/>
              <w:rPr>
                <w:lang w:eastAsia="zh-CN"/>
              </w:rPr>
            </w:pPr>
            <w:r>
              <w:rPr>
                <w:rFonts w:hint="eastAsia"/>
                <w:lang w:eastAsia="zh-CN"/>
              </w:rPr>
              <w:t>On the following comment,</w:t>
            </w:r>
            <w:r>
              <w:rPr>
                <w:lang w:eastAsia="zh-CN"/>
              </w:rPr>
              <w:t xml:space="preserve"> the final table will just have coding rate and efficiency, the TBS index will be removed from the table once it’s agreed, as those in current </w:t>
            </w:r>
            <w:r>
              <w:rPr>
                <w:lang w:eastAsia="zh-CN"/>
              </w:rPr>
              <w:lastRenderedPageBreak/>
              <w:t>36.213.</w:t>
            </w:r>
            <w:r w:rsidR="0068414A">
              <w:rPr>
                <w:lang w:eastAsia="zh-CN"/>
              </w:rPr>
              <w:t xml:space="preserve"> So for inband deployment, </w:t>
            </w:r>
            <w:r w:rsidR="007F38C9" w:rsidRPr="007F38C9">
              <w:rPr>
                <w:lang w:eastAsia="zh-CN"/>
              </w:rPr>
              <w:t>candidateRep-K</w:t>
            </w:r>
            <w:r w:rsidR="007F38C9">
              <w:rPr>
                <w:lang w:eastAsia="zh-CN"/>
              </w:rPr>
              <w:t xml:space="preserve"> would corresponds to TBS index 10, and </w:t>
            </w:r>
            <w:r w:rsidR="007F38C9" w:rsidRPr="007F38C9">
              <w:rPr>
                <w:lang w:eastAsia="zh-CN"/>
              </w:rPr>
              <w:t>candidateRep-O</w:t>
            </w:r>
            <w:r w:rsidR="007F38C9">
              <w:rPr>
                <w:lang w:eastAsia="zh-CN"/>
              </w:rPr>
              <w:t xml:space="preserve"> would correspond to TBS index 16. </w:t>
            </w:r>
          </w:p>
          <w:p w14:paraId="7683B458" w14:textId="35AA7D65" w:rsidR="00AC0295" w:rsidRPr="00AC0295" w:rsidRDefault="00AC0295" w:rsidP="00AC0295">
            <w:pPr>
              <w:spacing w:line="240" w:lineRule="auto"/>
              <w:ind w:leftChars="200" w:left="440"/>
              <w:rPr>
                <w:i/>
                <w:lang w:eastAsia="zh-CN"/>
              </w:rPr>
            </w:pPr>
            <w:r w:rsidRPr="00AC0295">
              <w:rPr>
                <w:i/>
                <w:lang w:eastAsia="zh-CN"/>
              </w:rPr>
              <w:t xml:space="preserve">Having said that, one initial comment on the so called “Alt 1 (Variant of option 1)” is that for the in-band deployments there seem to be only two report entries available (i.e., </w:t>
            </w:r>
            <w:r w:rsidRPr="00AC0295">
              <w:rPr>
                <w:i/>
                <w:sz w:val="14"/>
                <w:szCs w:val="16"/>
                <w:lang w:eastAsia="ja-JP"/>
              </w:rPr>
              <w:t>candidateRep-K</w:t>
            </w:r>
            <w:r w:rsidRPr="00AC0295">
              <w:rPr>
                <w:i/>
                <w:lang w:eastAsia="zh-CN"/>
              </w:rPr>
              <w:t xml:space="preserve"> and </w:t>
            </w:r>
            <w:r w:rsidRPr="00AC0295">
              <w:rPr>
                <w:i/>
                <w:sz w:val="14"/>
                <w:szCs w:val="16"/>
                <w:lang w:eastAsia="ja-JP"/>
              </w:rPr>
              <w:t>candidateRep-L</w:t>
            </w:r>
            <w:r w:rsidRPr="00AC0295">
              <w:rPr>
                <w:i/>
                <w:lang w:eastAsia="zh-CN"/>
              </w:rPr>
              <w:t>), isn’t so that one concern with other option was the few entries available?</w:t>
            </w:r>
          </w:p>
          <w:p w14:paraId="14810D5A" w14:textId="385B2BCA" w:rsidR="00AC0295" w:rsidRDefault="0077714E" w:rsidP="00216924">
            <w:pPr>
              <w:spacing w:line="240" w:lineRule="auto"/>
              <w:rPr>
                <w:lang w:eastAsia="zh-CN"/>
              </w:rPr>
            </w:pPr>
            <w:r>
              <w:rPr>
                <w:rFonts w:hint="eastAsia"/>
                <w:lang w:eastAsia="zh-CN"/>
              </w:rPr>
              <w:t xml:space="preserve">Now the </w:t>
            </w:r>
            <w:r>
              <w:rPr>
                <w:lang w:eastAsia="zh-CN"/>
              </w:rPr>
              <w:t>situation is as following</w:t>
            </w:r>
            <w:r w:rsidR="00912696">
              <w:rPr>
                <w:lang w:eastAsia="zh-CN"/>
              </w:rPr>
              <w:t>, there’s no obvious majority</w:t>
            </w:r>
            <w:r w:rsidR="00F71076">
              <w:rPr>
                <w:lang w:eastAsia="zh-CN"/>
              </w:rPr>
              <w:t>. As CQI table is for indication of SNR measured at UE side, both alternatives could satisfy this requirement with generally uniformly distributed SNR, thus both could work. Therefore,</w:t>
            </w:r>
            <w:r w:rsidR="00912696">
              <w:rPr>
                <w:lang w:eastAsia="zh-CN"/>
              </w:rPr>
              <w:t xml:space="preserve"> it is proposed to down-select in GTW session.</w:t>
            </w:r>
          </w:p>
          <w:p w14:paraId="6D8881C7" w14:textId="7C223EAD" w:rsidR="0077714E" w:rsidRDefault="0077714E" w:rsidP="0077714E">
            <w:pPr>
              <w:pStyle w:val="af7"/>
              <w:numPr>
                <w:ilvl w:val="0"/>
                <w:numId w:val="26"/>
              </w:numPr>
              <w:spacing w:line="240" w:lineRule="auto"/>
            </w:pPr>
            <w:r>
              <w:rPr>
                <w:rFonts w:hint="eastAsia"/>
              </w:rPr>
              <w:t>Alt 1</w:t>
            </w:r>
          </w:p>
          <w:p w14:paraId="48CB5F45" w14:textId="19217BE7" w:rsidR="0077714E" w:rsidRDefault="0077714E" w:rsidP="0077714E">
            <w:pPr>
              <w:pStyle w:val="af7"/>
              <w:numPr>
                <w:ilvl w:val="1"/>
                <w:numId w:val="26"/>
              </w:numPr>
              <w:spacing w:line="240" w:lineRule="auto"/>
            </w:pPr>
            <w:r>
              <w:rPr>
                <w:rFonts w:hint="eastAsia"/>
              </w:rPr>
              <w:t xml:space="preserve">Ericsson, </w:t>
            </w:r>
            <w:r>
              <w:t xml:space="preserve">Qualcomm, </w:t>
            </w:r>
            <w:r w:rsidRPr="0077714E">
              <w:t>Lenovo, MotoM</w:t>
            </w:r>
            <w:r>
              <w:t xml:space="preserve">, NordicSemi, </w:t>
            </w:r>
            <w:r w:rsidRPr="0077714E">
              <w:t>Nokia, NSB</w:t>
            </w:r>
          </w:p>
          <w:p w14:paraId="10F103CE" w14:textId="6D193C11" w:rsidR="0077714E" w:rsidRDefault="0077714E" w:rsidP="0077714E">
            <w:pPr>
              <w:pStyle w:val="af7"/>
              <w:numPr>
                <w:ilvl w:val="0"/>
                <w:numId w:val="26"/>
              </w:numPr>
              <w:spacing w:line="240" w:lineRule="auto"/>
            </w:pPr>
            <w:r>
              <w:t>Alt 2</w:t>
            </w:r>
          </w:p>
          <w:p w14:paraId="27EAD506" w14:textId="19C5595E" w:rsidR="0077714E" w:rsidRDefault="0077714E" w:rsidP="0077714E">
            <w:pPr>
              <w:pStyle w:val="af7"/>
              <w:numPr>
                <w:ilvl w:val="1"/>
                <w:numId w:val="26"/>
              </w:numPr>
              <w:spacing w:line="240" w:lineRule="auto"/>
            </w:pPr>
            <w:r>
              <w:t xml:space="preserve">ZTE, Sanechips, </w:t>
            </w:r>
            <w:r w:rsidRPr="0077714E">
              <w:t>Lenovo, MotoM</w:t>
            </w:r>
            <w:r>
              <w:t xml:space="preserve">, MTK, Huawei, HiSilicon, </w:t>
            </w:r>
            <w:r w:rsidRPr="0077714E">
              <w:t>Nokia, NSB</w:t>
            </w:r>
          </w:p>
          <w:p w14:paraId="4C4E83D6" w14:textId="1AA3AF19" w:rsidR="0077714E" w:rsidRDefault="0077714E" w:rsidP="00216924">
            <w:pPr>
              <w:spacing w:line="240" w:lineRule="auto"/>
              <w:rPr>
                <w:lang w:eastAsia="zh-CN"/>
              </w:rPr>
            </w:pPr>
          </w:p>
        </w:tc>
      </w:tr>
    </w:tbl>
    <w:p w14:paraId="698AEA64" w14:textId="3D12AD9D"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sidP="000C461E">
      <w:pPr>
        <w:tabs>
          <w:tab w:val="left" w:pos="4326"/>
        </w:tabs>
      </w:pPr>
      <w:r>
        <w:rPr>
          <w:rFonts w:hint="eastAsia"/>
        </w:rPr>
        <w:t xml:space="preserve">The </w:t>
      </w:r>
      <w:r>
        <w:t>following are proposed:</w:t>
      </w:r>
    </w:p>
    <w:tbl>
      <w:tblPr>
        <w:tblStyle w:val="af1"/>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30"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30"/>
          </w:p>
          <w:p w14:paraId="58FE7305" w14:textId="77777777" w:rsidR="007216CC" w:rsidRDefault="00ED2ABB">
            <w:pPr>
              <w:pStyle w:val="Proposal"/>
              <w:numPr>
                <w:ilvl w:val="0"/>
                <w:numId w:val="0"/>
              </w:numPr>
              <w:spacing w:line="240" w:lineRule="auto"/>
              <w:ind w:left="1701" w:hanging="1701"/>
            </w:pPr>
            <w:bookmarkStart w:id="31" w:name="_Toc86954085"/>
            <w:r>
              <w:t>Proposal 2 For the channel quality reporting of 16-QAM in DL, the CONNECTED mode definition as in TS 36.133 clause 8.14.4 is re-used just replacing “reported NPDCCH repetition level” by “channel quality reported value”:</w:t>
            </w:r>
            <w:bookmarkEnd w:id="31"/>
          </w:p>
          <w:p w14:paraId="348F7A82" w14:textId="77777777" w:rsidR="007216CC" w:rsidRDefault="00ED2ABB">
            <w:pPr>
              <w:pStyle w:val="Proposal"/>
              <w:numPr>
                <w:ilvl w:val="0"/>
                <w:numId w:val="16"/>
              </w:numPr>
              <w:spacing w:line="240" w:lineRule="auto"/>
            </w:pPr>
            <w:bookmarkStart w:id="32"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2"/>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3" w:name="_Toc86954072"/>
            <w:r>
              <w:rPr>
                <w:rFonts w:ascii="Arial" w:hAnsi="Arial"/>
                <w:b/>
                <w:bCs/>
                <w:sz w:val="20"/>
                <w:szCs w:val="20"/>
                <w:lang w:val="en-GB" w:eastAsia="ja-JP"/>
              </w:rPr>
              <w:t>Observation 12 One open issue is whether the support of 16-QAM is applicable for both “FDD and TDD” or only FDD.</w:t>
            </w:r>
            <w:bookmarkEnd w:id="33"/>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4"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5" w:name="_Toc86950862"/>
            <w:bookmarkEnd w:id="34"/>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6" w:name="_Toc86954074"/>
            <w:r>
              <w:rPr>
                <w:rFonts w:ascii="Arial" w:hAnsi="Arial"/>
                <w:b/>
                <w:bCs/>
                <w:sz w:val="20"/>
                <w:szCs w:val="20"/>
                <w:lang w:val="en-GB" w:eastAsia="ja-JP"/>
              </w:rPr>
              <w:lastRenderedPageBreak/>
              <w:t>Observation 14 The foreseen RAN1 impacts from supporting 16-QAM for TDD NB-IoT are:</w:t>
            </w:r>
            <w:bookmarkEnd w:id="35"/>
            <w:bookmarkEnd w:id="36"/>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7" w:name="_Toc86950863"/>
            <w:bookmarkStart w:id="38" w:name="_Toc86954075"/>
            <w:r>
              <w:rPr>
                <w:rFonts w:ascii="Arial" w:hAnsi="Arial"/>
                <w:b/>
                <w:bCs/>
                <w:sz w:val="20"/>
                <w:szCs w:val="20"/>
                <w:lang w:val="en-GB" w:eastAsia="ja-JP"/>
              </w:rPr>
              <w:t>In legacy TDD NB-IoT, NPDSCH can be transmitted on DwPTS.</w:t>
            </w:r>
            <w:bookmarkEnd w:id="37"/>
            <w:bookmarkEnd w:id="38"/>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9" w:name="_Toc86950864"/>
            <w:bookmarkStart w:id="40" w:name="_Toc86954076"/>
            <w:r>
              <w:rPr>
                <w:rFonts w:ascii="Arial" w:hAnsi="Arial"/>
                <w:b/>
                <w:bCs/>
                <w:sz w:val="20"/>
                <w:szCs w:val="20"/>
                <w:lang w:val="en-GB" w:eastAsia="ja-JP"/>
              </w:rPr>
              <w:t>For NPDSCH without repetition, rate matching is used for the Resource Element (RE) mapping into the special subframe.</w:t>
            </w:r>
            <w:bookmarkEnd w:id="39"/>
            <w:bookmarkEnd w:id="40"/>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1" w:name="_Toc86950865"/>
            <w:bookmarkStart w:id="42"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3" w:name="_Toc86950866"/>
            <w:bookmarkEnd w:id="41"/>
            <w:bookmarkEnd w:id="42"/>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4" w:name="_Toc86954078"/>
            <w:r>
              <w:rPr>
                <w:rFonts w:ascii="Arial" w:hAnsi="Arial"/>
                <w:b/>
                <w:bCs/>
                <w:sz w:val="20"/>
                <w:szCs w:val="20"/>
                <w:lang w:val="en-GB" w:eastAsia="ja-JP"/>
              </w:rPr>
              <w:t>Observation 15 The foreseen RAN4 impacts from supporting 16-QAM for TDD NB-IoT are:</w:t>
            </w:r>
            <w:bookmarkEnd w:id="43"/>
            <w:bookmarkEnd w:id="44"/>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5" w:name="_Toc86950867"/>
            <w:bookmarkStart w:id="46" w:name="_Toc86954079"/>
            <w:r>
              <w:rPr>
                <w:rFonts w:ascii="Arial" w:hAnsi="Arial"/>
                <w:b/>
                <w:bCs/>
                <w:sz w:val="20"/>
                <w:szCs w:val="20"/>
                <w:lang w:val="en-GB" w:eastAsia="ja-JP"/>
              </w:rPr>
              <w:t>Define dedicated UE demodulation requirements for 16QAM in TDD NB-IoT in TS 36.101.</w:t>
            </w:r>
            <w:bookmarkEnd w:id="45"/>
            <w:bookmarkEnd w:id="46"/>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7" w:name="_Toc86950868"/>
            <w:bookmarkStart w:id="48" w:name="_Toc86954080"/>
            <w:r>
              <w:rPr>
                <w:rFonts w:ascii="Arial" w:hAnsi="Arial"/>
                <w:b/>
                <w:bCs/>
                <w:sz w:val="20"/>
                <w:szCs w:val="20"/>
                <w:lang w:eastAsia="ja-JP"/>
              </w:rPr>
              <w:t>Define a BS conformance test (Test Model) for 16-QAM in TDD NB-IoT in TS 36.141.</w:t>
            </w:r>
            <w:bookmarkEnd w:id="47"/>
            <w:bookmarkEnd w:id="48"/>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9" w:name="_Toc86954090"/>
            <w:r>
              <w:rPr>
                <w:rFonts w:ascii="Arial" w:hAnsi="Arial"/>
                <w:b/>
                <w:bCs/>
                <w:sz w:val="20"/>
                <w:szCs w:val="20"/>
                <w:lang w:eastAsia="zh-CN"/>
              </w:rPr>
              <w:t>Proposal 4 Conclusion: In Rel-16, 16-QAM for unicast in UL and DL for NB-IoT is only supported for FDD operation.</w:t>
            </w:r>
            <w:bookmarkEnd w:id="49"/>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1"/>
      </w:pPr>
      <w:r>
        <w:rPr>
          <w:rFonts w:hint="eastAsia"/>
          <w:lang w:eastAsia="zh-CN"/>
        </w:rPr>
        <w:t>Summary</w:t>
      </w:r>
    </w:p>
    <w:p w14:paraId="6A0192CB" w14:textId="77777777" w:rsidR="007216CC" w:rsidRDefault="007216CC"/>
    <w:p w14:paraId="59697439" w14:textId="77777777" w:rsidR="007216CC" w:rsidRDefault="00ED2ABB">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af7"/>
        <w:numPr>
          <w:ilvl w:val="0"/>
          <w:numId w:val="25"/>
        </w:numPr>
        <w:spacing w:after="60"/>
        <w:rPr>
          <w:rFonts w:ascii="Times New Roman" w:hAnsi="Times New Roman" w:cs="Times New Roman"/>
          <w:sz w:val="22"/>
        </w:rPr>
      </w:pPr>
      <w:bookmarkStart w:id="50" w:name="_Ref520312828"/>
      <w:r>
        <w:rPr>
          <w:rFonts w:ascii="Times New Roman" w:hAnsi="Times New Roman" w:cs="Times New Roman"/>
          <w:sz w:val="22"/>
        </w:rPr>
        <w:t xml:space="preserve">RP-211340, “WID revision: Additional enhancements for NB-IoT and LTE-MTC”, </w:t>
      </w:r>
      <w:bookmarkEnd w:id="50"/>
      <w:r>
        <w:rPr>
          <w:rFonts w:ascii="Times New Roman" w:hAnsi="Times New Roman" w:cs="Times New Roman"/>
          <w:sz w:val="22"/>
        </w:rPr>
        <w:t>Huawei, HiSilicon, RAN#92e, E-meeting, June 2021.</w:t>
      </w:r>
    </w:p>
    <w:p w14:paraId="3CB00C2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8D02CA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754F0598"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1172E0D"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3B8E6D3"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1"/>
        <w:numPr>
          <w:ilvl w:val="0"/>
          <w:numId w:val="0"/>
        </w:numPr>
        <w:spacing w:before="240"/>
        <w:ind w:left="431" w:hanging="431"/>
      </w:pPr>
      <w:r>
        <w:rPr>
          <w:rFonts w:hint="eastAsia"/>
        </w:rPr>
        <w:lastRenderedPageBreak/>
        <w:t>Appendix A</w:t>
      </w:r>
    </w:p>
    <w:p w14:paraId="6EFED936" w14:textId="77777777" w:rsidR="007216CC" w:rsidRDefault="00ED2ABB">
      <w:pPr>
        <w:pStyle w:val="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050510" w16cid:durableId="2536BB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952DA" w14:textId="77777777" w:rsidR="00C53349" w:rsidRDefault="00C53349"/>
  </w:endnote>
  <w:endnote w:type="continuationSeparator" w:id="0">
    <w:p w14:paraId="04EC3C52" w14:textId="77777777" w:rsidR="00C53349" w:rsidRDefault="00C5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等线">
    <w:altName w:val="μè??"/>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C8488" w14:textId="77777777" w:rsidR="00C53349" w:rsidRDefault="00C53349"/>
  </w:footnote>
  <w:footnote w:type="continuationSeparator" w:id="0">
    <w:p w14:paraId="5A0A5DD6" w14:textId="77777777" w:rsidR="00C53349" w:rsidRDefault="00C53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460E14"/>
    <w:multiLevelType w:val="hybridMultilevel"/>
    <w:tmpl w:val="A790C2E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083BB5"/>
    <w:multiLevelType w:val="hybridMultilevel"/>
    <w:tmpl w:val="82D46292"/>
    <w:lvl w:ilvl="0" w:tplc="FFFFFFFF">
      <w:start w:val="1"/>
      <w:numFmt w:val="bullet"/>
      <w:lvlText w:val=""/>
      <w:lvlJc w:val="left"/>
      <w:pPr>
        <w:ind w:left="420" w:hanging="420"/>
      </w:pPr>
      <w:rPr>
        <w:rFonts w:ascii="Symbol" w:hAnsi="Symbol" w:hint="default"/>
      </w:rPr>
    </w:lvl>
    <w:lvl w:ilvl="1" w:tplc="4F028854">
      <w:start w:val="8"/>
      <w:numFmt w:val="bullet"/>
      <w:lvlText w:val="-"/>
      <w:lvlJc w:val="left"/>
      <w:pPr>
        <w:ind w:left="840" w:hanging="420"/>
      </w:pPr>
      <w:rPr>
        <w:rFonts w:ascii="Calibri" w:eastAsia="Malgun Gothic" w:hAnsi="Calibri" w:cs="Calibri"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E563623"/>
    <w:multiLevelType w:val="hybridMultilevel"/>
    <w:tmpl w:val="D8EECC96"/>
    <w:lvl w:ilvl="0" w:tplc="E884A0D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413DEB"/>
    <w:multiLevelType w:val="hybridMultilevel"/>
    <w:tmpl w:val="59349A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8E7599D"/>
    <w:multiLevelType w:val="hybridMultilevel"/>
    <w:tmpl w:val="3140B1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0"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262302"/>
    <w:multiLevelType w:val="hybridMultilevel"/>
    <w:tmpl w:val="5B66DE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4"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C38AC"/>
    <w:multiLevelType w:val="multilevel"/>
    <w:tmpl w:val="5FEC38AC"/>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7"/>
  </w:num>
  <w:num w:numId="2">
    <w:abstractNumId w:val="0"/>
  </w:num>
  <w:num w:numId="3">
    <w:abstractNumId w:val="13"/>
  </w:num>
  <w:num w:numId="4">
    <w:abstractNumId w:val="28"/>
  </w:num>
  <w:num w:numId="5">
    <w:abstractNumId w:val="14"/>
  </w:num>
  <w:num w:numId="6">
    <w:abstractNumId w:val="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10"/>
  </w:num>
  <w:num w:numId="12">
    <w:abstractNumId w:val="4"/>
  </w:num>
  <w:num w:numId="13">
    <w:abstractNumId w:val="16"/>
  </w:num>
  <w:num w:numId="14">
    <w:abstractNumId w:val="30"/>
  </w:num>
  <w:num w:numId="15">
    <w:abstractNumId w:val="6"/>
  </w:num>
  <w:num w:numId="16">
    <w:abstractNumId w:val="23"/>
  </w:num>
  <w:num w:numId="17">
    <w:abstractNumId w:val="15"/>
  </w:num>
  <w:num w:numId="18">
    <w:abstractNumId w:val="24"/>
  </w:num>
  <w:num w:numId="19">
    <w:abstractNumId w:val="21"/>
  </w:num>
  <w:num w:numId="20">
    <w:abstractNumId w:val="26"/>
  </w:num>
  <w:num w:numId="21">
    <w:abstractNumId w:val="18"/>
  </w:num>
  <w:num w:numId="22">
    <w:abstractNumId w:val="25"/>
  </w:num>
  <w:num w:numId="23">
    <w:abstractNumId w:val="11"/>
  </w:num>
  <w:num w:numId="24">
    <w:abstractNumId w:val="9"/>
  </w:num>
  <w:num w:numId="25">
    <w:abstractNumId w:val="12"/>
  </w:num>
  <w:num w:numId="26">
    <w:abstractNumId w:val="8"/>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0"/>
    <w:lvlOverride w:ilvl="0"/>
    <w:lvlOverride w:ilvl="1"/>
    <w:lvlOverride w:ilvl="2"/>
    <w:lvlOverride w:ilvl="3"/>
    <w:lvlOverride w:ilvl="4"/>
    <w:lvlOverride w:ilvl="5"/>
    <w:lvlOverride w:ilvl="6"/>
    <w:lvlOverride w:ilvl="7"/>
    <w:lvlOverride w:ilvl="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441"/>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E10"/>
    <w:rsid w:val="00241E68"/>
    <w:rsid w:val="00242B75"/>
    <w:rsid w:val="00243198"/>
    <w:rsid w:val="002438FD"/>
    <w:rsid w:val="00243C46"/>
    <w:rsid w:val="00243C63"/>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812"/>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9345">
      <w:bodyDiv w:val="1"/>
      <w:marLeft w:val="0"/>
      <w:marRight w:val="0"/>
      <w:marTop w:val="0"/>
      <w:marBottom w:val="0"/>
      <w:divBdr>
        <w:top w:val="none" w:sz="0" w:space="0" w:color="auto"/>
        <w:left w:val="none" w:sz="0" w:space="0" w:color="auto"/>
        <w:bottom w:val="none" w:sz="0" w:space="0" w:color="auto"/>
        <w:right w:val="none" w:sz="0" w:space="0" w:color="auto"/>
      </w:divBdr>
    </w:div>
    <w:div w:id="1437410251">
      <w:bodyDiv w:val="1"/>
      <w:marLeft w:val="0"/>
      <w:marRight w:val="0"/>
      <w:marTop w:val="0"/>
      <w:marBottom w:val="0"/>
      <w:divBdr>
        <w:top w:val="none" w:sz="0" w:space="0" w:color="auto"/>
        <w:left w:val="none" w:sz="0" w:space="0" w:color="auto"/>
        <w:bottom w:val="none" w:sz="0" w:space="0" w:color="auto"/>
        <w:right w:val="none" w:sz="0" w:space="0" w:color="auto"/>
      </w:divBdr>
    </w:div>
    <w:div w:id="1472864670">
      <w:bodyDiv w:val="1"/>
      <w:marLeft w:val="0"/>
      <w:marRight w:val="0"/>
      <w:marTop w:val="0"/>
      <w:marBottom w:val="0"/>
      <w:divBdr>
        <w:top w:val="none" w:sz="0" w:space="0" w:color="auto"/>
        <w:left w:val="none" w:sz="0" w:space="0" w:color="auto"/>
        <w:bottom w:val="none" w:sz="0" w:space="0" w:color="auto"/>
        <w:right w:val="none" w:sz="0" w:space="0" w:color="auto"/>
      </w:divBdr>
    </w:div>
    <w:div w:id="1565294230">
      <w:bodyDiv w:val="1"/>
      <w:marLeft w:val="0"/>
      <w:marRight w:val="0"/>
      <w:marTop w:val="0"/>
      <w:marBottom w:val="0"/>
      <w:divBdr>
        <w:top w:val="none" w:sz="0" w:space="0" w:color="auto"/>
        <w:left w:val="none" w:sz="0" w:space="0" w:color="auto"/>
        <w:bottom w:val="none" w:sz="0" w:space="0" w:color="auto"/>
        <w:right w:val="none" w:sz="0" w:space="0" w:color="auto"/>
      </w:divBdr>
    </w:div>
    <w:div w:id="1713336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7499B-3E44-40E7-84BC-945D116D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6783</Words>
  <Characters>38664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Huawei</cp:lastModifiedBy>
  <cp:revision>143</cp:revision>
  <dcterms:created xsi:type="dcterms:W3CDTF">2021-11-11T10:10:00Z</dcterms:created>
  <dcterms:modified xsi:type="dcterms:W3CDTF">2021-11-15T03:01:00Z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