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ＭＳ 明朝" w:hAnsi="Arial" w:cs="Arial"/>
          <w:b/>
          <w:bCs/>
          <w:sz w:val="28"/>
          <w:lang w:eastAsia="ja-JP"/>
        </w:rPr>
      </w:pPr>
      <w:proofErr w:type="gramStart"/>
      <w:r>
        <w:rPr>
          <w:rFonts w:ascii="Arial" w:eastAsia="ＭＳ 明朝" w:hAnsi="Arial" w:cs="Arial"/>
          <w:b/>
          <w:bCs/>
          <w:sz w:val="28"/>
          <w:lang w:eastAsia="ja-JP"/>
        </w:rPr>
        <w:t>e-Meeting</w:t>
      </w:r>
      <w:proofErr w:type="gramEnd"/>
      <w:r>
        <w:rPr>
          <w:rFonts w:ascii="Arial" w:eastAsia="ＭＳ 明朝" w:hAnsi="Arial" w:cs="Arial"/>
          <w:b/>
          <w:bCs/>
          <w:sz w:val="28"/>
          <w:lang w:eastAsia="ja-JP"/>
        </w:rPr>
        <w:t>,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ＭＳ 明朝"/>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w:t>
      </w:r>
      <w:proofErr w:type="gramStart"/>
      <w:r>
        <w:t>however</w:t>
      </w:r>
      <w:proofErr w:type="gramEnd"/>
      <w:r>
        <w:t xml:space="preserve">,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proofErr w:type="gramStart"/>
                  <w:r>
                    <w:rPr>
                      <w:lang w:val="en-GB" w:eastAsia="zh-CN"/>
                    </w:rPr>
                    <w:t>triggered</w:t>
                  </w:r>
                  <w:proofErr w:type="gramEnd"/>
                  <w:r>
                    <w:rPr>
                      <w:lang w:val="en-GB" w:eastAsia="zh-CN"/>
                    </w:rPr>
                    <w:t xml:space="preserve">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w:t>
            </w:r>
            <w:proofErr w:type="gramStart"/>
            <w:r>
              <w:rPr>
                <w:bCs/>
                <w:iCs/>
                <w:vertAlign w:val="subscript"/>
                <w:lang w:eastAsia="zh-CN"/>
              </w:rPr>
              <w:t>,0</w:t>
            </w:r>
            <w:proofErr w:type="gramEnd"/>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w:t>
            </w:r>
            <w:proofErr w:type="spellStart"/>
            <w:r>
              <w:t>mis</w:t>
            </w:r>
            <w:proofErr w:type="spellEnd"/>
            <w:r>
              <w:t xml:space="preserve">-alignment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w:t>
            </w:r>
            <w:proofErr w:type="spellStart"/>
            <w:r>
              <w:rPr>
                <w:rFonts w:eastAsia="ＭＳ 明朝"/>
                <w:i/>
                <w:iCs/>
                <w:lang w:eastAsia="ja-JP"/>
              </w:rPr>
              <w:t>TransmisisonPeriodicity</w:t>
            </w:r>
            <w:proofErr w:type="spellEnd"/>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 xml:space="preserve">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ＭＳ 明朝"/>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 xml:space="preserve">We are thinking of hopping being completely decoupled from TDW configuration. Therefore aligning with TDW configurations may not even be possible. Hopping patterns may be common across a cell, while TDW </w:t>
            </w:r>
            <w:proofErr w:type="spellStart"/>
            <w:r>
              <w:rPr>
                <w:rFonts w:eastAsia="ＭＳ 明朝"/>
                <w:lang w:eastAsia="ja-JP"/>
              </w:rPr>
              <w:t>config</w:t>
            </w:r>
            <w:proofErr w:type="spellEnd"/>
            <w:r>
              <w:rPr>
                <w:rFonts w:eastAsia="ＭＳ 明朝"/>
                <w:lang w:eastAsia="ja-JP"/>
              </w:rPr>
              <w:t xml:space="preserve">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 xml:space="preserve">-alignment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 xml:space="preserve">What’s the motivation to add the note? Isn’t UE expected to perform DMRS bundling within actual TDW anyway, if the conditions </w:t>
            </w:r>
            <w:r>
              <w:rPr>
                <w:rFonts w:eastAsia="ＭＳ 明朝"/>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Why don’t we consider the following:</w:t>
            </w:r>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lastRenderedPageBreak/>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Why don’t we consider the following:</w:t>
            </w:r>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t>To summarize our views on the benefit of 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control  the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proofErr w:type="spellStart"/>
            <w:r>
              <w:rPr>
                <w:rFonts w:eastAsia="ＭＳ 明朝"/>
                <w:bCs/>
                <w:lang w:eastAsia="ja-JP"/>
              </w:rPr>
              <w:t>InterDigital</w:t>
            </w:r>
            <w:proofErr w:type="spellEnd"/>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ＭＳ 明朝"/>
                <w:bCs/>
                <w:sz w:val="20"/>
                <w:szCs w:val="20"/>
                <w:lang w:eastAsia="ja-JP"/>
              </w:rPr>
            </w:pPr>
            <w:proofErr w:type="spellStart"/>
            <w:r w:rsidRPr="00EE7716">
              <w:rPr>
                <w:rFonts w:eastAsia="ＭＳ 明朝"/>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lastRenderedPageBreak/>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ＭＳ 明朝"/>
                <w:bCs/>
                <w:sz w:val="20"/>
                <w:szCs w:val="20"/>
                <w:lang w:eastAsia="ja-JP"/>
              </w:rPr>
            </w:pPr>
            <w:r>
              <w:rPr>
                <w:rFonts w:eastAsia="ＭＳ 明朝"/>
                <w:bCs/>
                <w:sz w:val="20"/>
                <w:szCs w:val="20"/>
                <w:lang w:eastAsia="ja-JP"/>
              </w:rPr>
              <w:t>OPPO</w:t>
            </w:r>
          </w:p>
        </w:tc>
        <w:tc>
          <w:tcPr>
            <w:tcW w:w="7627" w:type="dxa"/>
          </w:tcPr>
          <w:p w14:paraId="6AB234B3" w14:textId="77777777" w:rsidR="00B654BD" w:rsidRDefault="00B654BD" w:rsidP="0028580F">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8580F">
            <w:pPr>
              <w:rPr>
                <w:rFonts w:eastAsia="ＭＳ 明朝"/>
                <w:sz w:val="20"/>
                <w:szCs w:val="20"/>
                <w:lang w:eastAsia="ja-JP"/>
              </w:rPr>
            </w:pPr>
            <w:r>
              <w:rPr>
                <w:rFonts w:eastAsia="ＭＳ 明朝"/>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ＭＳ 明朝"/>
                <w:sz w:val="20"/>
                <w:szCs w:val="20"/>
                <w:lang w:eastAsia="ja-JP"/>
              </w:rPr>
            </w:pPr>
            <w:r>
              <w:rPr>
                <w:rFonts w:eastAsia="ＭＳ 明朝"/>
                <w:sz w:val="20"/>
                <w:szCs w:val="20"/>
                <w:lang w:eastAsia="ja-JP"/>
              </w:rPr>
              <w:t>We suggest to add one bullet into the proposal.</w:t>
            </w:r>
          </w:p>
          <w:p w14:paraId="309CF6E9" w14:textId="77777777" w:rsidR="00B654BD" w:rsidRDefault="00B654BD" w:rsidP="0028580F">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ＭＳ 明朝"/>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a"/>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a"/>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a"/>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a"/>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afa"/>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 xml:space="preserve">DMRS </w:t>
      </w:r>
      <w:proofErr w:type="spellStart"/>
      <w:r w:rsidRPr="00CB799C">
        <w:rPr>
          <w:rFonts w:ascii="Times New Roman" w:eastAsia="SimSun" w:hAnsi="Times New Roman"/>
          <w:b/>
          <w:bCs/>
          <w:color w:val="FF0000"/>
          <w:szCs w:val="20"/>
          <w:highlight w:val="yellow"/>
          <w:lang w:eastAsia="zh-CN"/>
        </w:rPr>
        <w:t>bunding</w:t>
      </w:r>
      <w:proofErr w:type="spellEnd"/>
      <w:r w:rsidRPr="00CB799C">
        <w:rPr>
          <w:rFonts w:ascii="Times New Roman" w:eastAsia="SimSun" w:hAnsi="Times New Roman"/>
          <w:b/>
          <w:bCs/>
          <w:color w:val="FF0000"/>
          <w:szCs w:val="20"/>
          <w:highlight w:val="yellow"/>
          <w:lang w:eastAsia="zh-CN"/>
        </w:rPr>
        <w:t xml:space="preserve"> is per actual TDW</w:t>
      </w:r>
    </w:p>
    <w:p w14:paraId="7BB8FAFC" w14:textId="77777777" w:rsidR="00622CAA" w:rsidRPr="00CB799C" w:rsidRDefault="00622CAA" w:rsidP="00622CAA">
      <w:pPr>
        <w:pStyle w:val="afa"/>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a"/>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a"/>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afa"/>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afa"/>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afa"/>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afa"/>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4"/>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ＭＳ 明朝"/>
                <w:bCs/>
                <w:sz w:val="20"/>
                <w:szCs w:val="20"/>
                <w:lang w:eastAsia="ja-JP"/>
              </w:rPr>
            </w:pPr>
            <w:r>
              <w:rPr>
                <w:rFonts w:eastAsia="ＭＳ 明朝"/>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ＭＳ 明朝"/>
                <w:sz w:val="20"/>
                <w:szCs w:val="20"/>
                <w:lang w:eastAsia="ja-JP"/>
              </w:rPr>
            </w:pPr>
            <w:r w:rsidRPr="00CD6BCF">
              <w:rPr>
                <w:rFonts w:eastAsia="ＭＳ 明朝"/>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ＭＳ 明朝"/>
                <w:sz w:val="20"/>
                <w:szCs w:val="20"/>
                <w:lang w:eastAsia="ja-JP"/>
              </w:rPr>
              <w:t xml:space="preserve">that </w:t>
            </w:r>
            <w:r w:rsidRPr="00CD6BCF">
              <w:rPr>
                <w:rFonts w:eastAsia="ＭＳ 明朝"/>
                <w:sz w:val="20"/>
                <w:szCs w:val="20"/>
                <w:lang w:eastAsia="ja-JP"/>
              </w:rPr>
              <w:t>we shared via email:</w:t>
            </w:r>
          </w:p>
          <w:p w14:paraId="4CA28EE3" w14:textId="03DF3272"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ＭＳ 明朝"/>
                <w:sz w:val="20"/>
                <w:szCs w:val="20"/>
                <w:lang w:eastAsia="ja-JP"/>
              </w:rPr>
            </w:pPr>
            <w:r w:rsidRPr="00CD6BCF">
              <w:rPr>
                <w:rFonts w:eastAsia="ＭＳ 明朝"/>
                <w:sz w:val="20"/>
                <w:szCs w:val="20"/>
                <w:lang w:eastAsia="ja-JP"/>
              </w:rPr>
              <w:t>We suggest the following modification.</w:t>
            </w:r>
          </w:p>
          <w:p w14:paraId="5F5DAC50" w14:textId="77777777" w:rsidR="00CD6BCF" w:rsidRDefault="00CD6BCF" w:rsidP="00A527C0">
            <w:pPr>
              <w:spacing w:before="0"/>
              <w:rPr>
                <w:rFonts w:eastAsia="ＭＳ 明朝"/>
                <w:sz w:val="20"/>
                <w:szCs w:val="20"/>
                <w:lang w:eastAsia="ja-JP"/>
              </w:rPr>
            </w:pPr>
          </w:p>
          <w:p w14:paraId="27A8596C" w14:textId="77777777" w:rsidR="00CD6BCF" w:rsidRPr="00CD6BCF" w:rsidRDefault="00CD6BCF" w:rsidP="00CD6BCF">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648F93C0" w14:textId="77777777" w:rsidR="00CD6BCF" w:rsidRPr="00CD6BCF" w:rsidRDefault="00CD6BCF" w:rsidP="00CD6BCF">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a"/>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afa"/>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ＭＳ 明朝"/>
                <w:sz w:val="20"/>
                <w:szCs w:val="20"/>
                <w:lang w:eastAsia="ja-JP"/>
              </w:rPr>
            </w:pPr>
          </w:p>
          <w:p w14:paraId="71671473" w14:textId="77777777" w:rsidR="00CD6BCF" w:rsidRDefault="00CD6BCF" w:rsidP="00A527C0">
            <w:pPr>
              <w:spacing w:before="0"/>
              <w:rPr>
                <w:rFonts w:eastAsia="ＭＳ 明朝"/>
                <w:sz w:val="20"/>
                <w:szCs w:val="20"/>
                <w:lang w:eastAsia="ja-JP"/>
              </w:rPr>
            </w:pPr>
          </w:p>
          <w:p w14:paraId="7927B14A" w14:textId="77B9EF5F" w:rsidR="00CD6BCF" w:rsidRDefault="00CD6BCF" w:rsidP="00A527C0">
            <w:pPr>
              <w:spacing w:before="0"/>
              <w:rPr>
                <w:rFonts w:eastAsia="ＭＳ 明朝"/>
                <w:sz w:val="20"/>
                <w:szCs w:val="20"/>
                <w:lang w:eastAsia="ja-JP"/>
              </w:rPr>
            </w:pPr>
            <w:r>
              <w:rPr>
                <w:rFonts w:eastAsia="ＭＳ 明朝"/>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ＭＳ 明朝"/>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ＭＳ 明朝"/>
                <w:bCs/>
                <w:sz w:val="20"/>
                <w:szCs w:val="20"/>
                <w:lang w:eastAsia="ja-JP"/>
              </w:rPr>
            </w:pPr>
            <w:r>
              <w:rPr>
                <w:rFonts w:eastAsia="ＭＳ 明朝"/>
                <w:bCs/>
                <w:sz w:val="20"/>
                <w:szCs w:val="20"/>
                <w:lang w:eastAsia="ja-JP"/>
              </w:rPr>
              <w:lastRenderedPageBreak/>
              <w:t>Intel</w:t>
            </w:r>
          </w:p>
        </w:tc>
        <w:tc>
          <w:tcPr>
            <w:tcW w:w="7627" w:type="dxa"/>
          </w:tcPr>
          <w:p w14:paraId="0DCC1EE1" w14:textId="77777777" w:rsidR="00622CAA" w:rsidRDefault="003B27B6" w:rsidP="00A527C0">
            <w:pPr>
              <w:spacing w:before="0"/>
              <w:rPr>
                <w:rFonts w:eastAsia="ＭＳ 明朝"/>
                <w:sz w:val="20"/>
                <w:szCs w:val="20"/>
                <w:lang w:eastAsia="ja-JP"/>
              </w:rPr>
            </w:pPr>
            <w:r>
              <w:rPr>
                <w:rFonts w:eastAsia="ＭＳ 明朝"/>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configured TDW </w:t>
            </w:r>
            <w:r w:rsidR="001F5D48">
              <w:rPr>
                <w:rFonts w:ascii="Times New Roman" w:eastAsia="ＭＳ 明朝" w:hAnsi="Times New Roman"/>
                <w:sz w:val="20"/>
                <w:szCs w:val="20"/>
                <w:lang w:eastAsia="ja-JP"/>
              </w:rPr>
              <w:t xml:space="preserve">should be configured TDW </w:t>
            </w:r>
            <w:r w:rsidRPr="00ED4E15">
              <w:rPr>
                <w:rFonts w:ascii="Times New Roman" w:eastAsia="ＭＳ 明朝" w:hAnsi="Times New Roman"/>
                <w:color w:val="0070C0"/>
                <w:sz w:val="20"/>
                <w:szCs w:val="20"/>
                <w:lang w:eastAsia="ja-JP"/>
              </w:rPr>
              <w:t>length</w:t>
            </w:r>
            <w:r w:rsidRPr="00F37F62">
              <w:rPr>
                <w:rFonts w:ascii="Times New Roman" w:eastAsia="ＭＳ 明朝" w:hAnsi="Times New Roman"/>
                <w:sz w:val="20"/>
                <w:szCs w:val="20"/>
                <w:lang w:eastAsia="ja-JP"/>
              </w:rPr>
              <w:t xml:space="preserve">. </w:t>
            </w:r>
          </w:p>
          <w:p w14:paraId="2912C5B4" w14:textId="0C0DA408" w:rsidR="003B27B6"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Delete the last note as this seems not needed. </w:t>
            </w:r>
          </w:p>
          <w:p w14:paraId="025A8879" w14:textId="46D323DB" w:rsidR="00AC6424" w:rsidRPr="00F37F62" w:rsidRDefault="00AC6424" w:rsidP="00F37F62">
            <w:pPr>
              <w:pStyle w:val="afa"/>
              <w:numPr>
                <w:ilvl w:val="0"/>
                <w:numId w:val="42"/>
              </w:numPr>
              <w:spacing w:before="0"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ＭＳ 明朝"/>
                <w:sz w:val="20"/>
                <w:szCs w:val="20"/>
                <w:lang w:eastAsia="ja-JP"/>
              </w:rPr>
            </w:pPr>
            <w:r>
              <w:rPr>
                <w:rFonts w:eastAsia="ＭＳ 明朝"/>
                <w:sz w:val="20"/>
                <w:szCs w:val="20"/>
                <w:lang w:eastAsia="ja-JP"/>
              </w:rPr>
              <w:t>As commented in the GTW</w:t>
            </w:r>
            <w:r w:rsidR="003B27B6">
              <w:rPr>
                <w:rFonts w:eastAsia="ＭＳ 明朝"/>
                <w:sz w:val="20"/>
                <w:szCs w:val="20"/>
                <w:lang w:eastAsia="ja-JP"/>
              </w:rPr>
              <w:t>, given that for PUSCH repetition type A counting based on available slot</w:t>
            </w:r>
            <w:r w:rsidR="00364062">
              <w:rPr>
                <w:rFonts w:eastAsia="ＭＳ 明朝"/>
                <w:sz w:val="20"/>
                <w:szCs w:val="20"/>
                <w:lang w:eastAsia="ja-JP"/>
              </w:rPr>
              <w:t xml:space="preserve">, configured TDW is determined based on available slot index. If </w:t>
            </w:r>
            <w:r w:rsidR="00364062" w:rsidRPr="00364062">
              <w:rPr>
                <w:rFonts w:eastAsia="ＭＳ 明朝"/>
                <w:sz w:val="20"/>
                <w:szCs w:val="20"/>
                <w:lang w:eastAsia="ja-JP"/>
              </w:rPr>
              <w:t xml:space="preserve">hopping interval is not configured, and if hopping pattern is same as configured TDW, </w:t>
            </w:r>
            <w:r w:rsidR="00364062">
              <w:rPr>
                <w:rFonts w:eastAsia="ＭＳ 明朝"/>
                <w:sz w:val="20"/>
                <w:szCs w:val="20"/>
                <w:lang w:eastAsia="ja-JP"/>
              </w:rPr>
              <w:t>this indicates that hopping pattern is determined based on available slot index, instead of physical slot index. This seems contradictory to the “</w:t>
            </w:r>
            <w:r w:rsidR="00364062" w:rsidRPr="00364062">
              <w:rPr>
                <w:rFonts w:eastAsia="ＭＳ 明朝"/>
                <w:sz w:val="20"/>
                <w:szCs w:val="20"/>
                <w:lang w:eastAsia="ja-JP"/>
              </w:rPr>
              <w:t>Frequency hopping pattern is determined by physical slot indices only</w:t>
            </w:r>
            <w:r w:rsidR="00364062">
              <w:rPr>
                <w:rFonts w:eastAsia="ＭＳ 明朝"/>
                <w:sz w:val="20"/>
                <w:szCs w:val="20"/>
                <w:lang w:eastAsia="ja-JP"/>
              </w:rPr>
              <w:t>”</w:t>
            </w:r>
            <w:r w:rsidR="000E2678">
              <w:rPr>
                <w:rFonts w:eastAsia="ＭＳ 明朝"/>
                <w:sz w:val="20"/>
                <w:szCs w:val="20"/>
                <w:lang w:eastAsia="ja-JP"/>
              </w:rPr>
              <w:t xml:space="preserve">. </w:t>
            </w:r>
          </w:p>
          <w:p w14:paraId="2029A979" w14:textId="689ED293" w:rsidR="003B27B6" w:rsidRDefault="003B27B6" w:rsidP="003B27B6">
            <w:pPr>
              <w:rPr>
                <w:rFonts w:eastAsia="ＭＳ 明朝"/>
                <w:sz w:val="20"/>
                <w:szCs w:val="20"/>
                <w:lang w:eastAsia="ja-JP"/>
              </w:rPr>
            </w:pPr>
            <w:r>
              <w:rPr>
                <w:rFonts w:eastAsia="ＭＳ 明朝"/>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ＭＳ 明朝"/>
                <w:sz w:val="20"/>
                <w:szCs w:val="20"/>
                <w:lang w:eastAsia="ja-JP"/>
              </w:rPr>
              <w:t>more appropriate</w:t>
            </w:r>
            <w:r>
              <w:rPr>
                <w:rFonts w:eastAsia="ＭＳ 明朝"/>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ＭＳ 明朝"/>
                <w:sz w:val="20"/>
                <w:szCs w:val="20"/>
                <w:lang w:eastAsia="ja-JP"/>
              </w:rPr>
            </w:pPr>
          </w:p>
          <w:p w14:paraId="30D269FC" w14:textId="77777777" w:rsidR="0015726E" w:rsidRPr="00CD6BCF" w:rsidRDefault="0015726E" w:rsidP="0015726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1CE8BF01" w14:textId="77777777" w:rsidR="0015726E" w:rsidRPr="00CD6BCF" w:rsidRDefault="0015726E" w:rsidP="0015726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ＭＳ 明朝"/>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ＭＳ 明朝"/>
              </w:rPr>
            </w:pPr>
            <w:proofErr w:type="spellStart"/>
            <w:r w:rsidRPr="00A527C0">
              <w:rPr>
                <w:rFonts w:eastAsiaTheme="minorEastAsia" w:hint="eastAsia"/>
              </w:rPr>
              <w:lastRenderedPageBreak/>
              <w:t>Spreadtrum</w:t>
            </w:r>
            <w:proofErr w:type="spellEnd"/>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a"/>
              <w:numPr>
                <w:ilvl w:val="0"/>
                <w:numId w:val="43"/>
              </w:numPr>
              <w:rPr>
                <w:rFonts w:eastAsia="ＭＳ 明朝"/>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a"/>
              <w:numPr>
                <w:ilvl w:val="0"/>
                <w:numId w:val="43"/>
              </w:numPr>
              <w:rPr>
                <w:rFonts w:eastAsia="ＭＳ 明朝"/>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ＭＳ 明朝"/>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w:t>
            </w:r>
            <w:proofErr w:type="spellStart"/>
            <w:r>
              <w:rPr>
                <w:rFonts w:eastAsiaTheme="minorEastAsia"/>
                <w:lang w:eastAsia="zh-CN"/>
              </w:rPr>
              <w:t>config</w:t>
            </w:r>
            <w:proofErr w:type="spellEnd"/>
            <w:r>
              <w:rPr>
                <w:rFonts w:eastAsiaTheme="minorEastAsia"/>
                <w:lang w:eastAsia="zh-CN"/>
              </w:rPr>
              <w:t xml:space="preserve">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A281796" w14:textId="4873DF44" w:rsidR="00C327C2" w:rsidRPr="00C327C2" w:rsidRDefault="00C327C2" w:rsidP="00A45DCC">
            <w:pPr>
              <w:rPr>
                <w:rFonts w:eastAsia="ＭＳ 明朝"/>
                <w:lang w:eastAsia="ja-JP"/>
              </w:rPr>
            </w:pPr>
            <w:r>
              <w:rPr>
                <w:rFonts w:eastAsia="ＭＳ 明朝" w:hint="eastAsia"/>
                <w:lang w:eastAsia="ja-JP"/>
              </w:rPr>
              <w:t>W</w:t>
            </w:r>
            <w:r>
              <w:rPr>
                <w:rFonts w:eastAsia="ＭＳ 明朝"/>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A35744C" w14:textId="77777777" w:rsidR="00B1316F" w:rsidRDefault="00B1316F" w:rsidP="00A45DCC">
            <w:pPr>
              <w:rPr>
                <w:rFonts w:eastAsia="ＭＳ 明朝"/>
                <w:lang w:eastAsia="ja-JP"/>
              </w:rPr>
            </w:pPr>
            <w:r w:rsidRPr="00B1316F">
              <w:rPr>
                <w:rFonts w:eastAsia="ＭＳ 明朝"/>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ＭＳ 明朝"/>
                <w:lang w:eastAsia="ja-JP"/>
              </w:rPr>
              <w:t>“</w:t>
            </w:r>
            <w:r w:rsidRPr="00B1316F">
              <w:rPr>
                <w:rFonts w:eastAsia="ＭＳ 明朝"/>
                <w:lang w:eastAsia="ja-JP"/>
              </w:rPr>
              <w:t>FDRA indicates the frequency location of the first hop and the latter frequency position of the latter slots are determined alternatively.</w:t>
            </w:r>
            <w:r>
              <w:rPr>
                <w:rFonts w:eastAsia="ＭＳ 明朝"/>
                <w:lang w:eastAsia="ja-JP"/>
              </w:rPr>
              <w:t>”</w:t>
            </w:r>
            <w:r w:rsidRPr="00B1316F">
              <w:rPr>
                <w:rFonts w:eastAsia="ＭＳ 明朝"/>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ＭＳ 明朝"/>
                <w:lang w:eastAsia="ja-JP"/>
              </w:rPr>
            </w:pPr>
            <w:r w:rsidRPr="00B1316F">
              <w:rPr>
                <w:rFonts w:eastAsia="ＭＳ 明朝"/>
                <w:lang w:eastAsia="ja-JP"/>
              </w:rPr>
              <w:t>On Intel</w:t>
            </w:r>
            <w:r>
              <w:rPr>
                <w:rFonts w:eastAsia="ＭＳ 明朝"/>
                <w:lang w:eastAsia="ja-JP"/>
              </w:rPr>
              <w:t>’</w:t>
            </w:r>
            <w:r w:rsidRPr="00B1316F">
              <w:rPr>
                <w:rFonts w:eastAsia="ＭＳ 明朝"/>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ＭＳ 明朝"/>
                <w:lang w:eastAsia="ja-JP"/>
              </w:rPr>
            </w:pPr>
            <w:r>
              <w:rPr>
                <w:rFonts w:eastAsiaTheme="minorEastAsia"/>
              </w:rPr>
              <w:t>Ericsson</w:t>
            </w:r>
          </w:p>
        </w:tc>
        <w:tc>
          <w:tcPr>
            <w:tcW w:w="7627" w:type="dxa"/>
          </w:tcPr>
          <w:p w14:paraId="4C1A569C" w14:textId="77777777" w:rsidR="003F4C9E" w:rsidRDefault="003F4C9E" w:rsidP="003F4C9E">
            <w:pPr>
              <w:rPr>
                <w:rFonts w:eastAsia="ＭＳ 明朝"/>
                <w:sz w:val="20"/>
                <w:szCs w:val="20"/>
                <w:lang w:eastAsia="ja-JP"/>
              </w:rPr>
            </w:pPr>
            <w:r>
              <w:rPr>
                <w:rFonts w:eastAsia="ＭＳ 明朝"/>
                <w:sz w:val="20"/>
                <w:szCs w:val="20"/>
                <w:lang w:eastAsia="ja-JP"/>
              </w:rPr>
              <w:t xml:space="preserve">Thanks for the compromise way forward. We can accept Intel’s and Nokia’s revisions.  </w:t>
            </w:r>
          </w:p>
          <w:p w14:paraId="2979889F" w14:textId="77777777" w:rsidR="003F4C9E" w:rsidRDefault="003F4C9E" w:rsidP="003F4C9E">
            <w:pPr>
              <w:rPr>
                <w:rFonts w:eastAsia="ＭＳ 明朝"/>
                <w:sz w:val="20"/>
                <w:szCs w:val="20"/>
                <w:lang w:eastAsia="ja-JP"/>
              </w:rPr>
            </w:pPr>
            <w:r>
              <w:rPr>
                <w:rFonts w:eastAsia="ＭＳ 明朝"/>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ＭＳ 明朝"/>
                <w:sz w:val="20"/>
                <w:szCs w:val="20"/>
                <w:lang w:eastAsia="ja-JP"/>
              </w:rPr>
            </w:pPr>
            <w:r>
              <w:rPr>
                <w:rFonts w:eastAsia="ＭＳ 明朝"/>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ＭＳ 明朝"/>
                <w:sz w:val="20"/>
                <w:szCs w:val="20"/>
                <w:lang w:eastAsia="ja-JP"/>
              </w:rPr>
              <w:t>R1-2112037</w:t>
            </w:r>
            <w:r>
              <w:rPr>
                <w:rFonts w:eastAsia="ＭＳ 明朝"/>
                <w:sz w:val="20"/>
                <w:szCs w:val="20"/>
                <w:lang w:eastAsia="ja-JP"/>
              </w:rPr>
              <w:t xml:space="preserve">, </w:t>
            </w:r>
            <w:r w:rsidRPr="00BC4DE4">
              <w:rPr>
                <w:rFonts w:eastAsia="ＭＳ 明朝"/>
                <w:sz w:val="20"/>
                <w:szCs w:val="20"/>
                <w:lang w:eastAsia="ja-JP"/>
              </w:rPr>
              <w:t>R1-2112038</w:t>
            </w:r>
            <w:r>
              <w:rPr>
                <w:rFonts w:eastAsia="ＭＳ 明朝"/>
                <w:sz w:val="20"/>
                <w:szCs w:val="20"/>
                <w:lang w:eastAsia="ja-JP"/>
              </w:rPr>
              <w:t xml:space="preserve">, and </w:t>
            </w:r>
            <w:r w:rsidRPr="00BC4DE4">
              <w:rPr>
                <w:rFonts w:eastAsia="ＭＳ 明朝"/>
                <w:sz w:val="20"/>
                <w:szCs w:val="20"/>
                <w:lang w:eastAsia="ja-JP"/>
              </w:rPr>
              <w:t>R1-2112040</w:t>
            </w:r>
            <w:r>
              <w:rPr>
                <w:rFonts w:eastAsia="ＭＳ 明朝"/>
                <w:sz w:val="20"/>
                <w:szCs w:val="20"/>
                <w:lang w:eastAsia="ja-JP"/>
              </w:rPr>
              <w:t xml:space="preserve">, more than two frequency hopping offsets provides significant gain over two offsets (e.g. roughly 0.5 and 1.5 dB at 10% and 1% BLER) for repeated PUSCH/PUCCH and </w:t>
            </w:r>
            <w:proofErr w:type="spellStart"/>
            <w:r>
              <w:rPr>
                <w:rFonts w:eastAsia="ＭＳ 明朝"/>
                <w:sz w:val="20"/>
                <w:szCs w:val="20"/>
                <w:lang w:eastAsia="ja-JP"/>
              </w:rPr>
              <w:t>TBoMS</w:t>
            </w:r>
            <w:proofErr w:type="spellEnd"/>
            <w:r>
              <w:rPr>
                <w:rFonts w:eastAsia="ＭＳ 明朝"/>
                <w:sz w:val="20"/>
                <w:szCs w:val="20"/>
                <w:lang w:eastAsia="ja-JP"/>
              </w:rPr>
              <w:t xml:space="preserve">. Please see example BLER curves from </w:t>
            </w:r>
            <w:r w:rsidRPr="00BC4DE4">
              <w:rPr>
                <w:rFonts w:eastAsia="ＭＳ 明朝"/>
                <w:sz w:val="20"/>
                <w:szCs w:val="20"/>
                <w:lang w:eastAsia="ja-JP"/>
              </w:rPr>
              <w:t>R1-2112037</w:t>
            </w:r>
            <w:r>
              <w:rPr>
                <w:rFonts w:eastAsia="ＭＳ 明朝"/>
                <w:sz w:val="20"/>
                <w:szCs w:val="20"/>
                <w:lang w:eastAsia="ja-JP"/>
              </w:rPr>
              <w:t xml:space="preserve"> below.</w:t>
            </w:r>
          </w:p>
          <w:p w14:paraId="2A0CD139" w14:textId="77777777" w:rsidR="003F4C9E" w:rsidRDefault="003F4C9E" w:rsidP="003F4C9E">
            <w:pPr>
              <w:rPr>
                <w:rFonts w:eastAsia="ＭＳ 明朝"/>
                <w:sz w:val="20"/>
                <w:szCs w:val="20"/>
                <w:lang w:eastAsia="ja-JP"/>
              </w:rPr>
            </w:pPr>
            <w:r>
              <w:rPr>
                <w:rFonts w:eastAsia="ＭＳ 明朝"/>
                <w:sz w:val="20"/>
                <w:szCs w:val="20"/>
                <w:lang w:eastAsia="ja-JP"/>
              </w:rPr>
              <w:lastRenderedPageBreak/>
              <w:t>Therefore, we propose to add a bullet:</w:t>
            </w:r>
          </w:p>
          <w:p w14:paraId="48C349C1"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ＭＳ 明朝"/>
                <w:sz w:val="20"/>
                <w:szCs w:val="20"/>
                <w:lang w:eastAsia="ja-JP"/>
              </w:rPr>
            </w:pPr>
            <w:r>
              <w:rPr>
                <w:rFonts w:eastAsia="ＭＳ 明朝"/>
                <w:sz w:val="20"/>
                <w:szCs w:val="20"/>
                <w:lang w:eastAsia="ja-JP"/>
              </w:rPr>
              <w:t>As shown below:</w:t>
            </w:r>
          </w:p>
          <w:p w14:paraId="713CEB2A" w14:textId="77777777" w:rsidR="003F4C9E" w:rsidRPr="00CD6BCF" w:rsidRDefault="003F4C9E" w:rsidP="003F4C9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 xml:space="preserve">DMRS </w:t>
            </w:r>
            <w:proofErr w:type="spellStart"/>
            <w:r w:rsidRPr="00CD6BCF">
              <w:rPr>
                <w:rFonts w:ascii="Times New Roman" w:eastAsia="SimSun" w:hAnsi="Times New Roman"/>
                <w:b/>
                <w:bCs/>
                <w:color w:val="FF0000"/>
                <w:sz w:val="20"/>
                <w:szCs w:val="18"/>
                <w:highlight w:val="yellow"/>
                <w:lang w:eastAsia="zh-CN"/>
              </w:rPr>
              <w:t>bunding</w:t>
            </w:r>
            <w:proofErr w:type="spellEnd"/>
            <w:r w:rsidRPr="00CD6BCF">
              <w:rPr>
                <w:rFonts w:ascii="Times New Roman" w:eastAsia="SimSun" w:hAnsi="Times New Roman"/>
                <w:b/>
                <w:bCs/>
                <w:color w:val="FF0000"/>
                <w:sz w:val="20"/>
                <w:szCs w:val="18"/>
                <w:highlight w:val="yellow"/>
                <w:lang w:eastAsia="zh-CN"/>
              </w:rPr>
              <w:t xml:space="preserve"> is per actual TDW</w:t>
            </w:r>
          </w:p>
          <w:p w14:paraId="39AE1558" w14:textId="77777777" w:rsidR="003F4C9E" w:rsidRPr="00CD6BCF" w:rsidRDefault="003F4C9E" w:rsidP="003F4C9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ＭＳ 明朝"/>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ＭＳ 明朝"/>
                <w:sz w:val="20"/>
                <w:szCs w:val="20"/>
                <w:lang w:eastAsia="ja-JP"/>
              </w:rPr>
            </w:pPr>
          </w:p>
          <w:p w14:paraId="3D11E4D7" w14:textId="33237CAA" w:rsidR="003F4C9E" w:rsidRPr="00B1316F" w:rsidRDefault="003F4C9E" w:rsidP="003F4C9E">
            <w:pPr>
              <w:rPr>
                <w:rFonts w:eastAsia="ＭＳ 明朝"/>
                <w:lang w:eastAsia="ja-JP"/>
              </w:rPr>
            </w:pPr>
            <w:r w:rsidRPr="005D2628">
              <w:rPr>
                <w:noProof/>
                <w:lang w:eastAsia="ja-JP"/>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ＭＳ 明朝"/>
                <w:lang w:eastAsia="ja-JP"/>
              </w:rPr>
              <w:lastRenderedPageBreak/>
              <w:t>NTT DOCOMO</w:t>
            </w:r>
          </w:p>
        </w:tc>
        <w:tc>
          <w:tcPr>
            <w:tcW w:w="7627" w:type="dxa"/>
          </w:tcPr>
          <w:p w14:paraId="6D0C8FD2" w14:textId="77777777" w:rsidR="002D1764" w:rsidRPr="00E37705" w:rsidRDefault="002D1764" w:rsidP="002D1764">
            <w:pPr>
              <w:rPr>
                <w:rFonts w:eastAsia="ＭＳ 明朝"/>
                <w:lang w:eastAsia="ja-JP"/>
              </w:rPr>
            </w:pPr>
            <w:r w:rsidRPr="00E37705">
              <w:rPr>
                <w:rFonts w:eastAsia="ＭＳ 明朝"/>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ＭＳ 明朝"/>
                <w:lang w:eastAsia="ja-JP"/>
              </w:rPr>
            </w:pPr>
            <w:r w:rsidRPr="00E37705">
              <w:rPr>
                <w:rFonts w:eastAsia="ＭＳ 明朝"/>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ＭＳ 明朝"/>
                <w:lang w:eastAsia="ja-JP"/>
              </w:rPr>
            </w:pPr>
            <w:r w:rsidRPr="00E37705">
              <w:rPr>
                <w:rFonts w:eastAsia="ＭＳ 明朝"/>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ＭＳ 明朝"/>
                <w:lang w:eastAsia="ja-JP"/>
              </w:rPr>
            </w:pPr>
            <w:r w:rsidRPr="00E37705">
              <w:rPr>
                <w:rFonts w:eastAsia="ＭＳ 明朝"/>
                <w:lang w:eastAsia="ja-JP"/>
              </w:rPr>
              <w:t>(in this case hopping pattern is per cell specific)</w:t>
            </w:r>
          </w:p>
          <w:p w14:paraId="18F45DE3" w14:textId="46F000E6" w:rsidR="002D1764" w:rsidRPr="00E37705" w:rsidRDefault="002D1764" w:rsidP="002D1764">
            <w:pPr>
              <w:rPr>
                <w:rFonts w:eastAsia="ＭＳ 明朝"/>
                <w:lang w:eastAsia="ja-JP"/>
              </w:rPr>
            </w:pPr>
            <w:r w:rsidRPr="00E37705">
              <w:rPr>
                <w:rFonts w:eastAsia="ＭＳ 明朝"/>
                <w:lang w:eastAsia="ja-JP"/>
              </w:rPr>
              <w:t>(We expect that the slot index is absolute number</w:t>
            </w:r>
            <w:r w:rsidR="00E67B82">
              <w:rPr>
                <w:rFonts w:eastAsia="ＭＳ 明朝"/>
                <w:lang w:eastAsia="ja-JP"/>
              </w:rPr>
              <w:t xml:space="preserve"> in this case</w:t>
            </w:r>
            <w:bookmarkStart w:id="18" w:name="_GoBack"/>
            <w:bookmarkEnd w:id="18"/>
            <w:r w:rsidRPr="00E37705">
              <w:rPr>
                <w:rFonts w:eastAsia="ＭＳ 明朝"/>
                <w:lang w:eastAsia="ja-JP"/>
              </w:rPr>
              <w:t>.)</w:t>
            </w:r>
          </w:p>
          <w:p w14:paraId="71C27B8B" w14:textId="77777777" w:rsidR="002D1764" w:rsidRPr="00E37705" w:rsidRDefault="002D1764" w:rsidP="002D1764">
            <w:pPr>
              <w:rPr>
                <w:rFonts w:eastAsia="ＭＳ 明朝"/>
                <w:lang w:eastAsia="ja-JP"/>
              </w:rPr>
            </w:pPr>
            <w:r w:rsidRPr="00E37705">
              <w:rPr>
                <w:rFonts w:eastAsia="ＭＳ 明朝"/>
                <w:lang w:eastAsia="ja-JP"/>
              </w:rPr>
              <w:t>2. Frequency hopping pattern is determined by configured TDW (like Option 2), e.g. (DDS) UU(f1) (DDS) UU(f2)</w:t>
            </w:r>
          </w:p>
          <w:p w14:paraId="4D0A7889" w14:textId="77777777" w:rsidR="002D1764" w:rsidRPr="00E37705" w:rsidRDefault="002D1764" w:rsidP="002D1764">
            <w:pPr>
              <w:rPr>
                <w:rFonts w:eastAsia="ＭＳ 明朝"/>
                <w:lang w:eastAsia="ja-JP"/>
              </w:rPr>
            </w:pPr>
            <w:r w:rsidRPr="00E37705">
              <w:rPr>
                <w:rFonts w:eastAsia="ＭＳ 明朝"/>
                <w:lang w:eastAsia="ja-JP"/>
              </w:rPr>
              <w:t>(in this case hopping pattern is per UE specific)</w:t>
            </w:r>
          </w:p>
          <w:p w14:paraId="3410F9CB" w14:textId="25BEEF1F" w:rsidR="002D1764" w:rsidRDefault="002D1764" w:rsidP="002D1764">
            <w:pPr>
              <w:rPr>
                <w:rFonts w:eastAsia="ＭＳ 明朝"/>
                <w:sz w:val="20"/>
                <w:szCs w:val="20"/>
                <w:lang w:eastAsia="ja-JP"/>
              </w:rPr>
            </w:pPr>
            <w:r w:rsidRPr="00E37705">
              <w:rPr>
                <w:rFonts w:eastAsia="ＭＳ 明朝"/>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ＭＳ 明朝"/>
                <w:lang w:eastAsia="ja-JP"/>
              </w:rPr>
              <w:t xml:space="preserve">configured </w:t>
            </w:r>
            <w:r w:rsidRPr="00E37705">
              <w:rPr>
                <w:rFonts w:eastAsia="ＭＳ 明朝"/>
                <w:lang w:eastAsia="ja-JP"/>
              </w:rPr>
              <w:t>TDW.</w:t>
            </w:r>
          </w:p>
        </w:tc>
      </w:tr>
    </w:tbl>
    <w:p w14:paraId="4839D724" w14:textId="77777777" w:rsidR="00622CAA" w:rsidRDefault="00622CAA"/>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lastRenderedPageBreak/>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70CEDD43" w:rsid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afa"/>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 xml:space="preserve">DMRS </w:t>
      </w:r>
      <w:proofErr w:type="spellStart"/>
      <w:r w:rsidRPr="003C547A">
        <w:rPr>
          <w:rFonts w:ascii="Times New Roman" w:eastAsia="SimSun" w:hAnsi="Times New Roman"/>
          <w:b/>
          <w:bCs/>
          <w:color w:val="FF0000"/>
          <w:sz w:val="20"/>
          <w:szCs w:val="20"/>
          <w:lang w:eastAsia="zh-CN"/>
        </w:rPr>
        <w:t>bunding</w:t>
      </w:r>
      <w:proofErr w:type="spellEnd"/>
      <w:r w:rsidRPr="003C547A">
        <w:rPr>
          <w:rFonts w:ascii="Times New Roman" w:eastAsia="SimSun" w:hAnsi="Times New Roman"/>
          <w:b/>
          <w:bCs/>
          <w:color w:val="FF0000"/>
          <w:sz w:val="20"/>
          <w:szCs w:val="20"/>
          <w:lang w:eastAsia="zh-CN"/>
        </w:rPr>
        <w:t xml:space="preserve"> is per actual TDW</w:t>
      </w:r>
    </w:p>
    <w:p w14:paraId="04BC9B93" w14:textId="77777777" w:rsidR="006D72D7" w:rsidRPr="001938E3" w:rsidRDefault="006D72D7" w:rsidP="006D72D7">
      <w:pPr>
        <w:pStyle w:val="afa"/>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a"/>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a"/>
        <w:numPr>
          <w:ilvl w:val="2"/>
          <w:numId w:val="14"/>
        </w:numPr>
        <w:spacing w:after="0"/>
        <w:rPr>
          <w:rFonts w:ascii="Times New Roman" w:eastAsia="SimSun" w:hAnsi="Times New Roman"/>
          <w:b/>
          <w:bCs/>
          <w:color w:val="00B050"/>
          <w:sz w:val="20"/>
          <w:szCs w:val="20"/>
        </w:rPr>
      </w:pPr>
      <w:proofErr w:type="gramStart"/>
      <w:r w:rsidRPr="00FA0CD3">
        <w:rPr>
          <w:rFonts w:ascii="Times New Roman" w:eastAsia="SimSun" w:hAnsi="Times New Roman"/>
          <w:b/>
          <w:bCs/>
          <w:color w:val="00B050"/>
          <w:sz w:val="20"/>
          <w:szCs w:val="20"/>
        </w:rPr>
        <w:t>if</w:t>
      </w:r>
      <w:proofErr w:type="gramEnd"/>
      <w:r w:rsidRPr="00FA0CD3">
        <w:rPr>
          <w:rFonts w:ascii="Times New Roman" w:eastAsia="SimSun" w:hAnsi="Times New Roman"/>
          <w:b/>
          <w:bCs/>
          <w:color w:val="00B050"/>
          <w:sz w:val="20"/>
          <w:szCs w:val="20"/>
        </w:rPr>
        <w:t xml:space="preserve"> hopping interval is not configured, the default hopping interval equals to the configured window length.</w:t>
      </w:r>
    </w:p>
    <w:p w14:paraId="5B0DBEC3" w14:textId="77777777" w:rsidR="006D72D7" w:rsidRPr="006C2313" w:rsidRDefault="006D72D7" w:rsidP="006D72D7">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a"/>
        <w:spacing w:after="0"/>
        <w:rPr>
          <w:rFonts w:ascii="Times New Roman" w:eastAsia="SimSun" w:hAnsi="Times New Roman"/>
          <w:b/>
          <w:bCs/>
          <w:strike/>
          <w:sz w:val="20"/>
          <w:szCs w:val="20"/>
        </w:rPr>
      </w:pPr>
    </w:p>
    <w:p w14:paraId="7B7512C6" w14:textId="3646C389" w:rsidR="00B526F0" w:rsidRPr="00C02F1C" w:rsidRDefault="00BC1D2A" w:rsidP="00B526F0">
      <w:pPr>
        <w:pStyle w:val="afa"/>
        <w:spacing w:after="0"/>
        <w:rPr>
          <w:rFonts w:ascii="Times New Roman" w:eastAsia="SimSun" w:hAnsi="Times New Roman"/>
          <w:b/>
          <w:bCs/>
          <w:strike/>
          <w:sz w:val="20"/>
          <w:szCs w:val="20"/>
        </w:rPr>
      </w:pPr>
      <w:r>
        <w:rPr>
          <w:rFonts w:eastAsia="SimSun"/>
          <w:b/>
          <w:bCs/>
          <w:strike/>
          <w:noProof/>
          <w:sz w:val="20"/>
          <w:szCs w:val="20"/>
          <w:lang w:eastAsia="ja-JP"/>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lastRenderedPageBreak/>
        <w:t>References</w:t>
      </w:r>
      <w:bookmarkEnd w:id="24"/>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33193">
            <w:pPr>
              <w:spacing w:before="0"/>
              <w:rPr>
                <w:iCs/>
                <w:u w:val="single"/>
                <w:lang w:eastAsia="zh-CN"/>
              </w:rPr>
            </w:pPr>
            <w:hyperlink r:id="rId16"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733193">
            <w:pPr>
              <w:spacing w:before="0"/>
              <w:rPr>
                <w:iCs/>
                <w:u w:val="single"/>
                <w:lang w:eastAsia="zh-CN"/>
              </w:rPr>
            </w:pPr>
            <w:hyperlink r:id="rId17"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33193">
            <w:pPr>
              <w:spacing w:before="0"/>
              <w:rPr>
                <w:iCs/>
                <w:u w:val="single"/>
                <w:lang w:eastAsia="zh-CN"/>
              </w:rPr>
            </w:pPr>
            <w:hyperlink r:id="rId18"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33193">
            <w:pPr>
              <w:spacing w:before="0"/>
              <w:rPr>
                <w:iCs/>
                <w:u w:val="single"/>
                <w:lang w:eastAsia="zh-CN"/>
              </w:rPr>
            </w:pPr>
            <w:hyperlink r:id="rId19"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33193">
            <w:pPr>
              <w:spacing w:before="0"/>
              <w:rPr>
                <w:iCs/>
                <w:u w:val="single"/>
                <w:lang w:eastAsia="zh-CN"/>
              </w:rPr>
            </w:pPr>
            <w:hyperlink r:id="rId20"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733193">
            <w:pPr>
              <w:spacing w:before="0"/>
              <w:rPr>
                <w:iCs/>
                <w:u w:val="single"/>
                <w:lang w:eastAsia="zh-CN"/>
              </w:rPr>
            </w:pPr>
            <w:hyperlink r:id="rId21"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33193">
            <w:pPr>
              <w:spacing w:before="0"/>
              <w:rPr>
                <w:iCs/>
                <w:u w:val="single"/>
                <w:lang w:eastAsia="zh-CN"/>
              </w:rPr>
            </w:pPr>
            <w:hyperlink r:id="rId22"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33193">
            <w:pPr>
              <w:spacing w:before="0"/>
              <w:rPr>
                <w:iCs/>
                <w:u w:val="single"/>
                <w:lang w:eastAsia="zh-CN"/>
              </w:rPr>
            </w:pPr>
            <w:hyperlink r:id="rId23"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33193">
            <w:pPr>
              <w:spacing w:before="0"/>
              <w:rPr>
                <w:iCs/>
                <w:u w:val="single"/>
                <w:lang w:eastAsia="zh-CN"/>
              </w:rPr>
            </w:pPr>
            <w:hyperlink r:id="rId24"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33193">
            <w:pPr>
              <w:spacing w:before="0"/>
              <w:rPr>
                <w:iCs/>
                <w:u w:val="single"/>
                <w:lang w:eastAsia="zh-CN"/>
              </w:rPr>
            </w:pPr>
            <w:hyperlink r:id="rId25"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33193">
            <w:pPr>
              <w:spacing w:before="0"/>
              <w:rPr>
                <w:iCs/>
                <w:u w:val="single"/>
                <w:lang w:eastAsia="zh-CN"/>
              </w:rPr>
            </w:pPr>
            <w:hyperlink r:id="rId26"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33193">
            <w:pPr>
              <w:spacing w:before="0"/>
              <w:rPr>
                <w:iCs/>
                <w:u w:val="single"/>
                <w:lang w:eastAsia="zh-CN"/>
              </w:rPr>
            </w:pPr>
            <w:hyperlink r:id="rId27"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33193">
            <w:pPr>
              <w:spacing w:before="0"/>
              <w:rPr>
                <w:iCs/>
                <w:u w:val="single"/>
                <w:lang w:eastAsia="zh-CN"/>
              </w:rPr>
            </w:pPr>
            <w:hyperlink r:id="rId28"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33193">
            <w:pPr>
              <w:spacing w:before="0"/>
              <w:rPr>
                <w:iCs/>
                <w:u w:val="single"/>
                <w:lang w:eastAsia="zh-CN"/>
              </w:rPr>
            </w:pPr>
            <w:hyperlink r:id="rId29"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33193">
            <w:pPr>
              <w:spacing w:before="0"/>
              <w:rPr>
                <w:iCs/>
                <w:u w:val="single"/>
                <w:lang w:eastAsia="zh-CN"/>
              </w:rPr>
            </w:pPr>
            <w:hyperlink r:id="rId30"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33193">
            <w:pPr>
              <w:spacing w:before="0"/>
              <w:rPr>
                <w:iCs/>
                <w:u w:val="single"/>
                <w:lang w:eastAsia="zh-CN"/>
              </w:rPr>
            </w:pPr>
            <w:hyperlink r:id="rId31"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33193">
            <w:pPr>
              <w:spacing w:before="0"/>
              <w:rPr>
                <w:iCs/>
                <w:u w:val="single"/>
                <w:lang w:eastAsia="zh-CN"/>
              </w:rPr>
            </w:pPr>
            <w:hyperlink r:id="rId32"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33193">
            <w:pPr>
              <w:spacing w:before="0"/>
              <w:rPr>
                <w:iCs/>
                <w:u w:val="single"/>
                <w:lang w:eastAsia="zh-CN"/>
              </w:rPr>
            </w:pPr>
            <w:hyperlink r:id="rId33"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33193">
            <w:pPr>
              <w:spacing w:before="0"/>
              <w:rPr>
                <w:iCs/>
                <w:u w:val="single"/>
                <w:lang w:eastAsia="zh-CN"/>
              </w:rPr>
            </w:pPr>
            <w:hyperlink r:id="rId34"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33193">
            <w:pPr>
              <w:spacing w:before="0"/>
              <w:rPr>
                <w:iCs/>
                <w:u w:val="single"/>
                <w:lang w:eastAsia="zh-CN"/>
              </w:rPr>
            </w:pPr>
            <w:hyperlink r:id="rId35"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33193">
            <w:pPr>
              <w:spacing w:before="0"/>
              <w:rPr>
                <w:iCs/>
                <w:u w:val="single"/>
                <w:lang w:eastAsia="zh-CN"/>
              </w:rPr>
            </w:pPr>
            <w:hyperlink r:id="rId36"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33193">
            <w:pPr>
              <w:spacing w:before="0"/>
              <w:rPr>
                <w:iCs/>
                <w:u w:val="single"/>
                <w:lang w:eastAsia="zh-CN"/>
              </w:rPr>
            </w:pPr>
            <w:hyperlink r:id="rId37"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33193">
            <w:pPr>
              <w:spacing w:before="0"/>
              <w:rPr>
                <w:iCs/>
                <w:u w:val="single"/>
                <w:lang w:eastAsia="zh-CN"/>
              </w:rPr>
            </w:pPr>
            <w:hyperlink r:id="rId38"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33193">
            <w:pPr>
              <w:spacing w:before="0"/>
              <w:rPr>
                <w:iCs/>
                <w:u w:val="single"/>
                <w:lang w:eastAsia="zh-CN"/>
              </w:rPr>
            </w:pPr>
            <w:hyperlink r:id="rId39"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0AD3" w14:textId="77777777" w:rsidR="00733193" w:rsidRDefault="00733193">
      <w:r>
        <w:separator/>
      </w:r>
    </w:p>
  </w:endnote>
  <w:endnote w:type="continuationSeparator" w:id="0">
    <w:p w14:paraId="7E1E4160" w14:textId="77777777" w:rsidR="00733193" w:rsidRDefault="0073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A527C0" w:rsidRDefault="00A527C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A527C0" w:rsidRDefault="00A527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34040DE3" w:rsidR="00A527C0" w:rsidRDefault="00A527C0">
    <w:pPr>
      <w:pStyle w:val="ad"/>
      <w:ind w:right="360"/>
    </w:pPr>
    <w:r>
      <w:rPr>
        <w:rStyle w:val="af5"/>
      </w:rPr>
      <w:fldChar w:fldCharType="begin"/>
    </w:r>
    <w:r>
      <w:rPr>
        <w:rStyle w:val="af5"/>
      </w:rPr>
      <w:instrText xml:space="preserve"> PAGE </w:instrText>
    </w:r>
    <w:r>
      <w:rPr>
        <w:rStyle w:val="af5"/>
      </w:rPr>
      <w:fldChar w:fldCharType="separate"/>
    </w:r>
    <w:r w:rsidR="00E67B82">
      <w:rPr>
        <w:rStyle w:val="af5"/>
        <w:noProof/>
      </w:rPr>
      <w:t>48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67B82">
      <w:rPr>
        <w:rStyle w:val="af5"/>
        <w:noProof/>
      </w:rPr>
      <w:t>49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6EB6" w14:textId="77777777" w:rsidR="00733193" w:rsidRDefault="00733193">
      <w:r>
        <w:separator/>
      </w:r>
    </w:p>
  </w:footnote>
  <w:footnote w:type="continuationSeparator" w:id="0">
    <w:p w14:paraId="5189D6AE" w14:textId="77777777" w:rsidR="00733193" w:rsidRDefault="00733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A527C0" w:rsidRDefault="00A527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2"/>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573D64B0-2C22-4237-AC8C-340153B3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49</Pages>
  <Words>15987</Words>
  <Characters>91128</Characters>
  <Application>Microsoft Office Word</Application>
  <DocSecurity>0</DocSecurity>
  <Lines>759</Lines>
  <Paragraphs>213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106902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7</cp:revision>
  <cp:lastPrinted>2014-11-07T05:38:00Z</cp:lastPrinted>
  <dcterms:created xsi:type="dcterms:W3CDTF">2021-11-18T01:00:00Z</dcterms:created>
  <dcterms:modified xsi:type="dcterms:W3CDTF">2021-11-18T02:13:00Z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