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w:t>
            </w:r>
            <w:proofErr w:type="gramStart"/>
            <w:r>
              <w:rPr>
                <w:rFonts w:ascii="Times New Roman" w:hAnsi="Times New Roman"/>
                <w:sz w:val="20"/>
                <w:szCs w:val="20"/>
                <w:lang w:eastAsia="zh-CN"/>
              </w:rPr>
              <w:t>depending</w:t>
            </w:r>
            <w:proofErr w:type="gramEnd"/>
            <w:r>
              <w:rPr>
                <w:rFonts w:ascii="Times New Roman" w:hAnsi="Times New Roman"/>
                <w:sz w:val="20"/>
                <w:szCs w:val="20"/>
                <w:lang w:eastAsia="zh-CN"/>
              </w:rPr>
              <w:t xml:space="preserve">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 xml:space="preserve">Cons: more </w:t>
            </w:r>
            <w:proofErr w:type="gramStart"/>
            <w:r>
              <w:rPr>
                <w:rFonts w:eastAsiaTheme="minorEastAsia"/>
                <w:lang w:eastAsia="zh-CN"/>
              </w:rPr>
              <w:t>configuration</w:t>
            </w:r>
            <w:proofErr w:type="gramEnd"/>
            <w:r>
              <w:rPr>
                <w:rFonts w:eastAsiaTheme="minorEastAsia"/>
                <w:lang w:eastAsia="zh-CN"/>
              </w:rPr>
              <w:t xml:space="preserve">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w:t>
            </w:r>
            <w:proofErr w:type="gramStart"/>
            <w:r>
              <w:rPr>
                <w:rFonts w:eastAsiaTheme="minorEastAsia" w:hint="eastAsia"/>
                <w:lang w:eastAsia="zh-CN"/>
              </w:rPr>
              <w:t>event, since</w:t>
            </w:r>
            <w:proofErr w:type="gramEnd"/>
            <w:r>
              <w:rPr>
                <w:rFonts w:eastAsiaTheme="minorEastAsia" w:hint="eastAsia"/>
                <w:lang w:eastAsia="zh-CN"/>
              </w:rPr>
              <w:t xml:space="preserv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proofErr w:type="gramStart"/>
            <w:r>
              <w:rPr>
                <w:rFonts w:eastAsia="MS Mincho"/>
                <w:lang w:eastAsia="ja-JP"/>
              </w:rPr>
              <w:t>In order to</w:t>
            </w:r>
            <w:proofErr w:type="gramEnd"/>
            <w:r>
              <w:rPr>
                <w:rFonts w:eastAsia="MS Mincho"/>
                <w:lang w:eastAsia="ja-JP"/>
              </w:rPr>
              <w:t xml:space="preserve">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w:t>
            </w:r>
            <w:proofErr w:type="gramStart"/>
            <w:r w:rsidRPr="00355DA7">
              <w:rPr>
                <w:rFonts w:eastAsiaTheme="minorEastAsia"/>
                <w:lang w:eastAsia="zh-CN"/>
              </w:rPr>
              <w:t>us</w:t>
            </w:r>
            <w:proofErr w:type="gramEnd"/>
            <w:r w:rsidRPr="00355DA7">
              <w:rPr>
                <w:rFonts w:eastAsiaTheme="minorEastAsia"/>
                <w:lang w:eastAsia="zh-CN"/>
              </w:rPr>
              <w:t xml:space="preserve"> and we support the sub-bullet added by Nokia</w:t>
            </w:r>
            <w:r w:rsidR="00336989">
              <w:rPr>
                <w:rFonts w:eastAsiaTheme="minorEastAsia"/>
                <w:lang w:eastAsia="zh-CN"/>
              </w:rPr>
              <w:t>/NSB</w:t>
            </w:r>
            <w:r w:rsidRPr="00355DA7">
              <w:rPr>
                <w:rFonts w:eastAsiaTheme="minorEastAsia"/>
                <w:lang w:eastAsia="zh-CN"/>
              </w:rPr>
              <w:t xml:space="preserve">. Although we suggest </w:t>
            </w:r>
            <w:proofErr w:type="gramStart"/>
            <w:r w:rsidRPr="00355DA7">
              <w:rPr>
                <w:rFonts w:eastAsiaTheme="minorEastAsia"/>
                <w:lang w:eastAsia="zh-CN"/>
              </w:rPr>
              <w:t>to modify</w:t>
            </w:r>
            <w:proofErr w:type="gramEnd"/>
            <w:r w:rsidRPr="00355DA7">
              <w:rPr>
                <w:rFonts w:eastAsiaTheme="minorEastAsia"/>
                <w:lang w:eastAsia="zh-CN"/>
              </w:rPr>
              <w:t xml:space="preserve">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 xml:space="preserve">The relative gains of frequency </w:t>
            </w:r>
            <w:proofErr w:type="gramStart"/>
            <w:r w:rsidRPr="001828E4">
              <w:rPr>
                <w:rFonts w:eastAsiaTheme="minorEastAsia"/>
                <w:b/>
                <w:bCs/>
                <w:lang w:eastAsia="zh-CN"/>
              </w:rPr>
              <w:t>hopping</w:t>
            </w:r>
            <w:proofErr w:type="gramEnd"/>
            <w:r w:rsidRPr="001828E4">
              <w:rPr>
                <w:rFonts w:eastAsiaTheme="minorEastAsia"/>
                <w:b/>
                <w:bCs/>
                <w:lang w:eastAsia="zh-CN"/>
              </w:rPr>
              <w:t xml:space="preserve">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w:t>
            </w:r>
            <w:proofErr w:type="gramStart"/>
            <w:r>
              <w:rPr>
                <w:rFonts w:eastAsiaTheme="minorEastAsia"/>
                <w:lang w:eastAsia="zh-CN"/>
              </w:rPr>
              <w:t>multi user</w:t>
            </w:r>
            <w:proofErr w:type="gramEnd"/>
            <w:r>
              <w:rPr>
                <w:rFonts w:eastAsiaTheme="minorEastAsia"/>
                <w:lang w:eastAsia="zh-CN"/>
              </w:rPr>
              <w:t xml:space="preserve">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w:t>
            </w:r>
            <w:proofErr w:type="gramStart"/>
            <w:r>
              <w:rPr>
                <w:rFonts w:eastAsiaTheme="minorEastAsia" w:hint="eastAsia"/>
                <w:lang w:eastAsia="zh-CN"/>
              </w:rPr>
              <w:t>resume</w:t>
            </w:r>
            <w:proofErr w:type="gramEnd"/>
            <w:r>
              <w:rPr>
                <w:rFonts w:eastAsiaTheme="minorEastAsia" w:hint="eastAsia"/>
                <w:lang w:eastAsia="zh-CN"/>
              </w:rPr>
              <w:t xml:space="preserv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w:t>
            </w:r>
            <w:proofErr w:type="gramStart"/>
            <w:r>
              <w:rPr>
                <w:rFonts w:eastAsiaTheme="minorEastAsia"/>
                <w:lang w:eastAsia="zh-CN"/>
              </w:rPr>
              <w:t>JCE, and</w:t>
            </w:r>
            <w:proofErr w:type="gramEnd"/>
            <w:r>
              <w:rPr>
                <w:rFonts w:eastAsiaTheme="minorEastAsia"/>
                <w:lang w:eastAsia="zh-CN"/>
              </w:rPr>
              <w:t xml:space="preserve">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MU multiplexing even difficult. Hence, MU multiplexing should be not considered as advantage of </w:t>
            </w:r>
            <w:proofErr w:type="gramStart"/>
            <w:r>
              <w:rPr>
                <w:rFonts w:eastAsiaTheme="minorEastAsia"/>
                <w:lang w:eastAsia="zh-CN"/>
              </w:rPr>
              <w:t>option-1</w:t>
            </w:r>
            <w:proofErr w:type="gramEnd"/>
            <w:r>
              <w:rPr>
                <w:rFonts w:eastAsiaTheme="minorEastAsia"/>
                <w:lang w:eastAsia="zh-CN"/>
              </w:rPr>
              <w:t>.</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if hopping interval is configured, the hopping pattern is determined using option-</w:t>
            </w:r>
            <w:proofErr w:type="gramStart"/>
            <w:r w:rsidRPr="00F136CD">
              <w:rPr>
                <w:rFonts w:ascii="Times New Roman" w:eastAsiaTheme="minorEastAsia" w:hAnsi="Times New Roman"/>
                <w:sz w:val="20"/>
                <w:szCs w:val="20"/>
                <w:lang w:eastAsia="zh-CN"/>
              </w:rPr>
              <w:t>1;</w:t>
            </w:r>
            <w:proofErr w:type="gramEnd"/>
            <w:r w:rsidRPr="00F136CD">
              <w:rPr>
                <w:rFonts w:ascii="Times New Roman" w:eastAsiaTheme="minorEastAsia" w:hAnsi="Times New Roman"/>
                <w:sz w:val="20"/>
                <w:szCs w:val="20"/>
                <w:lang w:eastAsia="zh-CN"/>
              </w:rPr>
              <w:t xml:space="preserve">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w:t>
            </w:r>
            <w:proofErr w:type="gramStart"/>
            <w:r w:rsidRPr="002A4EFD">
              <w:rPr>
                <w:rFonts w:eastAsia="MS Mincho"/>
                <w:lang w:eastAsia="ja-JP"/>
              </w:rPr>
              <w:t>in order to</w:t>
            </w:r>
            <w:proofErr w:type="gramEnd"/>
            <w:r w:rsidRPr="002A4EFD">
              <w:rPr>
                <w:rFonts w:eastAsia="MS Mincho"/>
                <w:lang w:eastAsia="ja-JP"/>
              </w:rPr>
              <w:t xml:space="preserve">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w:t>
            </w:r>
            <w:proofErr w:type="gramStart"/>
            <w:r>
              <w:rPr>
                <w:rFonts w:eastAsia="Malgun Gothic" w:hint="eastAsia"/>
                <w:lang w:eastAsia="ko-KR"/>
              </w:rPr>
              <w:t>multi user</w:t>
            </w:r>
            <w:proofErr w:type="gramEnd"/>
            <w:r>
              <w:rPr>
                <w:rFonts w:eastAsia="Malgun Gothic" w:hint="eastAsia"/>
                <w:lang w:eastAsia="ko-KR"/>
              </w:rPr>
              <w:t xml:space="preserve">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 xml:space="preserve">We suggest </w:t>
            </w:r>
            <w:proofErr w:type="gramStart"/>
            <w:r>
              <w:rPr>
                <w:rFonts w:eastAsia="MS Mincho"/>
                <w:sz w:val="20"/>
                <w:szCs w:val="20"/>
                <w:lang w:eastAsia="ja-JP"/>
              </w:rPr>
              <w:t>to add</w:t>
            </w:r>
            <w:proofErr w:type="gramEnd"/>
            <w:r>
              <w:rPr>
                <w:rFonts w:eastAsia="MS Mincho"/>
                <w:sz w:val="20"/>
                <w:szCs w:val="20"/>
                <w:lang w:eastAsia="ja-JP"/>
              </w:rPr>
              <w:t xml:space="preserve">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w:t>
            </w:r>
            <w:proofErr w:type="gramStart"/>
            <w:r w:rsidRPr="003F0420">
              <w:rPr>
                <w:rFonts w:eastAsiaTheme="minorEastAsia"/>
                <w:sz w:val="20"/>
                <w:szCs w:val="20"/>
                <w:lang w:eastAsia="zh-CN"/>
              </w:rPr>
              <w:t>Actually, we</w:t>
            </w:r>
            <w:proofErr w:type="gramEnd"/>
            <w:r w:rsidRPr="003F0420">
              <w:rPr>
                <w:rFonts w:eastAsiaTheme="minorEastAsia"/>
                <w:sz w:val="20"/>
                <w:szCs w:val="20"/>
                <w:lang w:eastAsia="zh-CN"/>
              </w:rPr>
              <w:t xml:space="preserv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lastRenderedPageBreak/>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w:t>
      </w:r>
      <w:proofErr w:type="gramStart"/>
      <w:r>
        <w:t>Companies</w:t>
      </w:r>
      <w:proofErr w:type="gramEnd"/>
      <w:r>
        <w:t xml:space="preserve">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nt="eastAsia"/>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F6137F">
        <w:tc>
          <w:tcPr>
            <w:tcW w:w="2335" w:type="dxa"/>
          </w:tcPr>
          <w:p w14:paraId="5CAEB198" w14:textId="77777777" w:rsidR="00622CAA" w:rsidRPr="003548B3" w:rsidRDefault="00622CAA" w:rsidP="00F6137F">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F6137F">
            <w:pPr>
              <w:spacing w:before="0"/>
              <w:rPr>
                <w:b/>
                <w:bCs/>
                <w:sz w:val="20"/>
                <w:szCs w:val="20"/>
              </w:rPr>
            </w:pPr>
            <w:r w:rsidRPr="003548B3">
              <w:rPr>
                <w:b/>
                <w:bCs/>
                <w:sz w:val="20"/>
                <w:szCs w:val="20"/>
              </w:rPr>
              <w:t>Comment</w:t>
            </w:r>
          </w:p>
        </w:tc>
      </w:tr>
      <w:tr w:rsidR="00622CAA" w:rsidRPr="003548B3" w14:paraId="771B17E3" w14:textId="77777777" w:rsidTr="00F6137F">
        <w:tc>
          <w:tcPr>
            <w:tcW w:w="2335" w:type="dxa"/>
            <w:shd w:val="clear" w:color="auto" w:fill="auto"/>
          </w:tcPr>
          <w:p w14:paraId="35E69798" w14:textId="7B499624" w:rsidR="00622CAA" w:rsidRPr="003548B3" w:rsidRDefault="00622CAA" w:rsidP="00F6137F">
            <w:pPr>
              <w:spacing w:before="0"/>
              <w:rPr>
                <w:rFonts w:eastAsia="MS Mincho"/>
                <w:bCs/>
                <w:sz w:val="20"/>
                <w:szCs w:val="20"/>
                <w:lang w:eastAsia="ja-JP"/>
              </w:rPr>
            </w:pPr>
          </w:p>
        </w:tc>
        <w:tc>
          <w:tcPr>
            <w:tcW w:w="7627" w:type="dxa"/>
            <w:shd w:val="clear" w:color="auto" w:fill="auto"/>
          </w:tcPr>
          <w:p w14:paraId="6A526C8C" w14:textId="51E28D0A" w:rsidR="00622CAA" w:rsidRPr="003548B3" w:rsidRDefault="00622CAA" w:rsidP="00F6137F">
            <w:pPr>
              <w:spacing w:before="0"/>
              <w:rPr>
                <w:rFonts w:eastAsia="MS Mincho"/>
                <w:sz w:val="20"/>
                <w:szCs w:val="20"/>
                <w:lang w:eastAsia="ja-JP"/>
              </w:rPr>
            </w:pPr>
          </w:p>
        </w:tc>
      </w:tr>
      <w:tr w:rsidR="00622CAA" w:rsidRPr="008A3C2D" w14:paraId="32ED3A4E" w14:textId="77777777" w:rsidTr="00F6137F">
        <w:trPr>
          <w:trHeight w:val="984"/>
        </w:trPr>
        <w:tc>
          <w:tcPr>
            <w:tcW w:w="2335" w:type="dxa"/>
          </w:tcPr>
          <w:p w14:paraId="65706848" w14:textId="347D2799" w:rsidR="00622CAA" w:rsidRPr="003548B3" w:rsidRDefault="00622CAA" w:rsidP="00F6137F">
            <w:pPr>
              <w:spacing w:before="0"/>
              <w:rPr>
                <w:rFonts w:eastAsia="MS Mincho"/>
                <w:bCs/>
                <w:sz w:val="20"/>
                <w:szCs w:val="20"/>
                <w:lang w:eastAsia="ja-JP"/>
              </w:rPr>
            </w:pPr>
          </w:p>
        </w:tc>
        <w:tc>
          <w:tcPr>
            <w:tcW w:w="7627" w:type="dxa"/>
          </w:tcPr>
          <w:p w14:paraId="245D8613" w14:textId="5111D74B" w:rsidR="00622CAA" w:rsidRPr="008A3C2D" w:rsidRDefault="00622CAA" w:rsidP="00F6137F">
            <w:pPr>
              <w:spacing w:before="0"/>
              <w:rPr>
                <w:rFonts w:eastAsia="MS Mincho"/>
                <w:sz w:val="20"/>
                <w:szCs w:val="20"/>
                <w:lang w:eastAsia="ja-JP"/>
              </w:rPr>
            </w:pPr>
          </w:p>
        </w:tc>
      </w:tr>
    </w:tbl>
    <w:p w14:paraId="4839D724" w14:textId="77777777" w:rsidR="00622CAA" w:rsidRDefault="00622CAA"/>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F51A84">
        <w:fldChar w:fldCharType="begin"/>
      </w:r>
      <w:r w:rsidR="00F51A84">
        <w:instrText xml:space="preserve"> SEQ Proposal \* ARABIC </w:instrText>
      </w:r>
      <w:r w:rsidR="00F51A84">
        <w:fldChar w:fldCharType="separate"/>
      </w:r>
      <w:r>
        <w:t>3</w:t>
      </w:r>
      <w:r w:rsidR="00F51A84">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 xml:space="preserve">-slot based PUCCH repetition have been introduced in URLLC, and PUCCH repetitions can be transmitted within a slot. If joint channel </w:t>
            </w:r>
            <w:r>
              <w:lastRenderedPageBreak/>
              <w:t>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2E635C20" w14:textId="16BAE688" w:rsidR="0058510D" w:rsidRPr="00913A41" w:rsidRDefault="0058510D" w:rsidP="0058510D">
      <w:pPr>
        <w:pStyle w:val="Heading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lastRenderedPageBreak/>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F51A84">
            <w:pPr>
              <w:spacing w:before="0"/>
              <w:rPr>
                <w:iCs/>
                <w:u w:val="single"/>
                <w:lang w:eastAsia="zh-CN"/>
              </w:rPr>
            </w:pPr>
            <w:hyperlink r:id="rId15"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F51A84">
            <w:pPr>
              <w:spacing w:before="0"/>
              <w:rPr>
                <w:iCs/>
                <w:u w:val="single"/>
                <w:lang w:eastAsia="zh-CN"/>
              </w:rPr>
            </w:pPr>
            <w:hyperlink r:id="rId16"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F51A84">
            <w:pPr>
              <w:spacing w:before="0"/>
              <w:rPr>
                <w:iCs/>
                <w:u w:val="single"/>
                <w:lang w:eastAsia="zh-CN"/>
              </w:rPr>
            </w:pPr>
            <w:hyperlink r:id="rId17"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F51A84">
            <w:pPr>
              <w:spacing w:before="0"/>
              <w:rPr>
                <w:iCs/>
                <w:u w:val="single"/>
                <w:lang w:eastAsia="zh-CN"/>
              </w:rPr>
            </w:pPr>
            <w:hyperlink r:id="rId18"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F51A84">
            <w:pPr>
              <w:spacing w:before="0"/>
              <w:rPr>
                <w:iCs/>
                <w:u w:val="single"/>
                <w:lang w:eastAsia="zh-CN"/>
              </w:rPr>
            </w:pPr>
            <w:hyperlink r:id="rId19"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F51A84">
            <w:pPr>
              <w:spacing w:before="0"/>
              <w:rPr>
                <w:iCs/>
                <w:u w:val="single"/>
                <w:lang w:eastAsia="zh-CN"/>
              </w:rPr>
            </w:pPr>
            <w:hyperlink r:id="rId20"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F51A84">
            <w:pPr>
              <w:spacing w:before="0"/>
              <w:rPr>
                <w:iCs/>
                <w:u w:val="single"/>
                <w:lang w:eastAsia="zh-CN"/>
              </w:rPr>
            </w:pPr>
            <w:hyperlink r:id="rId21"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F51A84">
            <w:pPr>
              <w:spacing w:before="0"/>
              <w:rPr>
                <w:iCs/>
                <w:u w:val="single"/>
                <w:lang w:eastAsia="zh-CN"/>
              </w:rPr>
            </w:pPr>
            <w:hyperlink r:id="rId22"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F51A84">
            <w:pPr>
              <w:spacing w:before="0"/>
              <w:rPr>
                <w:iCs/>
                <w:u w:val="single"/>
                <w:lang w:eastAsia="zh-CN"/>
              </w:rPr>
            </w:pPr>
            <w:hyperlink r:id="rId23"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F51A84">
            <w:pPr>
              <w:spacing w:before="0"/>
              <w:rPr>
                <w:iCs/>
                <w:u w:val="single"/>
                <w:lang w:eastAsia="zh-CN"/>
              </w:rPr>
            </w:pPr>
            <w:hyperlink r:id="rId24"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F51A84">
            <w:pPr>
              <w:spacing w:before="0"/>
              <w:rPr>
                <w:iCs/>
                <w:u w:val="single"/>
                <w:lang w:eastAsia="zh-CN"/>
              </w:rPr>
            </w:pPr>
            <w:hyperlink r:id="rId25"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F51A84">
            <w:pPr>
              <w:spacing w:before="0"/>
              <w:rPr>
                <w:iCs/>
                <w:u w:val="single"/>
                <w:lang w:eastAsia="zh-CN"/>
              </w:rPr>
            </w:pPr>
            <w:hyperlink r:id="rId26"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F51A84">
            <w:pPr>
              <w:spacing w:before="0"/>
              <w:rPr>
                <w:iCs/>
                <w:u w:val="single"/>
                <w:lang w:eastAsia="zh-CN"/>
              </w:rPr>
            </w:pPr>
            <w:hyperlink r:id="rId27"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F51A84">
            <w:pPr>
              <w:spacing w:before="0"/>
              <w:rPr>
                <w:iCs/>
                <w:u w:val="single"/>
                <w:lang w:eastAsia="zh-CN"/>
              </w:rPr>
            </w:pPr>
            <w:hyperlink r:id="rId28"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F51A84">
            <w:pPr>
              <w:spacing w:before="0"/>
              <w:rPr>
                <w:iCs/>
                <w:u w:val="single"/>
                <w:lang w:eastAsia="zh-CN"/>
              </w:rPr>
            </w:pPr>
            <w:hyperlink r:id="rId29"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F51A84">
            <w:pPr>
              <w:spacing w:before="0"/>
              <w:rPr>
                <w:iCs/>
                <w:u w:val="single"/>
                <w:lang w:eastAsia="zh-CN"/>
              </w:rPr>
            </w:pPr>
            <w:hyperlink r:id="rId30"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F51A84">
            <w:pPr>
              <w:spacing w:before="0"/>
              <w:rPr>
                <w:iCs/>
                <w:u w:val="single"/>
                <w:lang w:eastAsia="zh-CN"/>
              </w:rPr>
            </w:pPr>
            <w:hyperlink r:id="rId31"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F51A84">
            <w:pPr>
              <w:spacing w:before="0"/>
              <w:rPr>
                <w:iCs/>
                <w:u w:val="single"/>
                <w:lang w:eastAsia="zh-CN"/>
              </w:rPr>
            </w:pPr>
            <w:hyperlink r:id="rId32"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F51A84">
            <w:pPr>
              <w:spacing w:before="0"/>
              <w:rPr>
                <w:iCs/>
                <w:u w:val="single"/>
                <w:lang w:eastAsia="zh-CN"/>
              </w:rPr>
            </w:pPr>
            <w:hyperlink r:id="rId33"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F51A84">
            <w:pPr>
              <w:spacing w:before="0"/>
              <w:rPr>
                <w:iCs/>
                <w:u w:val="single"/>
                <w:lang w:eastAsia="zh-CN"/>
              </w:rPr>
            </w:pPr>
            <w:hyperlink r:id="rId34"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F51A84">
            <w:pPr>
              <w:spacing w:before="0"/>
              <w:rPr>
                <w:iCs/>
                <w:u w:val="single"/>
                <w:lang w:eastAsia="zh-CN"/>
              </w:rPr>
            </w:pPr>
            <w:hyperlink r:id="rId35"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F51A84">
            <w:pPr>
              <w:spacing w:before="0"/>
              <w:rPr>
                <w:iCs/>
                <w:u w:val="single"/>
                <w:lang w:eastAsia="zh-CN"/>
              </w:rPr>
            </w:pPr>
            <w:hyperlink r:id="rId36"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F51A84">
            <w:pPr>
              <w:spacing w:before="0"/>
              <w:rPr>
                <w:iCs/>
                <w:u w:val="single"/>
                <w:lang w:eastAsia="zh-CN"/>
              </w:rPr>
            </w:pPr>
            <w:hyperlink r:id="rId37"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F51A84">
            <w:pPr>
              <w:spacing w:before="0"/>
              <w:rPr>
                <w:iCs/>
                <w:u w:val="single"/>
                <w:lang w:eastAsia="zh-CN"/>
              </w:rPr>
            </w:pPr>
            <w:hyperlink r:id="rId38"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5C1E" w14:textId="77777777" w:rsidR="00F51A84" w:rsidRDefault="00F51A84">
      <w:r>
        <w:separator/>
      </w:r>
    </w:p>
  </w:endnote>
  <w:endnote w:type="continuationSeparator" w:id="0">
    <w:p w14:paraId="4A2D9A9A" w14:textId="77777777" w:rsidR="00F51A84" w:rsidRDefault="00F5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324F74B9"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sidR="009E1F1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F1F">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F6DB" w14:textId="77777777" w:rsidR="00F51A84" w:rsidRDefault="00F51A84">
      <w:r>
        <w:separator/>
      </w:r>
    </w:p>
  </w:footnote>
  <w:footnote w:type="continuationSeparator" w:id="0">
    <w:p w14:paraId="38245380" w14:textId="77777777" w:rsidR="00F51A84" w:rsidRDefault="00F5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1BD815-6990-4BD1-A066-288F07CE932E}">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14556</Words>
  <Characters>82972</Characters>
  <Application>Microsoft Office Word</Application>
  <DocSecurity>0</DocSecurity>
  <Lines>691</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2021-11-17T20:21:00Z</dcterms:created>
  <dcterms:modified xsi:type="dcterms:W3CDTF">2021-11-17T20:21:00Z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