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lastRenderedPageBreak/>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spellStart"/>
            <w:r w:rsidRPr="00601394">
              <w:rPr>
                <w:rFonts w:eastAsiaTheme="minorEastAsia"/>
                <w:lang w:eastAsia="zh-CN"/>
              </w:rPr>
              <w:t>mis</w:t>
            </w:r>
            <w:proofErr w:type="spellEnd"/>
            <w:r w:rsidRPr="00601394">
              <w:rPr>
                <w:rFonts w:eastAsiaTheme="minorEastAsia"/>
                <w:lang w:eastAsia="zh-CN"/>
              </w:rPr>
              <w:t xml:space="preserve">-alignment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spellStart"/>
            <w:r w:rsidR="00FD6DA7">
              <w:rPr>
                <w:rFonts w:eastAsia="Malgun Gothic"/>
                <w:lang w:eastAsia="ko-KR"/>
              </w:rPr>
              <w:t>mis</w:t>
            </w:r>
            <w:proofErr w:type="spellEnd"/>
            <w:r w:rsidR="00FD6DA7">
              <w:rPr>
                <w:rFonts w:eastAsia="Malgun Gothic"/>
                <w:lang w:eastAsia="ko-KR"/>
              </w:rPr>
              <w:t>-alignment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2C739D">
        <w:tc>
          <w:tcPr>
            <w:tcW w:w="1435"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lastRenderedPageBreak/>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lastRenderedPageBreak/>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w:t>
            </w:r>
            <w:r>
              <w:rPr>
                <w:rFonts w:eastAsiaTheme="minorEastAsia"/>
                <w:lang w:eastAsia="zh-CN"/>
              </w:rPr>
              <w:lastRenderedPageBreak/>
              <w:t>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 xml:space="preserve">nly to support same RRC configurations for hopping interval and configured TDW means no need to agree either Option 1 or Option 2 technically. Just for the specification description purpose, purely majority </w:t>
            </w:r>
            <w:r>
              <w:rPr>
                <w:rFonts w:eastAsia="MS Mincho"/>
                <w:lang w:eastAsia="ja-JP"/>
              </w:rPr>
              <w:lastRenderedPageBreak/>
              <w:t>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xml:space="preserve">, we are not fully clear of the detailed hopping design of option 1 before we agree with it. For example, whether </w:t>
            </w:r>
            <w:r>
              <w:rPr>
                <w:rFonts w:eastAsiaTheme="minorEastAsia"/>
                <w:lang w:eastAsia="zh-CN"/>
              </w:rPr>
              <w:lastRenderedPageBreak/>
              <w:t>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 xml:space="preserve">Legacy UE only support frequency hopping per single slot (inter slot frequency hopping), once the frequency </w:t>
            </w:r>
            <w:r>
              <w:rPr>
                <w:rFonts w:eastAsiaTheme="minorEastAsia"/>
                <w:lang w:eastAsia="zh-CN"/>
              </w:rPr>
              <w:lastRenderedPageBreak/>
              <w:t>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w:t>
            </w:r>
            <w:r w:rsidRPr="00002569">
              <w:rPr>
                <w:rFonts w:eastAsia="MS Mincho"/>
                <w:color w:val="FF0000"/>
                <w:sz w:val="20"/>
                <w:szCs w:val="20"/>
                <w:lang w:eastAsia="ja-JP"/>
              </w:rPr>
              <w:lastRenderedPageBreak/>
              <w:t>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lastRenderedPageBreak/>
              <w:t>We need to ensure that FH event does not prevent DM-RS bundling to restart.</w:t>
            </w:r>
          </w:p>
        </w:tc>
      </w:tr>
      <w:tr w:rsidR="00383FDE" w14:paraId="016359B2" w14:textId="77777777" w:rsidTr="00DD63AB">
        <w:tc>
          <w:tcPr>
            <w:tcW w:w="1435"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AA3AB9">
        <w:tc>
          <w:tcPr>
            <w:tcW w:w="1435"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2C739D">
        <w:tc>
          <w:tcPr>
            <w:tcW w:w="1435"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 xml:space="preserve">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w:t>
            </w:r>
            <w:r>
              <w:rPr>
                <w:rFonts w:eastAsia="MS Mincho"/>
                <w:lang w:eastAsia="ja-JP"/>
              </w:rPr>
              <w:lastRenderedPageBreak/>
              <w:t>‘0’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2C739D">
        <w:tc>
          <w:tcPr>
            <w:tcW w:w="1435"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2C739D">
        <w:tc>
          <w:tcPr>
            <w:tcW w:w="1435"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781B7C">
        <w:tc>
          <w:tcPr>
            <w:tcW w:w="1435" w:type="dxa"/>
            <w:shd w:val="clear" w:color="auto" w:fill="auto"/>
          </w:tcPr>
          <w:p w14:paraId="0C99E8D5" w14:textId="77777777" w:rsidR="00EB5B71" w:rsidRPr="00354C2B" w:rsidRDefault="00EB5B71" w:rsidP="00781B7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781B7C">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781B7C">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781B7C">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781B7C">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781B7C">
        <w:tc>
          <w:tcPr>
            <w:tcW w:w="1435"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781B7C">
        <w:tc>
          <w:tcPr>
            <w:tcW w:w="1435"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bookmarkStart w:id="18" w:name="_GoBack"/>
            <w:r w:rsidRPr="001A1466">
              <w:t>did not mean no change to legacy FH procedure” – the statement was “no change to legacy FH configuration”.</w:t>
            </w:r>
            <w:bookmarkEnd w:id="18"/>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bl>
    <w:p w14:paraId="67731BCD" w14:textId="77777777" w:rsidR="008B19FA" w:rsidRDefault="008B19FA"/>
    <w:p w14:paraId="33D84B1B" w14:textId="77777777" w:rsidR="00F27BB7" w:rsidRDefault="002B7C18">
      <w:pPr>
        <w:pStyle w:val="Heading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lastRenderedPageBreak/>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 xml:space="preserve">For a PUCCH resource to transmit a PUCCH without an associated scheduling DCI (e.g. P/SP-CSI or SR), if the PUCCH resource is configured with RRC parameter </w:t>
      </w:r>
      <w:r>
        <w:rPr>
          <w:b/>
          <w:bCs/>
          <w:lang w:val="en-GB"/>
        </w:rPr>
        <w:lastRenderedPageBreak/>
        <w:t>“nrofSlots-r17”,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3" w:name="_Ref54470658"/>
      <w:r>
        <w:t>References</w:t>
      </w:r>
      <w:bookmarkEnd w:id="23"/>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2D0A61">
            <w:pPr>
              <w:spacing w:before="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2D0A61">
            <w:pPr>
              <w:spacing w:before="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2D0A61">
            <w:pPr>
              <w:spacing w:before="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2D0A61">
            <w:pPr>
              <w:spacing w:before="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2D0A61">
            <w:pPr>
              <w:spacing w:before="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2D0A61">
            <w:pPr>
              <w:spacing w:before="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2D0A61">
            <w:pPr>
              <w:spacing w:before="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2D0A61">
            <w:pPr>
              <w:spacing w:before="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2D0A61">
            <w:pPr>
              <w:spacing w:before="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2D0A61">
            <w:pPr>
              <w:spacing w:before="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2D0A61">
            <w:pPr>
              <w:spacing w:before="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2D0A61">
            <w:pPr>
              <w:spacing w:before="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2D0A61">
            <w:pPr>
              <w:spacing w:before="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2D0A61">
            <w:pPr>
              <w:spacing w:before="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2D0A61">
            <w:pPr>
              <w:spacing w:before="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2D0A61">
            <w:pPr>
              <w:spacing w:before="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2D0A61">
            <w:pPr>
              <w:spacing w:before="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2D0A61">
            <w:pPr>
              <w:spacing w:before="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2D0A61">
            <w:pPr>
              <w:spacing w:before="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2D0A61">
            <w:pPr>
              <w:spacing w:before="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2D0A61">
            <w:pPr>
              <w:spacing w:before="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2D0A61">
            <w:pPr>
              <w:spacing w:before="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2D0A61">
            <w:pPr>
              <w:spacing w:before="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2D0A61">
            <w:pPr>
              <w:spacing w:before="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FC6FF" w14:textId="77777777" w:rsidR="002D0A61" w:rsidRDefault="002D0A61">
      <w:r>
        <w:separator/>
      </w:r>
    </w:p>
  </w:endnote>
  <w:endnote w:type="continuationSeparator" w:id="0">
    <w:p w14:paraId="1390853E" w14:textId="77777777" w:rsidR="002D0A61" w:rsidRDefault="002D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324F0A" w:rsidRDefault="00324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324F0A" w:rsidRDefault="00324F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4099CEA5" w:rsidR="00324F0A" w:rsidRDefault="00324F0A">
    <w:pPr>
      <w:pStyle w:val="Footer"/>
      <w:ind w:right="360"/>
    </w:pPr>
    <w:r>
      <w:rPr>
        <w:rStyle w:val="PageNumber"/>
      </w:rPr>
      <w:fldChar w:fldCharType="begin"/>
    </w:r>
    <w:r>
      <w:rPr>
        <w:rStyle w:val="PageNumber"/>
      </w:rPr>
      <w:instrText xml:space="preserve"> PAGE </w:instrText>
    </w:r>
    <w:r>
      <w:rPr>
        <w:rStyle w:val="PageNumber"/>
      </w:rPr>
      <w:fldChar w:fldCharType="separate"/>
    </w:r>
    <w:r w:rsidR="001A1466">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1466">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E465" w14:textId="77777777" w:rsidR="002D0A61" w:rsidRDefault="002D0A61">
      <w:r>
        <w:separator/>
      </w:r>
    </w:p>
  </w:footnote>
  <w:footnote w:type="continuationSeparator" w:id="0">
    <w:p w14:paraId="6669734C" w14:textId="77777777" w:rsidR="002D0A61" w:rsidRDefault="002D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324F0A" w:rsidRDefault="00324F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7"/>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4"/>
  </w:num>
  <w:num w:numId="14">
    <w:abstractNumId w:val="26"/>
  </w:num>
  <w:num w:numId="15">
    <w:abstractNumId w:val="15"/>
  </w:num>
  <w:num w:numId="16">
    <w:abstractNumId w:val="28"/>
  </w:num>
  <w:num w:numId="17">
    <w:abstractNumId w:val="4"/>
  </w:num>
  <w:num w:numId="18">
    <w:abstractNumId w:val="19"/>
  </w:num>
  <w:num w:numId="19">
    <w:abstractNumId w:val="0"/>
  </w:num>
  <w:num w:numId="20">
    <w:abstractNumId w:val="30"/>
  </w:num>
  <w:num w:numId="21">
    <w:abstractNumId w:val="21"/>
  </w:num>
  <w:num w:numId="22">
    <w:abstractNumId w:val="9"/>
  </w:num>
  <w:num w:numId="23">
    <w:abstractNumId w:val="16"/>
  </w:num>
  <w:num w:numId="24">
    <w:abstractNumId w:val="11"/>
  </w:num>
  <w:num w:numId="25">
    <w:abstractNumId w:val="32"/>
  </w:num>
  <w:num w:numId="26">
    <w:abstractNumId w:val="29"/>
  </w:num>
  <w:num w:numId="27">
    <w:abstractNumId w:val="35"/>
  </w:num>
  <w:num w:numId="28">
    <w:abstractNumId w:val="8"/>
  </w:num>
  <w:num w:numId="29">
    <w:abstractNumId w:val="14"/>
  </w:num>
  <w:num w:numId="30">
    <w:abstractNumId w:val="31"/>
  </w:num>
  <w:num w:numId="31">
    <w:abstractNumId w:val="20"/>
  </w:num>
  <w:num w:numId="32">
    <w:abstractNumId w:val="7"/>
  </w:num>
  <w:num w:numId="33">
    <w:abstractNumId w:val="23"/>
  </w:num>
  <w:num w:numId="34">
    <w:abstractNumId w:val="6"/>
  </w:num>
  <w:num w:numId="35">
    <w:abstractNumId w:val="3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993CDA70-1FEC-4906-9C77-473C0C54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40</Pages>
  <Words>12875</Words>
  <Characters>73391</Characters>
  <Application>Microsoft Office Word</Application>
  <DocSecurity>0</DocSecurity>
  <Lines>611</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2021-11-17T00:51:00Z</dcterms:created>
  <dcterms:modified xsi:type="dcterms:W3CDTF">2021-11-17T00:53:00Z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