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lastRenderedPageBreak/>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gramStart"/>
            <w:r>
              <w:t>mis-alignment</w:t>
            </w:r>
            <w:proofErr w:type="gramEnd"/>
            <w:r>
              <w:t xml:space="preserve">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w:t>
            </w:r>
            <w:r>
              <w:rPr>
                <w:rFonts w:ascii="Times New Roman" w:hAnsi="Times New Roman"/>
                <w:sz w:val="20"/>
                <w:szCs w:val="20"/>
                <w:lang w:eastAsia="zh-CN"/>
              </w:rPr>
              <w:lastRenderedPageBreak/>
              <w:t>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w:t>
            </w:r>
            <w:r>
              <w:rPr>
                <w:lang w:eastAsia="zh-CN"/>
              </w:rPr>
              <w:lastRenderedPageBreak/>
              <w:t>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 xml:space="preserve">The length of FH intervals and nominal TDW can be different, </w:t>
            </w:r>
            <w:proofErr w:type="gramStart"/>
            <w:r>
              <w:rPr>
                <w:rFonts w:ascii="Times New Roman" w:hAnsi="Times New Roman"/>
                <w:sz w:val="20"/>
                <w:szCs w:val="20"/>
                <w:lang w:eastAsia="zh-CN"/>
              </w:rPr>
              <w:t>depending</w:t>
            </w:r>
            <w:proofErr w:type="gramEnd"/>
            <w:r>
              <w:rPr>
                <w:rFonts w:ascii="Times New Roman" w:hAnsi="Times New Roman"/>
                <w:sz w:val="20"/>
                <w:szCs w:val="20"/>
                <w:lang w:eastAsia="zh-CN"/>
              </w:rPr>
              <w:t xml:space="preserve">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lastRenderedPageBreak/>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lastRenderedPageBreak/>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 xml:space="preserve">Further, in Rel-15/16, inter-slot frequency hopping pattern is defined based on slot index. Option 1 can help to allow backward compatibility. If hopping interval is configured with different value from the TDW length, this can </w:t>
            </w:r>
            <w:r w:rsidRPr="00601394">
              <w:rPr>
                <w:rFonts w:eastAsiaTheme="minorEastAsia"/>
                <w:lang w:eastAsia="zh-CN"/>
              </w:rPr>
              <w:lastRenderedPageBreak/>
              <w:t>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lastRenderedPageBreak/>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proofErr w:type="gramStart"/>
            <w:r>
              <w:rPr>
                <w:rFonts w:eastAsia="MS Mincho"/>
                <w:lang w:eastAsia="ja-JP"/>
              </w:rPr>
              <w:t>Pros</w:t>
            </w:r>
            <w:proofErr w:type="gramEnd"/>
            <w:r>
              <w:rPr>
                <w:rFonts w:eastAsia="MS Mincho"/>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lastRenderedPageBreak/>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w:t>
      </w:r>
      <w:proofErr w:type="gramStart"/>
      <w:r w:rsidRPr="00882EB1">
        <w:rPr>
          <w:b/>
          <w:bCs/>
        </w:rPr>
        <w:t>down-select</w:t>
      </w:r>
      <w:proofErr w:type="gramEnd"/>
      <w:r w:rsidRPr="00882EB1">
        <w:rPr>
          <w:b/>
          <w:bCs/>
        </w:rPr>
        <w:t xml:space="preserve">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 xml:space="preserve">common hopping pattern among </w:t>
            </w:r>
            <w:r>
              <w:rPr>
                <w:bCs/>
                <w:lang w:eastAsia="ja-JP"/>
              </w:rPr>
              <w:lastRenderedPageBreak/>
              <w:t>UEs could not be possible.</w:t>
            </w:r>
          </w:p>
        </w:tc>
        <w:tc>
          <w:tcPr>
            <w:tcW w:w="2642" w:type="dxa"/>
          </w:tcPr>
          <w:p w14:paraId="7546474B" w14:textId="77777777" w:rsidR="00F27BB7" w:rsidRDefault="002B7C18">
            <w:pPr>
              <w:rPr>
                <w:bCs/>
                <w:lang w:eastAsia="ja-JP"/>
              </w:rPr>
            </w:pPr>
            <w:r>
              <w:rPr>
                <w:rFonts w:eastAsia="MS Mincho" w:hint="eastAsia"/>
                <w:lang w:eastAsia="ja-JP"/>
              </w:rPr>
              <w:lastRenderedPageBreak/>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t>PRO: FH gains are larger, irrespective of whether events occur or not</w:t>
            </w:r>
          </w:p>
          <w:p w14:paraId="5476F509" w14:textId="77777777" w:rsidR="00F27BB7" w:rsidRDefault="002B7C18">
            <w:pPr>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lastRenderedPageBreak/>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lastRenderedPageBreak/>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 xml:space="preserve">1, higher signaling overhead to configure a different </w:t>
            </w:r>
            <w:proofErr w:type="gramStart"/>
            <w:r>
              <w:rPr>
                <w:lang w:eastAsia="zh-CN"/>
              </w:rPr>
              <w:t>length;</w:t>
            </w:r>
            <w:proofErr w:type="gramEnd"/>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lastRenderedPageBreak/>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 xml:space="preserve">Cons: more </w:t>
            </w:r>
            <w:proofErr w:type="gramStart"/>
            <w:r>
              <w:rPr>
                <w:rFonts w:eastAsiaTheme="minorEastAsia"/>
                <w:lang w:eastAsia="zh-CN"/>
              </w:rPr>
              <w:t>configuration</w:t>
            </w:r>
            <w:proofErr w:type="gramEnd"/>
            <w:r>
              <w:rPr>
                <w:rFonts w:eastAsiaTheme="minorEastAsia"/>
                <w:lang w:eastAsia="zh-CN"/>
              </w:rPr>
              <w:t xml:space="preserve">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 xml:space="preserve">A better balance between frequency domain diversity </w:t>
            </w:r>
            <w:proofErr w:type="gramStart"/>
            <w:r>
              <w:rPr>
                <w:rFonts w:ascii="Times New Roman" w:eastAsiaTheme="minorEastAsia" w:hAnsi="Times New Roman"/>
                <w:sz w:val="20"/>
                <w:szCs w:val="20"/>
                <w:lang w:eastAsia="zh-CN"/>
              </w:rPr>
              <w:t>gain</w:t>
            </w:r>
            <w:proofErr w:type="gramEnd"/>
            <w:r>
              <w:rPr>
                <w:rFonts w:ascii="Times New Roman" w:eastAsiaTheme="minorEastAsia" w:hAnsi="Times New Roman"/>
                <w:sz w:val="20"/>
                <w:szCs w:val="20"/>
                <w:lang w:eastAsia="zh-CN"/>
              </w:rPr>
              <w:t xml:space="preserve">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w:t>
      </w:r>
      <w:proofErr w:type="gramStart"/>
      <w:r>
        <w:t>in</w:t>
      </w:r>
      <w:proofErr w:type="gramEnd"/>
      <w:r>
        <w:t xml:space="preserve">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w:t>
            </w:r>
            <w:proofErr w:type="gramStart"/>
            <w:r>
              <w:rPr>
                <w:rFonts w:eastAsiaTheme="minorEastAsia" w:hint="eastAsia"/>
                <w:lang w:eastAsia="zh-CN"/>
              </w:rPr>
              <w:t>event, since</w:t>
            </w:r>
            <w:proofErr w:type="gramEnd"/>
            <w:r>
              <w:rPr>
                <w:rFonts w:eastAsiaTheme="minorEastAsia" w:hint="eastAsia"/>
                <w:lang w:eastAsia="zh-CN"/>
              </w:rPr>
              <w:t xml:space="preserv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w:t>
            </w:r>
            <w:r>
              <w:rPr>
                <w:rFonts w:eastAsia="MS Mincho"/>
                <w:lang w:eastAsia="ja-JP"/>
              </w:rPr>
              <w:lastRenderedPageBreak/>
              <w:t xml:space="preserve">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proofErr w:type="gramStart"/>
            <w:r>
              <w:rPr>
                <w:rFonts w:eastAsia="MS Mincho"/>
                <w:lang w:eastAsia="ja-JP"/>
              </w:rPr>
              <w:t>In order to</w:t>
            </w:r>
            <w:proofErr w:type="gramEnd"/>
            <w:r>
              <w:rPr>
                <w:rFonts w:eastAsia="MS Mincho"/>
                <w:lang w:eastAsia="ja-JP"/>
              </w:rPr>
              <w:t xml:space="preserve">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w:t>
            </w:r>
            <w:r>
              <w:rPr>
                <w:rFonts w:eastAsia="MS Mincho"/>
                <w:lang w:eastAsia="ja-JP"/>
              </w:rPr>
              <w:lastRenderedPageBreak/>
              <w:t xml:space="preserve">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lastRenderedPageBreak/>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lastRenderedPageBreak/>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xml:space="preserve">. Although we suggest </w:t>
            </w:r>
            <w:proofErr w:type="gramStart"/>
            <w:r w:rsidRPr="00355DA7">
              <w:rPr>
                <w:rFonts w:eastAsiaTheme="minorEastAsia"/>
                <w:lang w:eastAsia="zh-CN"/>
              </w:rPr>
              <w:t>to modify</w:t>
            </w:r>
            <w:proofErr w:type="gramEnd"/>
            <w:r w:rsidRPr="00355DA7">
              <w:rPr>
                <w:rFonts w:eastAsiaTheme="minorEastAsia"/>
                <w:lang w:eastAsia="zh-CN"/>
              </w:rPr>
              <w:t xml:space="preserve">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 xml:space="preserve">lthough to have separate RRC configuration has some merit of the flexibility, given the limited time to </w:t>
            </w:r>
            <w:r>
              <w:rPr>
                <w:rFonts w:eastAsia="MS Mincho"/>
                <w:lang w:eastAsia="ja-JP"/>
              </w:rPr>
              <w:lastRenderedPageBreak/>
              <w:t>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 xml:space="preserve">Separated configuration could provide flexibilities to both </w:t>
            </w:r>
            <w:proofErr w:type="gramStart"/>
            <w:r>
              <w:rPr>
                <w:rFonts w:eastAsiaTheme="minorEastAsia"/>
                <w:lang w:eastAsia="zh-CN"/>
              </w:rPr>
              <w:t>frequency</w:t>
            </w:r>
            <w:proofErr w:type="gramEnd"/>
            <w:r>
              <w:rPr>
                <w:rFonts w:eastAsiaTheme="minorEastAsia"/>
                <w:lang w:eastAsia="zh-CN"/>
              </w:rPr>
              <w:t xml:space="preserve">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lastRenderedPageBreak/>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lastRenderedPageBreak/>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 xml:space="preserve">The relative gains of frequency </w:t>
            </w:r>
            <w:proofErr w:type="gramStart"/>
            <w:r w:rsidRPr="001828E4">
              <w:rPr>
                <w:rFonts w:eastAsiaTheme="minorEastAsia"/>
                <w:b/>
                <w:bCs/>
                <w:lang w:eastAsia="zh-CN"/>
              </w:rPr>
              <w:t>hopping</w:t>
            </w:r>
            <w:proofErr w:type="gramEnd"/>
            <w:r w:rsidRPr="001828E4">
              <w:rPr>
                <w:rFonts w:eastAsiaTheme="minorEastAsia"/>
                <w:b/>
                <w:bCs/>
                <w:lang w:eastAsia="zh-CN"/>
              </w:rPr>
              <w:t xml:space="preserve">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 xml:space="preserve">Frequency hopping needs to be cell specific </w:t>
            </w:r>
            <w:proofErr w:type="gramStart"/>
            <w:r w:rsidRPr="001828E4">
              <w:rPr>
                <w:rFonts w:eastAsiaTheme="minorEastAsia"/>
                <w:b/>
                <w:bCs/>
                <w:lang w:eastAsia="zh-CN"/>
              </w:rPr>
              <w:t>in order to</w:t>
            </w:r>
            <w:proofErr w:type="gramEnd"/>
            <w:r w:rsidRPr="001828E4">
              <w:rPr>
                <w:rFonts w:eastAsiaTheme="minorEastAsia"/>
                <w:b/>
                <w:bCs/>
                <w:lang w:eastAsia="zh-CN"/>
              </w:rPr>
              <w:t xml:space="preserve">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w:t>
            </w:r>
            <w:proofErr w:type="gramStart"/>
            <w:r>
              <w:rPr>
                <w:rFonts w:eastAsiaTheme="minorEastAsia"/>
                <w:lang w:eastAsia="zh-CN"/>
              </w:rPr>
              <w:t>a large number of</w:t>
            </w:r>
            <w:proofErr w:type="gramEnd"/>
            <w:r>
              <w:rPr>
                <w:rFonts w:eastAsiaTheme="minorEastAsia"/>
                <w:lang w:eastAsia="zh-CN"/>
              </w:rPr>
              <w:t xml:space="preserve"> cases.  If UEs must be configured with DMRS bundling to support a given frequency hopping pattern, but UEs do not support DMRS bundling or cannot </w:t>
            </w:r>
            <w:proofErr w:type="gramStart"/>
            <w:r>
              <w:rPr>
                <w:rFonts w:eastAsiaTheme="minorEastAsia"/>
                <w:lang w:eastAsia="zh-CN"/>
              </w:rPr>
              <w:t>in a given</w:t>
            </w:r>
            <w:proofErr w:type="gramEnd"/>
            <w:r>
              <w:rPr>
                <w:rFonts w:eastAsiaTheme="minorEastAsia"/>
                <w:lang w:eastAsia="zh-CN"/>
              </w:rPr>
              <w:t xml:space="preserve">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 xml:space="preserve">Configuration of frequency hopping and DMRS bundling should be independent. It is </w:t>
            </w:r>
            <w:r>
              <w:rPr>
                <w:rFonts w:eastAsiaTheme="minorEastAsia"/>
                <w:lang w:eastAsia="zh-CN"/>
              </w:rPr>
              <w:lastRenderedPageBreak/>
              <w:t>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w:t>
            </w:r>
            <w:proofErr w:type="gramStart"/>
            <w:r>
              <w:rPr>
                <w:rFonts w:eastAsiaTheme="minorEastAsia" w:hint="eastAsia"/>
                <w:lang w:eastAsia="zh-CN"/>
              </w:rPr>
              <w:t>resume</w:t>
            </w:r>
            <w:proofErr w:type="gramEnd"/>
            <w:r>
              <w:rPr>
                <w:rFonts w:eastAsiaTheme="minorEastAsia" w:hint="eastAsia"/>
                <w:lang w:eastAsia="zh-CN"/>
              </w:rPr>
              <w:t xml:space="preserv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lastRenderedPageBreak/>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w:t>
            </w:r>
            <w:proofErr w:type="gramStart"/>
            <w:r>
              <w:rPr>
                <w:rFonts w:eastAsiaTheme="minorEastAsia"/>
                <w:lang w:eastAsia="zh-CN"/>
              </w:rPr>
              <w:t>JCE, and</w:t>
            </w:r>
            <w:proofErr w:type="gramEnd"/>
            <w:r>
              <w:rPr>
                <w:rFonts w:eastAsiaTheme="minorEastAsia"/>
                <w:lang w:eastAsia="zh-CN"/>
              </w:rPr>
              <w:t xml:space="preserve">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 xml:space="preserve">It will make the MU multiplexing even difficult. Hence, MU multiplexing should be not considered as advantage of </w:t>
            </w:r>
            <w:proofErr w:type="gramStart"/>
            <w:r>
              <w:rPr>
                <w:rFonts w:eastAsiaTheme="minorEastAsia"/>
                <w:lang w:eastAsia="zh-CN"/>
              </w:rPr>
              <w:t>option-1</w:t>
            </w:r>
            <w:proofErr w:type="gramEnd"/>
            <w:r>
              <w:rPr>
                <w:rFonts w:eastAsiaTheme="minorEastAsia"/>
                <w:lang w:eastAsia="zh-CN"/>
              </w:rPr>
              <w:t>.</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if hopping interval is configured, the hopping pattern is determined using option-</w:t>
            </w:r>
            <w:proofErr w:type="gramStart"/>
            <w:r w:rsidRPr="00F136CD">
              <w:rPr>
                <w:rFonts w:ascii="Times New Roman" w:eastAsiaTheme="minorEastAsia" w:hAnsi="Times New Roman"/>
                <w:sz w:val="20"/>
                <w:szCs w:val="20"/>
                <w:lang w:eastAsia="zh-CN"/>
              </w:rPr>
              <w:t>1;</w:t>
            </w:r>
            <w:proofErr w:type="gramEnd"/>
            <w:r w:rsidRPr="00F136CD">
              <w:rPr>
                <w:rFonts w:ascii="Times New Roman" w:eastAsiaTheme="minorEastAsia" w:hAnsi="Times New Roman"/>
                <w:sz w:val="20"/>
                <w:szCs w:val="20"/>
                <w:lang w:eastAsia="zh-CN"/>
              </w:rPr>
              <w:t xml:space="preserve">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lastRenderedPageBreak/>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w:t>
            </w:r>
            <w:r w:rsidRPr="00601394">
              <w:rPr>
                <w:rFonts w:eastAsiaTheme="minorEastAsia"/>
                <w:lang w:eastAsia="zh-CN"/>
              </w:rPr>
              <w:lastRenderedPageBreak/>
              <w:t>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rPr>
                <w:rFonts w:eastAsia="MS Mincho"/>
                <w:bCs/>
                <w:lang w:eastAsia="ja-JP"/>
              </w:rPr>
            </w:pPr>
            <w:r>
              <w:rPr>
                <w:rFonts w:eastAsia="MS Mincho"/>
                <w:bCs/>
                <w:lang w:eastAsia="ja-JP"/>
              </w:rPr>
              <w:lastRenderedPageBreak/>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2C739D">
        <w:tc>
          <w:tcPr>
            <w:tcW w:w="1435" w:type="dxa"/>
          </w:tcPr>
          <w:p w14:paraId="45236DEE" w14:textId="77777777" w:rsidR="002C739D" w:rsidRDefault="002C739D" w:rsidP="00324F0A">
            <w:pPr>
              <w:rPr>
                <w:rFonts w:eastAsia="MS Mincho"/>
                <w:bCs/>
                <w:lang w:eastAsia="ja-JP"/>
              </w:rPr>
            </w:pPr>
            <w:r>
              <w:rPr>
                <w:rFonts w:eastAsia="MS Mincho"/>
                <w:bCs/>
                <w:lang w:eastAsia="ja-JP"/>
              </w:rPr>
              <w:lastRenderedPageBreak/>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w:t>
            </w:r>
            <w:proofErr w:type="gramStart"/>
            <w:r w:rsidRPr="002A4EFD">
              <w:rPr>
                <w:rFonts w:eastAsia="MS Mincho"/>
                <w:lang w:eastAsia="ja-JP"/>
              </w:rPr>
              <w:t>in order to</w:t>
            </w:r>
            <w:proofErr w:type="gramEnd"/>
            <w:r w:rsidRPr="002A4EFD">
              <w:rPr>
                <w:rFonts w:eastAsia="MS Mincho"/>
                <w:lang w:eastAsia="ja-JP"/>
              </w:rPr>
              <w:t xml:space="preserve">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2C739D">
        <w:tc>
          <w:tcPr>
            <w:tcW w:w="1435" w:type="dxa"/>
          </w:tcPr>
          <w:p w14:paraId="0D1BFE78" w14:textId="3BB0E2D5" w:rsidR="00F95AD8" w:rsidRDefault="00F95AD8" w:rsidP="00324F0A">
            <w:pPr>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2C739D">
        <w:tc>
          <w:tcPr>
            <w:tcW w:w="1435"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781B7C">
        <w:tc>
          <w:tcPr>
            <w:tcW w:w="1435" w:type="dxa"/>
            <w:shd w:val="clear" w:color="auto" w:fill="auto"/>
          </w:tcPr>
          <w:p w14:paraId="0C99E8D5" w14:textId="77777777" w:rsidR="00EB5B71" w:rsidRPr="00354C2B" w:rsidRDefault="00EB5B71" w:rsidP="00781B7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781B7C">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781B7C">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781B7C">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781B7C">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781B7C">
        <w:tc>
          <w:tcPr>
            <w:tcW w:w="1435"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bl>
    <w:p w14:paraId="67731BCD" w14:textId="77777777" w:rsidR="008B19FA" w:rsidRDefault="008B19FA"/>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B665B7">
        <w:fldChar w:fldCharType="begin"/>
      </w:r>
      <w:r w:rsidR="00B665B7">
        <w:instrText xml:space="preserve"> SEQ Proposal \* ARABIC </w:instrText>
      </w:r>
      <w:r w:rsidR="00B665B7">
        <w:fldChar w:fldCharType="separate"/>
      </w:r>
      <w:r>
        <w:t>3</w:t>
      </w:r>
      <w:r w:rsidR="00B665B7">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lastRenderedPageBreak/>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B665B7">
            <w:pPr>
              <w:spacing w:before="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B665B7">
            <w:pPr>
              <w:spacing w:before="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B665B7">
            <w:pPr>
              <w:spacing w:before="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B665B7">
            <w:pPr>
              <w:spacing w:before="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B665B7">
            <w:pPr>
              <w:spacing w:before="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B665B7">
            <w:pPr>
              <w:spacing w:before="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B665B7">
            <w:pPr>
              <w:spacing w:before="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B665B7">
            <w:pPr>
              <w:spacing w:before="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B665B7">
            <w:pPr>
              <w:spacing w:before="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B665B7">
            <w:pPr>
              <w:spacing w:before="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B665B7">
            <w:pPr>
              <w:spacing w:before="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B665B7">
            <w:pPr>
              <w:spacing w:before="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B665B7">
            <w:pPr>
              <w:spacing w:before="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B665B7">
            <w:pPr>
              <w:spacing w:before="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B665B7">
            <w:pPr>
              <w:spacing w:before="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B665B7">
            <w:pPr>
              <w:spacing w:before="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B665B7">
            <w:pPr>
              <w:spacing w:before="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B665B7">
            <w:pPr>
              <w:spacing w:before="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B665B7">
            <w:pPr>
              <w:spacing w:before="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B665B7">
            <w:pPr>
              <w:spacing w:before="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B665B7">
            <w:pPr>
              <w:spacing w:before="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B665B7">
            <w:pPr>
              <w:spacing w:before="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B665B7">
            <w:pPr>
              <w:spacing w:before="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B665B7">
            <w:pPr>
              <w:spacing w:before="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7EDB" w14:textId="77777777" w:rsidR="00B665B7" w:rsidRDefault="00B665B7">
      <w:r>
        <w:separator/>
      </w:r>
    </w:p>
  </w:endnote>
  <w:endnote w:type="continuationSeparator" w:id="0">
    <w:p w14:paraId="3C8A864F" w14:textId="77777777" w:rsidR="00B665B7" w:rsidRDefault="00B6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324F0A" w:rsidRDefault="00324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324F0A" w:rsidRDefault="00324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6068F512" w:rsidR="00324F0A" w:rsidRDefault="00324F0A">
    <w:pPr>
      <w:pStyle w:val="Footer"/>
      <w:ind w:right="360"/>
    </w:pPr>
    <w:r>
      <w:rPr>
        <w:rStyle w:val="PageNumber"/>
      </w:rPr>
      <w:fldChar w:fldCharType="begin"/>
    </w:r>
    <w:r>
      <w:rPr>
        <w:rStyle w:val="PageNumber"/>
      </w:rPr>
      <w:instrText xml:space="preserve"> PAGE </w:instrText>
    </w:r>
    <w:r>
      <w:rPr>
        <w:rStyle w:val="PageNumber"/>
      </w:rPr>
      <w:fldChar w:fldCharType="separate"/>
    </w:r>
    <w:r w:rsidR="001A3C56">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3C5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AD0B" w14:textId="77777777" w:rsidR="00B665B7" w:rsidRDefault="00B665B7">
      <w:r>
        <w:separator/>
      </w:r>
    </w:p>
  </w:footnote>
  <w:footnote w:type="continuationSeparator" w:id="0">
    <w:p w14:paraId="7207A274" w14:textId="77777777" w:rsidR="00B665B7" w:rsidRDefault="00B6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324F0A" w:rsidRDefault="00324F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7"/>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4"/>
  </w:num>
  <w:num w:numId="14">
    <w:abstractNumId w:val="26"/>
  </w:num>
  <w:num w:numId="15">
    <w:abstractNumId w:val="15"/>
  </w:num>
  <w:num w:numId="16">
    <w:abstractNumId w:val="28"/>
  </w:num>
  <w:num w:numId="17">
    <w:abstractNumId w:val="4"/>
  </w:num>
  <w:num w:numId="18">
    <w:abstractNumId w:val="19"/>
  </w:num>
  <w:num w:numId="19">
    <w:abstractNumId w:val="0"/>
  </w:num>
  <w:num w:numId="20">
    <w:abstractNumId w:val="30"/>
  </w:num>
  <w:num w:numId="21">
    <w:abstractNumId w:val="21"/>
  </w:num>
  <w:num w:numId="22">
    <w:abstractNumId w:val="9"/>
  </w:num>
  <w:num w:numId="23">
    <w:abstractNumId w:val="16"/>
  </w:num>
  <w:num w:numId="24">
    <w:abstractNumId w:val="11"/>
  </w:num>
  <w:num w:numId="25">
    <w:abstractNumId w:val="32"/>
  </w:num>
  <w:num w:numId="26">
    <w:abstractNumId w:val="29"/>
  </w:num>
  <w:num w:numId="27">
    <w:abstractNumId w:val="35"/>
  </w:num>
  <w:num w:numId="28">
    <w:abstractNumId w:val="8"/>
  </w:num>
  <w:num w:numId="29">
    <w:abstractNumId w:val="14"/>
  </w:num>
  <w:num w:numId="30">
    <w:abstractNumId w:val="31"/>
  </w:num>
  <w:num w:numId="31">
    <w:abstractNumId w:val="20"/>
  </w:num>
  <w:num w:numId="32">
    <w:abstractNumId w:val="7"/>
  </w:num>
  <w:num w:numId="33">
    <w:abstractNumId w:val="23"/>
  </w:num>
  <w:num w:numId="34">
    <w:abstractNumId w:val="6"/>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AFE613-D86B-4FFF-B104-C04A1E78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18</TotalTime>
  <Pages>39</Pages>
  <Words>12856</Words>
  <Characters>73285</Characters>
  <Application>Microsoft Office Word</Application>
  <DocSecurity>0</DocSecurity>
  <Lines>610</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9</cp:revision>
  <cp:lastPrinted>2014-11-07T05:38:00Z</cp:lastPrinted>
  <dcterms:created xsi:type="dcterms:W3CDTF">2021-11-16T21:22:00Z</dcterms:created>
  <dcterms:modified xsi:type="dcterms:W3CDTF">2021-11-16T22:38:00Z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