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spacing w:after="0"/>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spacing w:after="0"/>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spacing w:after="0"/>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spacing w:after="0"/>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spacing w:after="0"/>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spacing w:after="0"/>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spacing w:after="0"/>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spacing w:after="0"/>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spacing w:after="0"/>
              <w:rPr>
                <w:rFonts w:eastAsiaTheme="minorEastAsia"/>
                <w:lang w:eastAsia="zh-CN"/>
              </w:rPr>
            </w:pPr>
            <w:r>
              <w:rPr>
                <w:rFonts w:eastAsiaTheme="minorEastAsia"/>
                <w:lang w:eastAsia="zh-CN"/>
              </w:rPr>
              <w:t xml:space="preserve">I need to know the motivation of this “DMRS bundling shall be restarted”? In my understanding, DMRS </w:t>
            </w:r>
            <w:r>
              <w:rPr>
                <w:rFonts w:eastAsiaTheme="minorEastAsia"/>
                <w:lang w:eastAsia="zh-CN"/>
              </w:rPr>
              <w:lastRenderedPageBreak/>
              <w:t xml:space="preserve">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lastRenderedPageBreak/>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spacing w:after="0"/>
              <w:rPr>
                <w:rFonts w:eastAsiaTheme="minorEastAsia"/>
                <w:bCs/>
                <w:lang w:eastAsia="zh-CN"/>
              </w:rPr>
            </w:pPr>
            <w:r>
              <w:rPr>
                <w:rFonts w:eastAsiaTheme="minorEastAsia"/>
                <w:bCs/>
                <w:lang w:eastAsia="zh-CN"/>
              </w:rPr>
              <w:lastRenderedPageBreak/>
              <w:t>OPPO</w:t>
            </w:r>
          </w:p>
        </w:tc>
        <w:tc>
          <w:tcPr>
            <w:tcW w:w="3870" w:type="dxa"/>
          </w:tcPr>
          <w:p w14:paraId="3C14E536" w14:textId="77777777" w:rsidR="00AA3AB9" w:rsidRDefault="00AA3AB9" w:rsidP="00324F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spacing w:after="0"/>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spacing w:after="0"/>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spacing w:after="0"/>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spacing w:after="0"/>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spacing w:after="0"/>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lastRenderedPageBreak/>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lastRenderedPageBreak/>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324F0A">
            <w:pPr>
              <w:spacing w:after="0"/>
              <w:jc w:val="left"/>
              <w:rPr>
                <w:rFonts w:eastAsiaTheme="minorEastAsia"/>
                <w:lang w:eastAsia="zh-CN"/>
              </w:rPr>
            </w:pPr>
          </w:p>
        </w:tc>
        <w:tc>
          <w:tcPr>
            <w:tcW w:w="4320" w:type="dxa"/>
          </w:tcPr>
          <w:p w14:paraId="60C41881" w14:textId="77777777" w:rsidR="00AA3AB9" w:rsidRDefault="00AA3AB9" w:rsidP="00324F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spacing w:after="0"/>
              <w:jc w:val="left"/>
              <w:rPr>
                <w:rFonts w:eastAsia="MS Mincho"/>
                <w:lang w:eastAsia="ja-JP"/>
              </w:rPr>
            </w:pPr>
            <w:r>
              <w:rPr>
                <w:rFonts w:eastAsia="MS Mincho"/>
                <w:lang w:eastAsia="ja-JP"/>
              </w:rPr>
              <w:t>Option 1.</w:t>
            </w:r>
          </w:p>
          <w:p w14:paraId="732C7E0C" w14:textId="77777777" w:rsidR="002C739D" w:rsidRDefault="002C739D" w:rsidP="00324F0A">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spacing w:after="0"/>
              <w:jc w:val="left"/>
              <w:rPr>
                <w:rFonts w:eastAsia="MS Mincho"/>
                <w:lang w:eastAsia="ja-JP"/>
              </w:rPr>
            </w:pPr>
            <w:r>
              <w:rPr>
                <w:rFonts w:eastAsia="MS Mincho"/>
                <w:lang w:eastAsia="ja-JP"/>
              </w:rPr>
              <w:t xml:space="preserve">A concern we have with option 2 where the hopping pattern is strictly determined by the </w:t>
            </w:r>
            <w:r>
              <w:rPr>
                <w:rFonts w:eastAsia="MS Mincho"/>
                <w:lang w:eastAsia="ja-JP"/>
              </w:rPr>
              <w:lastRenderedPageBreak/>
              <w:t>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spacing w:after="0"/>
              <w:ind w:left="288"/>
              <w:jc w:val="left"/>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spacing w:after="0"/>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spacing w:after="0"/>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spacing w:after="0"/>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spacing w:after="0"/>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spacing w:after="0"/>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spacing w:after="0"/>
              <w:jc w:val="left"/>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spacing w:after="0"/>
              <w:rPr>
                <w:rFonts w:eastAsia="MS Mincho"/>
                <w:lang w:eastAsia="ja-JP"/>
              </w:rPr>
            </w:pP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10146">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910146">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10146">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10146">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10146">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910146">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10146">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10146">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10146">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10146">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10146">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10146">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10146">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10146">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10146">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910146">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10146">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10146">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10146">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10146">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10146">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10146">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10146">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10146">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2923" w14:textId="77777777" w:rsidR="00910146" w:rsidRDefault="00910146">
      <w:pPr>
        <w:spacing w:line="240" w:lineRule="auto"/>
      </w:pPr>
      <w:r>
        <w:separator/>
      </w:r>
    </w:p>
  </w:endnote>
  <w:endnote w:type="continuationSeparator" w:id="0">
    <w:p w14:paraId="46DF3D88" w14:textId="77777777" w:rsidR="00910146" w:rsidRDefault="0091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6068F512"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3C5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5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1927" w14:textId="77777777" w:rsidR="00910146" w:rsidRDefault="00910146">
      <w:pPr>
        <w:spacing w:after="0" w:line="240" w:lineRule="auto"/>
      </w:pPr>
      <w:r>
        <w:separator/>
      </w:r>
    </w:p>
  </w:footnote>
  <w:footnote w:type="continuationSeparator" w:id="0">
    <w:p w14:paraId="0C1D3FF8" w14:textId="77777777" w:rsidR="00910146" w:rsidRDefault="0091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9"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6"/>
  </w:num>
  <w:num w:numId="4">
    <w:abstractNumId w:val="4"/>
  </w:num>
  <w:num w:numId="5">
    <w:abstractNumId w:val="9"/>
  </w:num>
  <w:num w:numId="6">
    <w:abstractNumId w:val="26"/>
  </w:num>
  <w:num w:numId="7">
    <w:abstractNumId w:val="24"/>
  </w:num>
  <w:num w:numId="8">
    <w:abstractNumId w:val="17"/>
  </w:num>
  <w:num w:numId="9">
    <w:abstractNumId w:val="21"/>
  </w:num>
  <w:num w:numId="10">
    <w:abstractNumId w:val="1"/>
  </w:num>
  <w:num w:numId="11">
    <w:abstractNumId w:val="12"/>
  </w:num>
  <w:num w:numId="12">
    <w:abstractNumId w:val="23"/>
  </w:num>
  <w:num w:numId="13">
    <w:abstractNumId w:val="32"/>
  </w:num>
  <w:num w:numId="14">
    <w:abstractNumId w:val="25"/>
  </w:num>
  <w:num w:numId="15">
    <w:abstractNumId w:val="14"/>
  </w:num>
  <w:num w:numId="16">
    <w:abstractNumId w:val="27"/>
  </w:num>
  <w:num w:numId="17">
    <w:abstractNumId w:val="3"/>
  </w:num>
  <w:num w:numId="18">
    <w:abstractNumId w:val="18"/>
  </w:num>
  <w:num w:numId="19">
    <w:abstractNumId w:val="0"/>
  </w:num>
  <w:num w:numId="20">
    <w:abstractNumId w:val="29"/>
  </w:num>
  <w:num w:numId="21">
    <w:abstractNumId w:val="20"/>
  </w:num>
  <w:num w:numId="22">
    <w:abstractNumId w:val="8"/>
  </w:num>
  <w:num w:numId="23">
    <w:abstractNumId w:val="15"/>
  </w:num>
  <w:num w:numId="24">
    <w:abstractNumId w:val="10"/>
  </w:num>
  <w:num w:numId="25">
    <w:abstractNumId w:val="31"/>
  </w:num>
  <w:num w:numId="26">
    <w:abstractNumId w:val="28"/>
  </w:num>
  <w:num w:numId="27">
    <w:abstractNumId w:val="33"/>
  </w:num>
  <w:num w:numId="28">
    <w:abstractNumId w:val="7"/>
  </w:num>
  <w:num w:numId="29">
    <w:abstractNumId w:val="13"/>
  </w:num>
  <w:num w:numId="30">
    <w:abstractNumId w:val="30"/>
  </w:num>
  <w:num w:numId="31">
    <w:abstractNumId w:val="19"/>
  </w:num>
  <w:num w:numId="32">
    <w:abstractNumId w:val="6"/>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1FCD7EA-7B66-4CEC-B9E7-38395BBE36BD}">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10</TotalTime>
  <Pages>35</Pages>
  <Words>12597</Words>
  <Characters>71809</Characters>
  <Application>Microsoft Office Word</Application>
  <DocSecurity>0</DocSecurity>
  <Lines>598</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4</cp:revision>
  <cp:lastPrinted>2014-11-07T05:38:00Z</cp:lastPrinted>
  <dcterms:created xsi:type="dcterms:W3CDTF">2021-11-16T21:22:00Z</dcterms:created>
  <dcterms:modified xsi:type="dcterms:W3CDTF">2021-11-16T21:40:00Z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