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Therefore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584" w:type="dxa"/>
          </w:tcPr>
          <w:p w14:paraId="238C8623" w14:textId="0FF6CBC3" w:rsidR="00BB581A" w:rsidRDefault="0042740E" w:rsidP="00405C95">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405C95">
            <w:pPr>
              <w:spacing w:after="0"/>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405C95">
            <w:pPr>
              <w:spacing w:after="0"/>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w:t>
            </w:r>
            <w:r>
              <w:rPr>
                <w:rFonts w:eastAsia="MS Mincho"/>
                <w:lang w:eastAsia="ja-JP"/>
              </w:rPr>
              <w:lastRenderedPageBreak/>
              <w:t>event. If this is not agreed, only the first hop support DMRS bundling. The second and later hop would not support DMRS bundling.</w:t>
            </w:r>
          </w:p>
        </w:tc>
        <w:tc>
          <w:tcPr>
            <w:tcW w:w="4584" w:type="dxa"/>
          </w:tcPr>
          <w:p w14:paraId="61C90510" w14:textId="77777777" w:rsidR="003F6CD0" w:rsidRDefault="003F6CD0" w:rsidP="00405C95">
            <w:pPr>
              <w:spacing w:after="0"/>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231410">
            <w:pPr>
              <w:spacing w:after="0"/>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405C95">
            <w:pPr>
              <w:spacing w:after="0"/>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405C95">
            <w:pPr>
              <w:spacing w:after="0"/>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spacing w:after="0"/>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spacing w:after="0"/>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spacing w:after="0"/>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spacing w:after="0"/>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spacing w:after="0"/>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spacing w:after="0"/>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spacing w:after="0"/>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spacing w:after="0"/>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spacing w:after="0"/>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spacing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spacing w:after="0"/>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spacing w:after="0"/>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spacing w:after="0"/>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spacing w:after="0"/>
              <w:rPr>
                <w:rFonts w:eastAsiaTheme="minorEastAsia" w:hint="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spacing w:after="0"/>
              <w:rPr>
                <w:rFonts w:eastAsiaTheme="minorEastAsia"/>
                <w:lang w:eastAsia="zh-CN"/>
              </w:rPr>
            </w:pPr>
            <w:r>
              <w:rPr>
                <w:rFonts w:eastAsia="MS Mincho"/>
                <w:lang w:eastAsia="ja-JP"/>
              </w:rPr>
              <w:t xml:space="preserve">When DMRS bundling restarts in case of frequency hopping, frequency hopping can be </w:t>
            </w:r>
            <w:r>
              <w:rPr>
                <w:rFonts w:eastAsia="MS Mincho"/>
                <w:lang w:eastAsia="ja-JP"/>
              </w:rPr>
              <w:lastRenderedPageBreak/>
              <w:t xml:space="preserve">enabled within the configured TDW. </w:t>
            </w:r>
            <w:r>
              <w:rPr>
                <w:rFonts w:eastAsia="MS Mincho"/>
                <w:lang w:eastAsia="ja-JP"/>
              </w:rPr>
              <w:t xml:space="preserve">Otherwise, frequency hopping is not possible in the configured TDW. </w:t>
            </w:r>
          </w:p>
        </w:tc>
        <w:tc>
          <w:tcPr>
            <w:tcW w:w="4584" w:type="dxa"/>
          </w:tcPr>
          <w:p w14:paraId="14D7434F" w14:textId="77777777" w:rsidR="00D3553A" w:rsidRDefault="00D3553A" w:rsidP="00D3553A">
            <w:pPr>
              <w:spacing w:after="0"/>
              <w:rPr>
                <w:rFonts w:eastAsiaTheme="minorEastAsia"/>
                <w:lang w:eastAsia="zh-CN"/>
              </w:rPr>
            </w:pP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405C95">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405C95">
            <w:pPr>
              <w:spacing w:before="0" w:after="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405C95">
            <w:pPr>
              <w:spacing w:after="0"/>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405C95">
            <w:pPr>
              <w:spacing w:after="0"/>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405C95">
            <w:pPr>
              <w:spacing w:after="0"/>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405C95">
            <w:pPr>
              <w:spacing w:after="0"/>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405C95">
            <w:pPr>
              <w:spacing w:after="0"/>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231410">
            <w:pPr>
              <w:pStyle w:val="ListParagraph"/>
              <w:numPr>
                <w:ilvl w:val="0"/>
                <w:numId w:val="30"/>
              </w:numPr>
              <w:spacing w:after="0"/>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spacing w:after="0"/>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spacing w:after="0"/>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spacing w:after="0"/>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spacing w:after="0"/>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spacing w:after="0"/>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spacing w:after="0"/>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spacing w:after="0"/>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spacing w:after="0"/>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spacing w:after="0"/>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spacing w:after="0"/>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spacing w:after="0"/>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spacing w:after="0"/>
              <w:rPr>
                <w:rFonts w:eastAsia="MS Mincho"/>
                <w:bCs/>
                <w:lang w:eastAsia="ja-JP"/>
              </w:rPr>
            </w:pPr>
            <w:r>
              <w:rPr>
                <w:rFonts w:eastAsiaTheme="minorEastAsia" w:hint="eastAsia"/>
                <w:bCs/>
                <w:lang w:eastAsia="zh-CN"/>
              </w:rPr>
              <w:lastRenderedPageBreak/>
              <w:t>C</w:t>
            </w:r>
            <w:r>
              <w:rPr>
                <w:rFonts w:eastAsiaTheme="minorEastAsia"/>
                <w:bCs/>
                <w:lang w:eastAsia="zh-CN"/>
              </w:rPr>
              <w:t>MCC</w:t>
            </w:r>
          </w:p>
        </w:tc>
        <w:tc>
          <w:tcPr>
            <w:tcW w:w="3870" w:type="dxa"/>
            <w:shd w:val="clear" w:color="auto" w:fill="auto"/>
          </w:tcPr>
          <w:p w14:paraId="3FDA4822" w14:textId="18B1EE4D" w:rsidR="00753A47" w:rsidRDefault="00753A47" w:rsidP="00753A47">
            <w:pPr>
              <w:spacing w:after="0"/>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spacing w:after="0"/>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spacing w:after="0"/>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spacing w:after="0"/>
              <w:rPr>
                <w:rFonts w:eastAsiaTheme="minorEastAsia" w:hint="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spacing w:after="0"/>
              <w:rPr>
                <w:rFonts w:eastAsiaTheme="minorEastAsia" w:hint="eastAsia"/>
                <w:lang w:eastAsia="zh-CN"/>
              </w:rPr>
            </w:pPr>
            <w:r>
              <w:rPr>
                <w:rFonts w:eastAsia="MS Mincho"/>
                <w:lang w:eastAsia="ja-JP"/>
              </w:rPr>
              <w:t xml:space="preserve">Support same or different hopping interval and configured TDW lengths. </w:t>
            </w:r>
          </w:p>
        </w:tc>
        <w:tc>
          <w:tcPr>
            <w:tcW w:w="4584" w:type="dxa"/>
          </w:tcPr>
          <w:p w14:paraId="1B418199" w14:textId="77777777" w:rsidR="0004630F" w:rsidRDefault="0004630F" w:rsidP="0004630F">
            <w:pPr>
              <w:spacing w:after="0"/>
              <w:rPr>
                <w:lang w:eastAsia="zh-CN"/>
              </w:rPr>
            </w:pPr>
            <w:r>
              <w:rPr>
                <w:lang w:eastAsia="zh-CN"/>
              </w:rPr>
              <w:t xml:space="preserve">can achieve appropriate tradeoff between channel estimation gain and frequency diversity gain. </w:t>
            </w:r>
          </w:p>
          <w:p w14:paraId="4277E120" w14:textId="3B159177" w:rsidR="0004630F" w:rsidRDefault="0004630F" w:rsidP="0004630F">
            <w:pPr>
              <w:spacing w:after="0"/>
              <w:rPr>
                <w:rFonts w:eastAsiaTheme="minorEastAsia"/>
                <w:lang w:eastAsia="zh-CN"/>
              </w:rPr>
            </w:pPr>
            <w:r>
              <w:rPr>
                <w:lang w:eastAsia="zh-CN"/>
              </w:rPr>
              <w:t>Can provide good flexibility on the gNB scheduling and resource allocation in the network.</w:t>
            </w: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454"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after="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spacing w:after="0"/>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spacing w:after="0"/>
              <w:rPr>
                <w:rFonts w:eastAsiaTheme="minorEastAsia" w:hint="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spacing w:after="0"/>
              <w:rPr>
                <w:rFonts w:eastAsiaTheme="minorEastAsia" w:hint="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r w:rsidR="003F6CD0" w14:paraId="681D3AE3" w14:textId="77777777" w:rsidTr="00405C95">
        <w:tc>
          <w:tcPr>
            <w:tcW w:w="1435" w:type="dxa"/>
            <w:shd w:val="clear" w:color="auto" w:fill="auto"/>
          </w:tcPr>
          <w:p w14:paraId="7BC6918A" w14:textId="20E80D3F" w:rsidR="003F6CD0" w:rsidRDefault="003F6CD0"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405C95">
            <w:pPr>
              <w:spacing w:after="0"/>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405C95">
            <w:pPr>
              <w:spacing w:after="0"/>
              <w:rPr>
                <w:rFonts w:eastAsia="MS Mincho"/>
                <w:lang w:eastAsia="ja-JP"/>
              </w:rPr>
            </w:pPr>
          </w:p>
        </w:tc>
      </w:tr>
      <w:tr w:rsidR="007475EE" w14:paraId="6B9A5C82" w14:textId="77777777" w:rsidTr="00405C95">
        <w:tc>
          <w:tcPr>
            <w:tcW w:w="1435" w:type="dxa"/>
            <w:shd w:val="clear" w:color="auto" w:fill="auto"/>
          </w:tcPr>
          <w:p w14:paraId="44474E5C" w14:textId="276781E5" w:rsidR="007475EE" w:rsidRDefault="007475EE" w:rsidP="00405C95">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405C95">
            <w:pPr>
              <w:spacing w:after="0"/>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405C95">
            <w:pPr>
              <w:spacing w:after="0"/>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405C95">
        <w:tc>
          <w:tcPr>
            <w:tcW w:w="1435" w:type="dxa"/>
            <w:shd w:val="clear" w:color="auto" w:fill="auto"/>
          </w:tcPr>
          <w:p w14:paraId="07404071" w14:textId="3E78CDF1" w:rsidR="009273D2" w:rsidRDefault="009273D2" w:rsidP="00405C95">
            <w:pPr>
              <w:spacing w:after="0"/>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405C95">
            <w:pPr>
              <w:spacing w:after="0"/>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231410">
            <w:pPr>
              <w:spacing w:after="0"/>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w:t>
            </w:r>
            <w:r>
              <w:rPr>
                <w:rFonts w:eastAsiaTheme="minorEastAsia" w:hint="eastAsia"/>
                <w:lang w:eastAsia="zh-CN"/>
              </w:rPr>
              <w:lastRenderedPageBreak/>
              <w:t xml:space="preserve">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405C95">
            <w:pPr>
              <w:spacing w:after="0"/>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405C95">
        <w:tc>
          <w:tcPr>
            <w:tcW w:w="1435" w:type="dxa"/>
            <w:shd w:val="clear" w:color="auto" w:fill="auto"/>
          </w:tcPr>
          <w:p w14:paraId="46458252" w14:textId="7C1F7F30" w:rsidR="007A0404" w:rsidRDefault="007A0404" w:rsidP="007A0404">
            <w:pPr>
              <w:spacing w:after="0"/>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spacing w:after="0"/>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spacing w:after="0"/>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405C95">
        <w:tc>
          <w:tcPr>
            <w:tcW w:w="1435" w:type="dxa"/>
            <w:shd w:val="clear" w:color="auto" w:fill="auto"/>
          </w:tcPr>
          <w:p w14:paraId="689FE341" w14:textId="3F69C21F" w:rsidR="00067930" w:rsidRDefault="00067930" w:rsidP="00067930">
            <w:pPr>
              <w:spacing w:after="0"/>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spacing w:after="0"/>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spacing w:after="0"/>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405C95">
        <w:tc>
          <w:tcPr>
            <w:tcW w:w="1435" w:type="dxa"/>
            <w:shd w:val="clear" w:color="auto" w:fill="auto"/>
          </w:tcPr>
          <w:p w14:paraId="416192C3" w14:textId="7BE32737" w:rsidR="00372BCA" w:rsidRDefault="00372BCA" w:rsidP="00372BCA">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3870" w:type="dxa"/>
            <w:shd w:val="clear" w:color="auto" w:fill="auto"/>
          </w:tcPr>
          <w:p w14:paraId="5748193B" w14:textId="54645327" w:rsidR="00372BCA" w:rsidRDefault="00372BCA" w:rsidP="00372BCA">
            <w:pPr>
              <w:spacing w:after="0"/>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spacing w:after="0"/>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spacing w:after="0"/>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spacing w:after="0"/>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spacing w:after="0"/>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spacing w:after="0"/>
              <w:rPr>
                <w:rFonts w:eastAsiaTheme="minorEastAsia"/>
                <w:lang w:eastAsia="zh-CN"/>
              </w:rPr>
            </w:pPr>
          </w:p>
          <w:p w14:paraId="755D5D2A" w14:textId="77777777" w:rsidR="00372BCA" w:rsidRPr="00F136CD" w:rsidRDefault="00372BCA" w:rsidP="00372BCA">
            <w:pPr>
              <w:spacing w:after="0"/>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spacing w:after="0"/>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lastRenderedPageBreak/>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spacing w:after="0"/>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405C95">
        <w:tc>
          <w:tcPr>
            <w:tcW w:w="1435" w:type="dxa"/>
            <w:shd w:val="clear" w:color="auto" w:fill="auto"/>
          </w:tcPr>
          <w:p w14:paraId="794AA83F" w14:textId="268A0ED0" w:rsidR="00DB15A2" w:rsidRDefault="00DB15A2" w:rsidP="00372BCA">
            <w:pPr>
              <w:spacing w:after="0"/>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spacing w:after="0"/>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spacing w:after="0"/>
              <w:rPr>
                <w:rFonts w:eastAsiaTheme="minorEastAsia"/>
                <w:lang w:eastAsia="zh-CN"/>
              </w:rPr>
            </w:pPr>
            <w:r>
              <w:rPr>
                <w:rFonts w:eastAsiaTheme="minorEastAsia"/>
                <w:lang w:eastAsia="zh-CN"/>
              </w:rPr>
              <w:t>Same reason in our reply to Q1</w:t>
            </w:r>
          </w:p>
        </w:tc>
      </w:tr>
      <w:tr w:rsidR="000733CD" w14:paraId="07566571" w14:textId="77777777" w:rsidTr="00405C95">
        <w:tc>
          <w:tcPr>
            <w:tcW w:w="1435" w:type="dxa"/>
            <w:shd w:val="clear" w:color="auto" w:fill="auto"/>
          </w:tcPr>
          <w:p w14:paraId="1FB19167" w14:textId="108BCD6C" w:rsidR="000733CD" w:rsidRDefault="000733CD" w:rsidP="00372BCA">
            <w:pPr>
              <w:spacing w:after="0"/>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spacing w:after="0"/>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spacing w:after="0"/>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DD63AB">
        <w:tc>
          <w:tcPr>
            <w:tcW w:w="1435" w:type="dxa"/>
          </w:tcPr>
          <w:p w14:paraId="6D7B3A7F" w14:textId="77777777" w:rsidR="00DD63AB" w:rsidRDefault="00DD63AB" w:rsidP="003423E4">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3423E4">
            <w:pPr>
              <w:spacing w:after="0"/>
              <w:jc w:val="left"/>
              <w:rPr>
                <w:rFonts w:eastAsiaTheme="minorEastAsia"/>
                <w:lang w:eastAsia="zh-CN"/>
              </w:rPr>
            </w:pPr>
            <w:r>
              <w:rPr>
                <w:rFonts w:eastAsiaTheme="minorEastAsia"/>
                <w:lang w:eastAsia="zh-CN"/>
              </w:rPr>
              <w:t>Option 2.</w:t>
            </w:r>
          </w:p>
          <w:p w14:paraId="6A434703" w14:textId="77777777" w:rsidR="00DD63AB" w:rsidRDefault="00DD63AB" w:rsidP="003423E4">
            <w:pPr>
              <w:spacing w:after="0"/>
              <w:jc w:val="left"/>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3423E4">
            <w:pPr>
              <w:spacing w:after="0"/>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3423E4">
            <w:pPr>
              <w:spacing w:after="0"/>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3423E4">
            <w:pPr>
              <w:spacing w:after="0"/>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3423E4">
            <w:pPr>
              <w:spacing w:after="0"/>
              <w:rPr>
                <w:rFonts w:eastAsiaTheme="minorEastAsia"/>
                <w:lang w:eastAsia="zh-CN"/>
              </w:rPr>
            </w:pPr>
            <w:r>
              <w:rPr>
                <w:rFonts w:eastAsiaTheme="minorEastAsia"/>
                <w:lang w:eastAsia="zh-CN"/>
              </w:rPr>
              <w:t xml:space="preserve">As we commented for the question 2, the configured TDW and frequency hopping interval could be separated configured. Then </w:t>
            </w:r>
            <w:proofErr w:type="gramStart"/>
            <w:r>
              <w:rPr>
                <w:rFonts w:eastAsiaTheme="minorEastAsia"/>
                <w:lang w:eastAsia="zh-CN"/>
              </w:rPr>
              <w:t>the both</w:t>
            </w:r>
            <w:proofErr w:type="gramEnd"/>
            <w:r>
              <w:rPr>
                <w:rFonts w:eastAsiaTheme="minorEastAsia"/>
                <w:lang w:eastAsia="zh-CN"/>
              </w:rPr>
              <w:t xml:space="preserve"> parameter could be set with same value. Or according to performance of both JCE and FH, set different values according to UE capabilities.</w:t>
            </w:r>
          </w:p>
          <w:p w14:paraId="56CDEC01" w14:textId="77777777" w:rsidR="00DD63AB" w:rsidRDefault="00DD63AB" w:rsidP="003423E4">
            <w:pPr>
              <w:spacing w:after="0"/>
              <w:rPr>
                <w:rFonts w:eastAsiaTheme="minorEastAsia"/>
                <w:lang w:eastAsia="zh-CN"/>
              </w:rPr>
            </w:pPr>
          </w:p>
          <w:p w14:paraId="34E3C3FF" w14:textId="77777777" w:rsidR="00DD63AB" w:rsidRDefault="00DD63AB" w:rsidP="003423E4">
            <w:pPr>
              <w:spacing w:after="0"/>
              <w:rPr>
                <w:rFonts w:eastAsiaTheme="minorEastAsia"/>
                <w:lang w:eastAsia="zh-CN"/>
              </w:rPr>
            </w:pPr>
          </w:p>
        </w:tc>
      </w:tr>
      <w:tr w:rsidR="00815F04" w14:paraId="0BA0AF88" w14:textId="77777777" w:rsidTr="00DD63AB">
        <w:tc>
          <w:tcPr>
            <w:tcW w:w="1435" w:type="dxa"/>
          </w:tcPr>
          <w:p w14:paraId="105FE6EE" w14:textId="11F0DB58" w:rsidR="00815F04" w:rsidRDefault="00815F04" w:rsidP="00815F04">
            <w:pPr>
              <w:spacing w:after="0"/>
              <w:rPr>
                <w:rFonts w:eastAsiaTheme="minorEastAsia" w:hint="eastAsia"/>
                <w:bCs/>
                <w:lang w:eastAsia="zh-CN"/>
              </w:rPr>
            </w:pPr>
            <w:r>
              <w:rPr>
                <w:rFonts w:eastAsia="MS Mincho"/>
                <w:bCs/>
                <w:lang w:eastAsia="ja-JP"/>
              </w:rPr>
              <w:t>Intel</w:t>
            </w:r>
          </w:p>
        </w:tc>
        <w:tc>
          <w:tcPr>
            <w:tcW w:w="3870" w:type="dxa"/>
          </w:tcPr>
          <w:p w14:paraId="4A2AE6FE" w14:textId="601B68B4" w:rsidR="00815F04" w:rsidRDefault="00815F04" w:rsidP="00815F04">
            <w:pPr>
              <w:spacing w:after="0"/>
              <w:jc w:val="left"/>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spacing w:after="0"/>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bl>
    <w:p w14:paraId="67731BCD" w14:textId="77777777" w:rsidR="008B19FA" w:rsidRDefault="008B19FA">
      <w:pPr>
        <w:spacing w:after="0"/>
        <w:jc w:val="left"/>
      </w:pPr>
    </w:p>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2D118B">
        <w:fldChar w:fldCharType="begin"/>
      </w:r>
      <w:r w:rsidR="002D118B">
        <w:instrText xml:space="preserve"> SEQ Proposal \* ARABIC </w:instrText>
      </w:r>
      <w:r w:rsidR="002D118B">
        <w:fldChar w:fldCharType="separate"/>
      </w:r>
      <w:r>
        <w:t>3</w:t>
      </w:r>
      <w:r w:rsidR="002D118B">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2D118B">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2D118B">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2D118B">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2D118B">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2D118B">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2D118B">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2D118B">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2D118B">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2D118B">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2D118B">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2D118B">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2D118B">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2D118B">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2D118B">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2D118B">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2D118B">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2D118B">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2D118B">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2D118B">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2D118B">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2D118B">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2D118B">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2D118B">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2D118B">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BC05" w14:textId="77777777" w:rsidR="002D118B" w:rsidRDefault="002D118B">
      <w:pPr>
        <w:spacing w:line="240" w:lineRule="auto"/>
      </w:pPr>
      <w:r>
        <w:separator/>
      </w:r>
    </w:p>
  </w:endnote>
  <w:endnote w:type="continuationSeparator" w:id="0">
    <w:p w14:paraId="57FA50EC" w14:textId="77777777" w:rsidR="002D118B" w:rsidRDefault="002D1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7902941E"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sidR="000733CD">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33CD">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61C46" w14:textId="77777777" w:rsidR="002D118B" w:rsidRDefault="002D118B">
      <w:pPr>
        <w:spacing w:after="0" w:line="240" w:lineRule="auto"/>
      </w:pPr>
      <w:r>
        <w:separator/>
      </w:r>
    </w:p>
  </w:footnote>
  <w:footnote w:type="continuationSeparator" w:id="0">
    <w:p w14:paraId="62708EFF" w14:textId="77777777" w:rsidR="002D118B" w:rsidRDefault="002D1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3"/>
  </w:num>
  <w:num w:numId="7">
    <w:abstractNumId w:val="21"/>
  </w:num>
  <w:num w:numId="8">
    <w:abstractNumId w:val="15"/>
  </w:num>
  <w:num w:numId="9">
    <w:abstractNumId w:val="19"/>
  </w:num>
  <w:num w:numId="10">
    <w:abstractNumId w:val="1"/>
  </w:num>
  <w:num w:numId="11">
    <w:abstractNumId w:val="10"/>
  </w:num>
  <w:num w:numId="12">
    <w:abstractNumId w:val="20"/>
  </w:num>
  <w:num w:numId="13">
    <w:abstractNumId w:val="29"/>
  </w:num>
  <w:num w:numId="14">
    <w:abstractNumId w:val="22"/>
  </w:num>
  <w:num w:numId="15">
    <w:abstractNumId w:val="12"/>
  </w:num>
  <w:num w:numId="16">
    <w:abstractNumId w:val="24"/>
  </w:num>
  <w:num w:numId="17">
    <w:abstractNumId w:val="3"/>
  </w:num>
  <w:num w:numId="18">
    <w:abstractNumId w:val="16"/>
  </w:num>
  <w:num w:numId="19">
    <w:abstractNumId w:val="0"/>
  </w:num>
  <w:num w:numId="20">
    <w:abstractNumId w:val="26"/>
  </w:num>
  <w:num w:numId="21">
    <w:abstractNumId w:val="18"/>
  </w:num>
  <w:num w:numId="22">
    <w:abstractNumId w:val="6"/>
  </w:num>
  <w:num w:numId="23">
    <w:abstractNumId w:val="13"/>
  </w:num>
  <w:num w:numId="24">
    <w:abstractNumId w:val="8"/>
  </w:num>
  <w:num w:numId="25">
    <w:abstractNumId w:val="28"/>
  </w:num>
  <w:num w:numId="26">
    <w:abstractNumId w:val="25"/>
  </w:num>
  <w:num w:numId="27">
    <w:abstractNumId w:val="30"/>
  </w:num>
  <w:num w:numId="28">
    <w:abstractNumId w:val="5"/>
  </w:num>
  <w:num w:numId="29">
    <w:abstractNumId w:val="1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A6600D-89AF-4F13-8495-45BC3B67C51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11297</Words>
  <Characters>64396</Characters>
  <Application>Microsoft Office Word</Application>
  <DocSecurity>0</DocSecurity>
  <Lines>536</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6</cp:revision>
  <cp:lastPrinted>2014-11-07T05:38:00Z</cp:lastPrinted>
  <dcterms:created xsi:type="dcterms:W3CDTF">2021-11-16T09:28:00Z</dcterms:created>
  <dcterms:modified xsi:type="dcterms:W3CDTF">2021-11-16T14:27:00Z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