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2BF4" w14:textId="25450701" w:rsidR="00020375" w:rsidRDefault="00020375" w:rsidP="00020375">
      <w:pPr>
        <w:pStyle w:val="Header"/>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80CDB7"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0" w:history="1">
        <w:r w:rsidR="00B23C49"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E35377" w14:paraId="0A48BC80" w14:textId="77777777" w:rsidTr="00133415">
        <w:tc>
          <w:tcPr>
            <w:tcW w:w="2830" w:type="dxa"/>
            <w:shd w:val="clear" w:color="auto" w:fill="BFBFBF" w:themeFill="background1" w:themeFillShade="BF"/>
          </w:tcPr>
          <w:p w14:paraId="40096866" w14:textId="77777777" w:rsidR="00E35377" w:rsidRDefault="00E35377" w:rsidP="0013341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13341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133415">
            <w:pPr>
              <w:spacing w:after="0"/>
              <w:jc w:val="center"/>
              <w:rPr>
                <w:b/>
                <w:bCs/>
                <w:lang w:val="en-US"/>
              </w:rPr>
            </w:pPr>
            <w:r>
              <w:rPr>
                <w:b/>
                <w:bCs/>
                <w:lang w:val="en-US"/>
              </w:rPr>
              <w:t>Email address</w:t>
            </w:r>
          </w:p>
        </w:tc>
      </w:tr>
      <w:tr w:rsidR="00E35377" w14:paraId="633E798E" w14:textId="77777777" w:rsidTr="00133415">
        <w:tc>
          <w:tcPr>
            <w:tcW w:w="2830" w:type="dxa"/>
          </w:tcPr>
          <w:p w14:paraId="23742523" w14:textId="72F7197A" w:rsidR="00E35377" w:rsidRDefault="009518C0" w:rsidP="00133415">
            <w:pPr>
              <w:spacing w:after="0"/>
              <w:rPr>
                <w:lang w:val="en-US"/>
              </w:rPr>
            </w:pPr>
            <w:r>
              <w:rPr>
                <w:lang w:val="en-US"/>
              </w:rPr>
              <w:t>Intel Corporation</w:t>
            </w:r>
          </w:p>
        </w:tc>
        <w:tc>
          <w:tcPr>
            <w:tcW w:w="2410" w:type="dxa"/>
          </w:tcPr>
          <w:p w14:paraId="39C170C1" w14:textId="1B136E4A" w:rsidR="00E35377" w:rsidRDefault="009518C0" w:rsidP="00133415">
            <w:pPr>
              <w:spacing w:after="0"/>
              <w:rPr>
                <w:lang w:val="en-US"/>
              </w:rPr>
            </w:pPr>
            <w:r>
              <w:rPr>
                <w:lang w:val="en-US"/>
              </w:rPr>
              <w:t>Debdeep Chatterjee</w:t>
            </w:r>
          </w:p>
        </w:tc>
        <w:tc>
          <w:tcPr>
            <w:tcW w:w="4394" w:type="dxa"/>
          </w:tcPr>
          <w:p w14:paraId="4D0F6910" w14:textId="2633AA3C" w:rsidR="00E35377" w:rsidRDefault="009518C0" w:rsidP="00133415">
            <w:pPr>
              <w:spacing w:after="0"/>
              <w:rPr>
                <w:lang w:val="en-US"/>
              </w:rPr>
            </w:pPr>
            <w:r>
              <w:rPr>
                <w:lang w:val="en-US"/>
              </w:rPr>
              <w:t>debdeep.chatterjee@intel.com</w:t>
            </w:r>
          </w:p>
        </w:tc>
      </w:tr>
      <w:tr w:rsidR="00E35377" w14:paraId="0A6E63FE" w14:textId="77777777" w:rsidTr="00133415">
        <w:tc>
          <w:tcPr>
            <w:tcW w:w="2830" w:type="dxa"/>
          </w:tcPr>
          <w:p w14:paraId="6ECA2841" w14:textId="77777777" w:rsidR="00E35377" w:rsidRDefault="00E35377" w:rsidP="00133415">
            <w:pPr>
              <w:spacing w:after="0"/>
              <w:rPr>
                <w:rFonts w:eastAsia="Yu Mincho"/>
                <w:lang w:val="en-US" w:eastAsia="ja-JP"/>
              </w:rPr>
            </w:pPr>
          </w:p>
        </w:tc>
        <w:tc>
          <w:tcPr>
            <w:tcW w:w="2410" w:type="dxa"/>
          </w:tcPr>
          <w:p w14:paraId="5C77467D" w14:textId="77777777" w:rsidR="00E35377" w:rsidRDefault="00E35377" w:rsidP="00133415">
            <w:pPr>
              <w:spacing w:after="0"/>
              <w:rPr>
                <w:rFonts w:eastAsia="Yu Mincho"/>
                <w:lang w:val="en-US" w:eastAsia="ja-JP"/>
              </w:rPr>
            </w:pPr>
          </w:p>
        </w:tc>
        <w:tc>
          <w:tcPr>
            <w:tcW w:w="4394" w:type="dxa"/>
          </w:tcPr>
          <w:p w14:paraId="66D8136F" w14:textId="77777777" w:rsidR="00E35377" w:rsidRDefault="00E35377" w:rsidP="00133415">
            <w:pPr>
              <w:spacing w:after="0"/>
              <w:rPr>
                <w:rFonts w:eastAsiaTheme="minorEastAsia"/>
                <w:lang w:val="en-US" w:eastAsia="zh-CN"/>
              </w:rPr>
            </w:pPr>
          </w:p>
        </w:tc>
      </w:tr>
      <w:tr w:rsidR="00E35377" w14:paraId="41826B0C" w14:textId="77777777" w:rsidTr="00133415">
        <w:tc>
          <w:tcPr>
            <w:tcW w:w="2830" w:type="dxa"/>
          </w:tcPr>
          <w:p w14:paraId="47FEB282" w14:textId="77777777" w:rsidR="00E35377" w:rsidRDefault="00E35377" w:rsidP="00133415">
            <w:pPr>
              <w:spacing w:after="0"/>
              <w:rPr>
                <w:rFonts w:eastAsia="Yu Mincho"/>
                <w:lang w:val="en-US" w:eastAsia="ja-JP"/>
              </w:rPr>
            </w:pPr>
          </w:p>
        </w:tc>
        <w:tc>
          <w:tcPr>
            <w:tcW w:w="2410" w:type="dxa"/>
          </w:tcPr>
          <w:p w14:paraId="1112F7A7" w14:textId="77777777" w:rsidR="00E35377" w:rsidRDefault="00E35377" w:rsidP="00133415">
            <w:pPr>
              <w:spacing w:after="0"/>
              <w:rPr>
                <w:rFonts w:eastAsia="Yu Mincho"/>
                <w:lang w:val="en-US" w:eastAsia="ja-JP"/>
              </w:rPr>
            </w:pPr>
          </w:p>
        </w:tc>
        <w:tc>
          <w:tcPr>
            <w:tcW w:w="4394" w:type="dxa"/>
          </w:tcPr>
          <w:p w14:paraId="1FB36DA7" w14:textId="77777777" w:rsidR="00E35377" w:rsidRDefault="00E35377" w:rsidP="00133415">
            <w:pPr>
              <w:spacing w:after="0"/>
              <w:rPr>
                <w:lang w:val="en-US"/>
              </w:rPr>
            </w:pPr>
          </w:p>
        </w:tc>
      </w:tr>
      <w:tr w:rsidR="00E35377" w14:paraId="3CBA719D" w14:textId="77777777" w:rsidTr="00133415">
        <w:tc>
          <w:tcPr>
            <w:tcW w:w="2830" w:type="dxa"/>
          </w:tcPr>
          <w:p w14:paraId="43517ADC" w14:textId="77777777" w:rsidR="00E35377" w:rsidRDefault="00E35377" w:rsidP="00133415">
            <w:pPr>
              <w:spacing w:after="0"/>
              <w:rPr>
                <w:rFonts w:eastAsiaTheme="minorEastAsia"/>
                <w:lang w:val="en-US" w:eastAsia="zh-CN"/>
              </w:rPr>
            </w:pPr>
          </w:p>
        </w:tc>
        <w:tc>
          <w:tcPr>
            <w:tcW w:w="2410" w:type="dxa"/>
          </w:tcPr>
          <w:p w14:paraId="27E3190C" w14:textId="77777777" w:rsidR="00E35377" w:rsidRDefault="00E35377" w:rsidP="00133415">
            <w:pPr>
              <w:spacing w:after="0"/>
              <w:rPr>
                <w:rFonts w:eastAsiaTheme="minorEastAsia"/>
                <w:lang w:val="en-US" w:eastAsia="zh-CN"/>
              </w:rPr>
            </w:pPr>
          </w:p>
        </w:tc>
        <w:tc>
          <w:tcPr>
            <w:tcW w:w="4394" w:type="dxa"/>
          </w:tcPr>
          <w:p w14:paraId="4E44B401" w14:textId="77777777" w:rsidR="00E35377" w:rsidRDefault="00E35377" w:rsidP="00133415">
            <w:pPr>
              <w:spacing w:after="0"/>
              <w:rPr>
                <w:rFonts w:eastAsiaTheme="minorEastAsia"/>
                <w:lang w:val="en-US" w:eastAsia="zh-CN"/>
              </w:rPr>
            </w:pPr>
          </w:p>
        </w:tc>
      </w:tr>
      <w:tr w:rsidR="00E35377" w14:paraId="55C7A034" w14:textId="77777777" w:rsidTr="00133415">
        <w:tc>
          <w:tcPr>
            <w:tcW w:w="2830" w:type="dxa"/>
          </w:tcPr>
          <w:p w14:paraId="57A57969" w14:textId="77777777" w:rsidR="00E35377" w:rsidRDefault="00E35377" w:rsidP="00133415">
            <w:pPr>
              <w:spacing w:after="0"/>
              <w:rPr>
                <w:rFonts w:eastAsia="Yu Mincho"/>
                <w:lang w:val="en-US" w:eastAsia="ja-JP"/>
              </w:rPr>
            </w:pPr>
          </w:p>
        </w:tc>
        <w:tc>
          <w:tcPr>
            <w:tcW w:w="2410" w:type="dxa"/>
          </w:tcPr>
          <w:p w14:paraId="022FA822" w14:textId="77777777" w:rsidR="00E35377" w:rsidRDefault="00E35377" w:rsidP="00133415">
            <w:pPr>
              <w:spacing w:after="0"/>
              <w:rPr>
                <w:rFonts w:eastAsia="Yu Mincho"/>
                <w:lang w:val="en-US" w:eastAsia="ja-JP"/>
              </w:rPr>
            </w:pPr>
          </w:p>
        </w:tc>
        <w:tc>
          <w:tcPr>
            <w:tcW w:w="4394" w:type="dxa"/>
          </w:tcPr>
          <w:p w14:paraId="7951E4E8" w14:textId="77777777" w:rsidR="00E35377" w:rsidRDefault="00E35377" w:rsidP="00133415">
            <w:pPr>
              <w:spacing w:after="0"/>
              <w:rPr>
                <w:rFonts w:eastAsia="Yu Mincho"/>
                <w:lang w:val="en-US" w:eastAsia="ja-JP"/>
              </w:rPr>
            </w:pPr>
          </w:p>
        </w:tc>
      </w:tr>
      <w:tr w:rsidR="00E35377" w14:paraId="06A8D565" w14:textId="77777777" w:rsidTr="00133415">
        <w:tc>
          <w:tcPr>
            <w:tcW w:w="2830" w:type="dxa"/>
          </w:tcPr>
          <w:p w14:paraId="6659C879" w14:textId="77777777" w:rsidR="00E35377" w:rsidRDefault="00E35377" w:rsidP="00133415">
            <w:pPr>
              <w:spacing w:after="0"/>
              <w:rPr>
                <w:rFonts w:eastAsia="Yu Mincho"/>
                <w:lang w:val="en-US" w:eastAsia="ja-JP"/>
              </w:rPr>
            </w:pPr>
          </w:p>
        </w:tc>
        <w:tc>
          <w:tcPr>
            <w:tcW w:w="2410" w:type="dxa"/>
          </w:tcPr>
          <w:p w14:paraId="1D6CC524" w14:textId="77777777" w:rsidR="00E35377" w:rsidRDefault="00E35377" w:rsidP="00133415">
            <w:pPr>
              <w:spacing w:after="0"/>
              <w:rPr>
                <w:rFonts w:eastAsia="Yu Mincho"/>
                <w:lang w:val="en-US" w:eastAsia="ja-JP"/>
              </w:rPr>
            </w:pPr>
          </w:p>
        </w:tc>
        <w:tc>
          <w:tcPr>
            <w:tcW w:w="4394" w:type="dxa"/>
          </w:tcPr>
          <w:p w14:paraId="70D3C13B" w14:textId="77777777" w:rsidR="00E35377" w:rsidRDefault="00E35377" w:rsidP="00133415">
            <w:pPr>
              <w:spacing w:after="0"/>
              <w:rPr>
                <w:rFonts w:eastAsia="Yu Mincho"/>
                <w:lang w:val="en-US" w:eastAsia="ja-JP"/>
              </w:rPr>
            </w:pPr>
          </w:p>
        </w:tc>
      </w:tr>
      <w:tr w:rsidR="00E35377" w14:paraId="732B6C4E" w14:textId="77777777" w:rsidTr="00133415">
        <w:tc>
          <w:tcPr>
            <w:tcW w:w="2830" w:type="dxa"/>
          </w:tcPr>
          <w:p w14:paraId="160F38F8" w14:textId="77777777" w:rsidR="00E35377" w:rsidRDefault="00E35377" w:rsidP="00133415">
            <w:pPr>
              <w:spacing w:after="0"/>
              <w:rPr>
                <w:lang w:val="en-US"/>
              </w:rPr>
            </w:pPr>
          </w:p>
        </w:tc>
        <w:tc>
          <w:tcPr>
            <w:tcW w:w="2410" w:type="dxa"/>
          </w:tcPr>
          <w:p w14:paraId="61093B30" w14:textId="77777777" w:rsidR="00E35377" w:rsidRDefault="00E35377" w:rsidP="00133415">
            <w:pPr>
              <w:spacing w:after="0"/>
              <w:rPr>
                <w:lang w:val="en-US"/>
              </w:rPr>
            </w:pPr>
          </w:p>
        </w:tc>
        <w:tc>
          <w:tcPr>
            <w:tcW w:w="4394" w:type="dxa"/>
          </w:tcPr>
          <w:p w14:paraId="3A308A03" w14:textId="77777777" w:rsidR="00E35377" w:rsidRDefault="00E35377" w:rsidP="00133415">
            <w:pPr>
              <w:spacing w:after="0"/>
              <w:rPr>
                <w:lang w:val="en-US"/>
              </w:rPr>
            </w:pPr>
          </w:p>
        </w:tc>
      </w:tr>
      <w:tr w:rsidR="00E35377" w14:paraId="4B7498FA" w14:textId="77777777" w:rsidTr="00133415">
        <w:tc>
          <w:tcPr>
            <w:tcW w:w="2830" w:type="dxa"/>
          </w:tcPr>
          <w:p w14:paraId="63E6D6A8" w14:textId="77777777" w:rsidR="00E35377" w:rsidRDefault="00E35377" w:rsidP="00133415">
            <w:pPr>
              <w:spacing w:after="0"/>
              <w:rPr>
                <w:lang w:val="en-US"/>
              </w:rPr>
            </w:pPr>
          </w:p>
        </w:tc>
        <w:tc>
          <w:tcPr>
            <w:tcW w:w="2410" w:type="dxa"/>
          </w:tcPr>
          <w:p w14:paraId="29C5E1A5" w14:textId="77777777" w:rsidR="00E35377" w:rsidRDefault="00E35377" w:rsidP="00133415">
            <w:pPr>
              <w:spacing w:after="0"/>
              <w:rPr>
                <w:lang w:val="en-US"/>
              </w:rPr>
            </w:pPr>
          </w:p>
        </w:tc>
        <w:tc>
          <w:tcPr>
            <w:tcW w:w="4394" w:type="dxa"/>
          </w:tcPr>
          <w:p w14:paraId="276E3F06" w14:textId="77777777" w:rsidR="00E35377" w:rsidRDefault="00E35377" w:rsidP="00133415">
            <w:pPr>
              <w:spacing w:after="0"/>
              <w:rPr>
                <w:lang w:val="en-US"/>
              </w:rPr>
            </w:pPr>
          </w:p>
        </w:tc>
      </w:tr>
      <w:tr w:rsidR="00E35377" w14:paraId="0B13AD57" w14:textId="77777777" w:rsidTr="00133415">
        <w:tc>
          <w:tcPr>
            <w:tcW w:w="2830" w:type="dxa"/>
          </w:tcPr>
          <w:p w14:paraId="531D99D1" w14:textId="77777777" w:rsidR="00E35377" w:rsidRDefault="00E35377" w:rsidP="00133415">
            <w:pPr>
              <w:spacing w:after="0"/>
              <w:rPr>
                <w:rFonts w:eastAsia="Yu Mincho"/>
                <w:lang w:val="en-US" w:eastAsia="ja-JP"/>
              </w:rPr>
            </w:pPr>
          </w:p>
        </w:tc>
        <w:tc>
          <w:tcPr>
            <w:tcW w:w="2410" w:type="dxa"/>
          </w:tcPr>
          <w:p w14:paraId="31A2CF74" w14:textId="77777777" w:rsidR="00E35377" w:rsidRDefault="00E35377" w:rsidP="00133415">
            <w:pPr>
              <w:spacing w:after="0"/>
              <w:rPr>
                <w:rFonts w:eastAsia="Yu Mincho"/>
                <w:lang w:val="en-US" w:eastAsia="ja-JP"/>
              </w:rPr>
            </w:pPr>
          </w:p>
        </w:tc>
        <w:tc>
          <w:tcPr>
            <w:tcW w:w="4394" w:type="dxa"/>
          </w:tcPr>
          <w:p w14:paraId="4DFD5787" w14:textId="77777777" w:rsidR="00E35377" w:rsidRDefault="00E35377" w:rsidP="00133415">
            <w:pPr>
              <w:spacing w:after="0"/>
              <w:rPr>
                <w:lang w:val="en-US"/>
              </w:rPr>
            </w:pPr>
          </w:p>
        </w:tc>
      </w:tr>
      <w:tr w:rsidR="00E35377" w14:paraId="530E39A9" w14:textId="77777777" w:rsidTr="00133415">
        <w:tc>
          <w:tcPr>
            <w:tcW w:w="2830" w:type="dxa"/>
          </w:tcPr>
          <w:p w14:paraId="0CED872D" w14:textId="77777777" w:rsidR="00E35377" w:rsidRDefault="00E35377" w:rsidP="00133415">
            <w:pPr>
              <w:spacing w:after="0"/>
              <w:rPr>
                <w:lang w:val="en-US"/>
              </w:rPr>
            </w:pPr>
          </w:p>
        </w:tc>
        <w:tc>
          <w:tcPr>
            <w:tcW w:w="2410" w:type="dxa"/>
          </w:tcPr>
          <w:p w14:paraId="0F676F0A" w14:textId="77777777" w:rsidR="00E35377" w:rsidRDefault="00E35377" w:rsidP="00133415">
            <w:pPr>
              <w:spacing w:after="0"/>
              <w:rPr>
                <w:lang w:val="en-US"/>
              </w:rPr>
            </w:pPr>
          </w:p>
        </w:tc>
        <w:tc>
          <w:tcPr>
            <w:tcW w:w="4394" w:type="dxa"/>
          </w:tcPr>
          <w:p w14:paraId="0E1B9420" w14:textId="77777777" w:rsidR="00E35377" w:rsidRDefault="00E35377" w:rsidP="00133415">
            <w:pPr>
              <w:spacing w:after="0"/>
              <w:rPr>
                <w:lang w:val="en-US"/>
              </w:rPr>
            </w:pPr>
          </w:p>
        </w:tc>
      </w:tr>
      <w:tr w:rsidR="00E35377" w14:paraId="490E8C6E" w14:textId="77777777" w:rsidTr="00133415">
        <w:tc>
          <w:tcPr>
            <w:tcW w:w="2830" w:type="dxa"/>
          </w:tcPr>
          <w:p w14:paraId="63C6DE69" w14:textId="77777777" w:rsidR="00E35377" w:rsidRDefault="00E35377" w:rsidP="00133415">
            <w:pPr>
              <w:spacing w:after="0"/>
              <w:rPr>
                <w:rFonts w:eastAsiaTheme="minorEastAsia"/>
                <w:lang w:val="en-US" w:eastAsia="zh-CN"/>
              </w:rPr>
            </w:pPr>
          </w:p>
        </w:tc>
        <w:tc>
          <w:tcPr>
            <w:tcW w:w="2410" w:type="dxa"/>
          </w:tcPr>
          <w:p w14:paraId="5F4F5010" w14:textId="77777777" w:rsidR="00E35377" w:rsidRDefault="00E35377" w:rsidP="00133415">
            <w:pPr>
              <w:spacing w:after="0"/>
              <w:rPr>
                <w:rFonts w:eastAsiaTheme="minorEastAsia"/>
                <w:lang w:val="en-US" w:eastAsia="zh-CN"/>
              </w:rPr>
            </w:pPr>
          </w:p>
        </w:tc>
        <w:tc>
          <w:tcPr>
            <w:tcW w:w="4394" w:type="dxa"/>
          </w:tcPr>
          <w:p w14:paraId="00BF6190" w14:textId="77777777" w:rsidR="00E35377" w:rsidRDefault="00E35377" w:rsidP="00133415">
            <w:pPr>
              <w:spacing w:after="0"/>
              <w:rPr>
                <w:rFonts w:eastAsiaTheme="minorEastAsia"/>
                <w:lang w:val="en-US" w:eastAsia="zh-CN"/>
              </w:rPr>
            </w:pPr>
          </w:p>
        </w:tc>
      </w:tr>
      <w:tr w:rsidR="00E35377" w14:paraId="17071686" w14:textId="77777777" w:rsidTr="00133415">
        <w:tc>
          <w:tcPr>
            <w:tcW w:w="2830" w:type="dxa"/>
          </w:tcPr>
          <w:p w14:paraId="4E2E3DDD" w14:textId="77777777" w:rsidR="00E35377" w:rsidRDefault="00E35377" w:rsidP="00133415">
            <w:pPr>
              <w:spacing w:after="0"/>
              <w:rPr>
                <w:lang w:val="en-US"/>
              </w:rPr>
            </w:pPr>
          </w:p>
        </w:tc>
        <w:tc>
          <w:tcPr>
            <w:tcW w:w="2410" w:type="dxa"/>
          </w:tcPr>
          <w:p w14:paraId="5F082DC9" w14:textId="77777777" w:rsidR="00E35377" w:rsidRDefault="00E35377" w:rsidP="00133415">
            <w:pPr>
              <w:spacing w:after="0"/>
              <w:rPr>
                <w:lang w:val="en-US"/>
              </w:rPr>
            </w:pPr>
          </w:p>
        </w:tc>
        <w:tc>
          <w:tcPr>
            <w:tcW w:w="4394" w:type="dxa"/>
          </w:tcPr>
          <w:p w14:paraId="57D16471" w14:textId="77777777" w:rsidR="00E35377" w:rsidRDefault="00E35377" w:rsidP="00133415">
            <w:pPr>
              <w:spacing w:after="0"/>
              <w:rPr>
                <w:lang w:val="en-US"/>
              </w:rPr>
            </w:pPr>
          </w:p>
        </w:tc>
      </w:tr>
      <w:tr w:rsidR="00E35377" w14:paraId="04DB1E7A" w14:textId="77777777" w:rsidTr="00133415">
        <w:tc>
          <w:tcPr>
            <w:tcW w:w="2830" w:type="dxa"/>
          </w:tcPr>
          <w:p w14:paraId="05F7D37F" w14:textId="77777777" w:rsidR="00E35377" w:rsidRDefault="00E35377" w:rsidP="00133415">
            <w:pPr>
              <w:spacing w:after="0"/>
              <w:rPr>
                <w:lang w:val="en-US"/>
              </w:rPr>
            </w:pPr>
          </w:p>
        </w:tc>
        <w:tc>
          <w:tcPr>
            <w:tcW w:w="2410" w:type="dxa"/>
          </w:tcPr>
          <w:p w14:paraId="0F796730" w14:textId="77777777" w:rsidR="00E35377" w:rsidRDefault="00E35377" w:rsidP="00133415">
            <w:pPr>
              <w:spacing w:after="0"/>
              <w:rPr>
                <w:lang w:val="en-US"/>
              </w:rPr>
            </w:pPr>
          </w:p>
        </w:tc>
        <w:tc>
          <w:tcPr>
            <w:tcW w:w="4394" w:type="dxa"/>
          </w:tcPr>
          <w:p w14:paraId="3F784AD2" w14:textId="77777777" w:rsidR="00E35377" w:rsidRDefault="00E35377" w:rsidP="00133415">
            <w:pPr>
              <w:spacing w:after="0"/>
              <w:rPr>
                <w:lang w:val="en-US"/>
              </w:rPr>
            </w:pPr>
          </w:p>
        </w:tc>
      </w:tr>
      <w:tr w:rsidR="00E35377" w14:paraId="7A5002FF" w14:textId="77777777" w:rsidTr="00133415">
        <w:tc>
          <w:tcPr>
            <w:tcW w:w="2830" w:type="dxa"/>
          </w:tcPr>
          <w:p w14:paraId="652CED09" w14:textId="77777777" w:rsidR="00E35377" w:rsidRDefault="00E35377" w:rsidP="00133415">
            <w:pPr>
              <w:spacing w:after="0"/>
              <w:rPr>
                <w:lang w:val="en-US"/>
              </w:rPr>
            </w:pPr>
          </w:p>
        </w:tc>
        <w:tc>
          <w:tcPr>
            <w:tcW w:w="2410" w:type="dxa"/>
          </w:tcPr>
          <w:p w14:paraId="078E4D63" w14:textId="77777777" w:rsidR="00E35377" w:rsidRDefault="00E35377" w:rsidP="00133415">
            <w:pPr>
              <w:spacing w:after="0"/>
              <w:rPr>
                <w:lang w:val="en-US"/>
              </w:rPr>
            </w:pPr>
          </w:p>
        </w:tc>
        <w:tc>
          <w:tcPr>
            <w:tcW w:w="4394" w:type="dxa"/>
          </w:tcPr>
          <w:p w14:paraId="793B7DA4" w14:textId="77777777" w:rsidR="00E35377" w:rsidRDefault="00E35377" w:rsidP="00133415">
            <w:pPr>
              <w:spacing w:after="0"/>
              <w:rPr>
                <w:lang w:val="en-US"/>
              </w:rPr>
            </w:pPr>
          </w:p>
        </w:tc>
      </w:tr>
      <w:tr w:rsidR="00E35377" w14:paraId="025B03E8" w14:textId="77777777" w:rsidTr="00133415">
        <w:tc>
          <w:tcPr>
            <w:tcW w:w="2830" w:type="dxa"/>
          </w:tcPr>
          <w:p w14:paraId="6A8FEBBE" w14:textId="77777777" w:rsidR="00E35377" w:rsidRDefault="00E35377" w:rsidP="00133415">
            <w:pPr>
              <w:spacing w:after="0"/>
              <w:rPr>
                <w:lang w:val="en-US"/>
              </w:rPr>
            </w:pPr>
          </w:p>
        </w:tc>
        <w:tc>
          <w:tcPr>
            <w:tcW w:w="2410" w:type="dxa"/>
          </w:tcPr>
          <w:p w14:paraId="2E53C2A6" w14:textId="77777777" w:rsidR="00E35377" w:rsidRDefault="00E35377" w:rsidP="00133415">
            <w:pPr>
              <w:spacing w:after="0"/>
              <w:rPr>
                <w:lang w:val="en-US"/>
              </w:rPr>
            </w:pPr>
          </w:p>
        </w:tc>
        <w:tc>
          <w:tcPr>
            <w:tcW w:w="4394" w:type="dxa"/>
          </w:tcPr>
          <w:p w14:paraId="5E5F1FFD" w14:textId="77777777" w:rsidR="00E35377" w:rsidRDefault="00E35377" w:rsidP="00133415">
            <w:pPr>
              <w:spacing w:after="0"/>
              <w:rPr>
                <w:lang w:val="en-US"/>
              </w:rPr>
            </w:pPr>
          </w:p>
        </w:tc>
      </w:tr>
      <w:tr w:rsidR="00E35377" w14:paraId="6BEE91B8" w14:textId="77777777" w:rsidTr="00133415">
        <w:tc>
          <w:tcPr>
            <w:tcW w:w="2830" w:type="dxa"/>
          </w:tcPr>
          <w:p w14:paraId="78B18A55" w14:textId="77777777" w:rsidR="00E35377" w:rsidRDefault="00E35377" w:rsidP="00133415">
            <w:pPr>
              <w:spacing w:after="0"/>
              <w:rPr>
                <w:lang w:val="en-US"/>
              </w:rPr>
            </w:pPr>
          </w:p>
        </w:tc>
        <w:tc>
          <w:tcPr>
            <w:tcW w:w="2410" w:type="dxa"/>
          </w:tcPr>
          <w:p w14:paraId="4E14E1C8" w14:textId="77777777" w:rsidR="00E35377" w:rsidRDefault="00E35377" w:rsidP="00133415">
            <w:pPr>
              <w:spacing w:after="0"/>
              <w:rPr>
                <w:lang w:val="en-US"/>
              </w:rPr>
            </w:pPr>
          </w:p>
        </w:tc>
        <w:tc>
          <w:tcPr>
            <w:tcW w:w="4394" w:type="dxa"/>
          </w:tcPr>
          <w:p w14:paraId="12268CA7" w14:textId="77777777" w:rsidR="00E35377" w:rsidRDefault="00E35377" w:rsidP="00133415">
            <w:pPr>
              <w:spacing w:after="0"/>
              <w:rPr>
                <w:lang w:val="en-US"/>
              </w:rPr>
            </w:pPr>
          </w:p>
        </w:tc>
      </w:tr>
      <w:tr w:rsidR="00E35377" w14:paraId="72DA8D06" w14:textId="77777777" w:rsidTr="00133415">
        <w:tc>
          <w:tcPr>
            <w:tcW w:w="2830" w:type="dxa"/>
          </w:tcPr>
          <w:p w14:paraId="3A5942BF" w14:textId="77777777" w:rsidR="00E35377" w:rsidRDefault="00E35377" w:rsidP="00133415">
            <w:pPr>
              <w:spacing w:after="0"/>
              <w:rPr>
                <w:lang w:val="en-US"/>
              </w:rPr>
            </w:pPr>
          </w:p>
        </w:tc>
        <w:tc>
          <w:tcPr>
            <w:tcW w:w="2410" w:type="dxa"/>
          </w:tcPr>
          <w:p w14:paraId="0D625974" w14:textId="77777777" w:rsidR="00E35377" w:rsidRDefault="00E35377" w:rsidP="00133415">
            <w:pPr>
              <w:spacing w:after="0"/>
              <w:rPr>
                <w:lang w:val="en-US"/>
              </w:rPr>
            </w:pPr>
          </w:p>
        </w:tc>
        <w:tc>
          <w:tcPr>
            <w:tcW w:w="4394" w:type="dxa"/>
          </w:tcPr>
          <w:p w14:paraId="110E763C" w14:textId="77777777" w:rsidR="00E35377" w:rsidRDefault="00E35377" w:rsidP="00133415">
            <w:pPr>
              <w:spacing w:after="0"/>
              <w:rPr>
                <w:lang w:val="en-US"/>
              </w:rPr>
            </w:pPr>
          </w:p>
        </w:tc>
      </w:tr>
      <w:tr w:rsidR="00E35377" w14:paraId="294F33C7" w14:textId="77777777" w:rsidTr="00133415">
        <w:tc>
          <w:tcPr>
            <w:tcW w:w="2830" w:type="dxa"/>
          </w:tcPr>
          <w:p w14:paraId="456105FB" w14:textId="77777777" w:rsidR="00E35377" w:rsidRDefault="00E35377" w:rsidP="00133415">
            <w:pPr>
              <w:spacing w:after="0"/>
              <w:rPr>
                <w:lang w:val="en-US"/>
              </w:rPr>
            </w:pPr>
          </w:p>
        </w:tc>
        <w:tc>
          <w:tcPr>
            <w:tcW w:w="2410" w:type="dxa"/>
          </w:tcPr>
          <w:p w14:paraId="362F501E" w14:textId="77777777" w:rsidR="00E35377" w:rsidRDefault="00E35377" w:rsidP="00133415">
            <w:pPr>
              <w:spacing w:after="0"/>
              <w:rPr>
                <w:lang w:val="en-US"/>
              </w:rPr>
            </w:pPr>
          </w:p>
        </w:tc>
        <w:tc>
          <w:tcPr>
            <w:tcW w:w="4394" w:type="dxa"/>
          </w:tcPr>
          <w:p w14:paraId="502151E2" w14:textId="77777777" w:rsidR="00E35377" w:rsidRDefault="00E35377" w:rsidP="00133415">
            <w:pPr>
              <w:spacing w:after="0"/>
              <w:rPr>
                <w:lang w:val="en-US"/>
              </w:rPr>
            </w:pPr>
          </w:p>
        </w:tc>
      </w:tr>
    </w:tbl>
    <w:p w14:paraId="5CF90C57" w14:textId="77777777" w:rsidR="00E35377" w:rsidRDefault="00E35377" w:rsidP="00F71E87">
      <w:pPr>
        <w:jc w:val="both"/>
        <w:rPr>
          <w:lang w:val="en-US"/>
        </w:rPr>
      </w:pPr>
    </w:p>
    <w:p w14:paraId="0FD0090F" w14:textId="03D3D4C8" w:rsidR="00070C16" w:rsidRPr="004C401C" w:rsidRDefault="005409B2" w:rsidP="00EC6686">
      <w:pPr>
        <w:pStyle w:val="Heading1"/>
        <w:ind w:left="1134" w:hanging="1134"/>
        <w:rPr>
          <w:rStyle w:val="Emphasis"/>
          <w:i w:val="0"/>
          <w:iCs w:val="0"/>
        </w:rPr>
      </w:pPr>
      <w:r>
        <w:rPr>
          <w:rStyle w:val="Emphasis"/>
          <w:i w:val="0"/>
          <w:iCs w:val="0"/>
        </w:rPr>
        <w:t>S</w:t>
      </w:r>
      <w:r w:rsidR="00070C16" w:rsidRPr="004C401C">
        <w:rPr>
          <w:rStyle w:val="Emphasis"/>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TableGrid"/>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TableGrid"/>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 xml:space="preserve">8 </w:t>
      </w:r>
      <w:proofErr w:type="spellStart"/>
      <w:r w:rsidR="002D5D83">
        <w:rPr>
          <w:lang w:eastAsia="ja-JP"/>
        </w:rPr>
        <w:t>FDMed</w:t>
      </w:r>
      <w:proofErr w:type="spellEnd"/>
      <w:r w:rsidR="002D5D83">
        <w:rPr>
          <w:lang w:eastAsia="ja-JP"/>
        </w:rPr>
        <w:t xml:space="preserve">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ListParagraph"/>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ListParagraph"/>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RedCap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r w:rsidR="00AB0CB1">
              <w:rPr>
                <w:lang w:val="en-US" w:eastAsia="ko-KR"/>
              </w:rPr>
              <w:t xml:space="preserve">RedCap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RedCap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RedCap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non-RedCap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non-RedCap UEs) </w:t>
            </w:r>
            <w:r w:rsidR="00F16E1B">
              <w:rPr>
                <w:lang w:val="en-US" w:eastAsia="ko-KR"/>
              </w:rPr>
              <w:t xml:space="preserve">in </w:t>
            </w:r>
            <w:r w:rsidR="00CA542A">
              <w:rPr>
                <w:lang w:val="en-US" w:eastAsia="ko-KR"/>
              </w:rPr>
              <w:t>a separate initial UL BWP that is limited to within RedCap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RedCap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77777777" w:rsidR="00070C16" w:rsidRDefault="00070C16" w:rsidP="00C8549E">
            <w:pPr>
              <w:rPr>
                <w:lang w:val="en-US" w:eastAsia="ko-KR"/>
              </w:rPr>
            </w:pPr>
          </w:p>
        </w:tc>
        <w:tc>
          <w:tcPr>
            <w:tcW w:w="1372" w:type="dxa"/>
          </w:tcPr>
          <w:p w14:paraId="6C6DD321" w14:textId="77777777" w:rsidR="00070C16" w:rsidRDefault="00070C16" w:rsidP="00C8549E">
            <w:pPr>
              <w:tabs>
                <w:tab w:val="left" w:pos="551"/>
              </w:tabs>
              <w:rPr>
                <w:lang w:val="en-US" w:eastAsia="ko-KR"/>
              </w:rPr>
            </w:pPr>
          </w:p>
        </w:tc>
        <w:tc>
          <w:tcPr>
            <w:tcW w:w="6780" w:type="dxa"/>
          </w:tcPr>
          <w:p w14:paraId="4C497812"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Heading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lastRenderedPageBreak/>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lastRenderedPageBreak/>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ListParagraph"/>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ListParagraph"/>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ListParagraph"/>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RedCap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RedCap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lastRenderedPageBreak/>
              <w:t xml:space="preserve">Thus, </w:t>
            </w:r>
            <w:r w:rsidR="001969DA">
              <w:rPr>
                <w:lang w:val="en-US" w:eastAsia="ko-KR"/>
              </w:rPr>
              <w:t>if a separate initial DL BWP is configured to RedCap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by RedCap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7777777" w:rsidR="006010D1" w:rsidRDefault="006010D1" w:rsidP="00ED3D5C">
            <w:pPr>
              <w:rPr>
                <w:lang w:val="en-US" w:eastAsia="ko-KR"/>
              </w:rPr>
            </w:pPr>
          </w:p>
        </w:tc>
        <w:tc>
          <w:tcPr>
            <w:tcW w:w="1372" w:type="dxa"/>
          </w:tcPr>
          <w:p w14:paraId="74F1FD57" w14:textId="77777777" w:rsidR="006010D1" w:rsidRDefault="006010D1" w:rsidP="00ED3D5C">
            <w:pPr>
              <w:tabs>
                <w:tab w:val="left" w:pos="551"/>
              </w:tabs>
              <w:rPr>
                <w:lang w:val="en-US" w:eastAsia="ko-KR"/>
              </w:rPr>
            </w:pPr>
          </w:p>
        </w:tc>
        <w:tc>
          <w:tcPr>
            <w:tcW w:w="6780" w:type="dxa"/>
          </w:tcPr>
          <w:p w14:paraId="0290E6AC" w14:textId="77777777" w:rsidR="006010D1" w:rsidRDefault="006010D1" w:rsidP="00ED3D5C">
            <w:pPr>
              <w:rPr>
                <w:lang w:val="en-US" w:eastAsia="ko-KR"/>
              </w:rPr>
            </w:pPr>
          </w:p>
        </w:tc>
      </w:tr>
      <w:tr w:rsidR="006010D1" w14:paraId="2E205E6A" w14:textId="77777777" w:rsidTr="00ED3D5C">
        <w:tc>
          <w:tcPr>
            <w:tcW w:w="1479" w:type="dxa"/>
          </w:tcPr>
          <w:p w14:paraId="47CAE1FD" w14:textId="77777777" w:rsidR="006010D1" w:rsidRDefault="006010D1" w:rsidP="00ED3D5C">
            <w:pPr>
              <w:rPr>
                <w:lang w:val="en-US" w:eastAsia="ko-KR"/>
              </w:rPr>
            </w:pPr>
          </w:p>
        </w:tc>
        <w:tc>
          <w:tcPr>
            <w:tcW w:w="1372" w:type="dxa"/>
          </w:tcPr>
          <w:p w14:paraId="4D4C71AE" w14:textId="77777777" w:rsidR="006010D1" w:rsidRDefault="006010D1" w:rsidP="00ED3D5C">
            <w:pPr>
              <w:tabs>
                <w:tab w:val="left" w:pos="551"/>
              </w:tabs>
              <w:rPr>
                <w:lang w:val="en-US" w:eastAsia="ko-KR"/>
              </w:rPr>
            </w:pPr>
          </w:p>
        </w:tc>
        <w:tc>
          <w:tcPr>
            <w:tcW w:w="6780" w:type="dxa"/>
          </w:tcPr>
          <w:p w14:paraId="08B1F568" w14:textId="77777777" w:rsidR="006010D1" w:rsidRDefault="006010D1" w:rsidP="00ED3D5C">
            <w:pPr>
              <w:rPr>
                <w:lang w:val="en-US" w:eastAsia="ko-KR"/>
              </w:rPr>
            </w:pP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TableGrid"/>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non-RedCap UEs, provided via SIB1, can be larger than max RedCap UE BW</w:t>
            </w:r>
            <w:r w:rsidR="00572A57">
              <w:rPr>
                <w:lang w:val="en-US" w:eastAsia="ko-KR"/>
              </w:rPr>
              <w:t xml:space="preserve">. If NOT configured with a separate initial DL BWP for RedCap, a RedCap UE </w:t>
            </w:r>
            <w:r w:rsidR="007F7300">
              <w:rPr>
                <w:lang w:val="en-US" w:eastAsia="ko-KR"/>
              </w:rPr>
              <w:t>ignores the “</w:t>
            </w:r>
            <w:proofErr w:type="spellStart"/>
            <w:r w:rsidR="007F7300" w:rsidRPr="00ED3B4E">
              <w:rPr>
                <w:i/>
                <w:iCs/>
                <w:lang w:val="en-US" w:eastAsia="ko-KR"/>
              </w:rPr>
              <w:t>locationAndBandwidth</w:t>
            </w:r>
            <w:proofErr w:type="spellEnd"/>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by CORESET #0. Note that rest of the configuration </w:t>
            </w:r>
            <w:r w:rsidR="00994096">
              <w:rPr>
                <w:lang w:val="en-US" w:eastAsia="ko-KR"/>
              </w:rPr>
              <w:t>for the initial DL BWP in SIB1 applies to RedCap UEs as when in Idle/Inactive modes.</w:t>
            </w:r>
          </w:p>
        </w:tc>
      </w:tr>
      <w:tr w:rsidR="00B777B3" w14:paraId="6E31FFD0" w14:textId="77777777" w:rsidTr="00BF5472">
        <w:tc>
          <w:tcPr>
            <w:tcW w:w="1479" w:type="dxa"/>
          </w:tcPr>
          <w:p w14:paraId="66F92A39" w14:textId="77777777" w:rsidR="00B777B3" w:rsidRDefault="00B777B3" w:rsidP="00BF5472">
            <w:pPr>
              <w:rPr>
                <w:lang w:val="en-US" w:eastAsia="ko-KR"/>
              </w:rPr>
            </w:pPr>
          </w:p>
        </w:tc>
        <w:tc>
          <w:tcPr>
            <w:tcW w:w="1372" w:type="dxa"/>
          </w:tcPr>
          <w:p w14:paraId="7FD5C633" w14:textId="77777777" w:rsidR="00B777B3" w:rsidRDefault="00B777B3" w:rsidP="00BF5472">
            <w:pPr>
              <w:tabs>
                <w:tab w:val="left" w:pos="551"/>
              </w:tabs>
              <w:rPr>
                <w:lang w:val="en-US" w:eastAsia="ko-KR"/>
              </w:rPr>
            </w:pPr>
          </w:p>
        </w:tc>
        <w:tc>
          <w:tcPr>
            <w:tcW w:w="6780" w:type="dxa"/>
          </w:tcPr>
          <w:p w14:paraId="472193DA" w14:textId="77777777" w:rsidR="00B777B3" w:rsidRDefault="00B777B3" w:rsidP="00BF5472">
            <w:pPr>
              <w:rPr>
                <w:lang w:val="en-US" w:eastAsia="ko-KR"/>
              </w:rPr>
            </w:pPr>
          </w:p>
        </w:tc>
      </w:tr>
      <w:tr w:rsidR="00B777B3" w14:paraId="3D188E3E" w14:textId="77777777" w:rsidTr="00BF5472">
        <w:tc>
          <w:tcPr>
            <w:tcW w:w="1479" w:type="dxa"/>
          </w:tcPr>
          <w:p w14:paraId="0F2FC4CD" w14:textId="77777777" w:rsidR="00B777B3" w:rsidRDefault="00B777B3" w:rsidP="00BF5472">
            <w:pPr>
              <w:rPr>
                <w:lang w:val="en-US" w:eastAsia="ko-KR"/>
              </w:rPr>
            </w:pPr>
          </w:p>
        </w:tc>
        <w:tc>
          <w:tcPr>
            <w:tcW w:w="1372" w:type="dxa"/>
          </w:tcPr>
          <w:p w14:paraId="369DB83A" w14:textId="77777777" w:rsidR="00B777B3" w:rsidRDefault="00B777B3" w:rsidP="00BF5472">
            <w:pPr>
              <w:tabs>
                <w:tab w:val="left" w:pos="551"/>
              </w:tabs>
              <w:rPr>
                <w:lang w:val="en-US" w:eastAsia="ko-KR"/>
              </w:rPr>
            </w:pPr>
          </w:p>
        </w:tc>
        <w:tc>
          <w:tcPr>
            <w:tcW w:w="6780" w:type="dxa"/>
          </w:tcPr>
          <w:p w14:paraId="5BB1550C" w14:textId="77777777" w:rsidR="00B777B3" w:rsidRDefault="00B777B3" w:rsidP="00BF5472">
            <w:pPr>
              <w:rPr>
                <w:lang w:val="en-US" w:eastAsia="ko-KR"/>
              </w:rPr>
            </w:pP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ListParagraph"/>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ListParagraph"/>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ListParagraph"/>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ListParagraph"/>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77777777" w:rsidR="00DA4DD6" w:rsidRDefault="00DA4DD6" w:rsidP="00ED3D5C">
            <w:pPr>
              <w:rPr>
                <w:lang w:val="en-US" w:eastAsia="ko-KR"/>
              </w:rPr>
            </w:pPr>
          </w:p>
        </w:tc>
        <w:tc>
          <w:tcPr>
            <w:tcW w:w="1372" w:type="dxa"/>
          </w:tcPr>
          <w:p w14:paraId="484A70B4" w14:textId="77777777" w:rsidR="00DA4DD6" w:rsidRDefault="00DA4DD6" w:rsidP="00ED3D5C">
            <w:pPr>
              <w:tabs>
                <w:tab w:val="left" w:pos="551"/>
              </w:tabs>
              <w:rPr>
                <w:lang w:val="en-US" w:eastAsia="ko-KR"/>
              </w:rPr>
            </w:pPr>
          </w:p>
        </w:tc>
        <w:tc>
          <w:tcPr>
            <w:tcW w:w="6780" w:type="dxa"/>
          </w:tcPr>
          <w:p w14:paraId="6AD28FE4" w14:textId="77777777" w:rsidR="00DA4DD6" w:rsidRDefault="00DA4DD6" w:rsidP="00ED3D5C">
            <w:pPr>
              <w:rPr>
                <w:lang w:val="en-US" w:eastAsia="ko-KR"/>
              </w:rPr>
            </w:pPr>
          </w:p>
        </w:tc>
      </w:tr>
      <w:tr w:rsidR="00DA4DD6" w14:paraId="568D01D5" w14:textId="77777777" w:rsidTr="00ED3D5C">
        <w:tc>
          <w:tcPr>
            <w:tcW w:w="1479" w:type="dxa"/>
          </w:tcPr>
          <w:p w14:paraId="7C810CCB" w14:textId="77777777" w:rsidR="00DA4DD6" w:rsidRDefault="00DA4DD6" w:rsidP="00ED3D5C">
            <w:pPr>
              <w:rPr>
                <w:lang w:val="en-US" w:eastAsia="ko-KR"/>
              </w:rPr>
            </w:pPr>
          </w:p>
        </w:tc>
        <w:tc>
          <w:tcPr>
            <w:tcW w:w="1372" w:type="dxa"/>
          </w:tcPr>
          <w:p w14:paraId="7DD4B5E3" w14:textId="77777777" w:rsidR="00DA4DD6" w:rsidRDefault="00DA4DD6" w:rsidP="00ED3D5C">
            <w:pPr>
              <w:tabs>
                <w:tab w:val="left" w:pos="551"/>
              </w:tabs>
              <w:rPr>
                <w:lang w:val="en-US" w:eastAsia="ko-KR"/>
              </w:rPr>
            </w:pPr>
          </w:p>
        </w:tc>
        <w:tc>
          <w:tcPr>
            <w:tcW w:w="6780" w:type="dxa"/>
          </w:tcPr>
          <w:p w14:paraId="6452C644" w14:textId="77777777" w:rsidR="00DA4DD6" w:rsidRDefault="00DA4DD6" w:rsidP="00ED3D5C">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ListParagraph"/>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ListParagraph"/>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ListParagraph"/>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Heading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lastRenderedPageBreak/>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RedCap: </w:t>
      </w:r>
    </w:p>
    <w:p w14:paraId="1D8A8546"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ListParagraph"/>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314265" w14:paraId="64937678" w14:textId="77777777" w:rsidTr="00F311ED">
        <w:tc>
          <w:tcPr>
            <w:tcW w:w="1479" w:type="dxa"/>
            <w:shd w:val="clear" w:color="auto" w:fill="D9D9D9" w:themeFill="background1" w:themeFillShade="D9"/>
          </w:tcPr>
          <w:p w14:paraId="1B7168B3" w14:textId="77777777" w:rsidR="00314265" w:rsidRDefault="00314265" w:rsidP="00F311ED">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F311ED">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F311ED">
            <w:pPr>
              <w:rPr>
                <w:b/>
                <w:bCs/>
                <w:lang w:val="en-US"/>
              </w:rPr>
            </w:pPr>
            <w:r>
              <w:rPr>
                <w:b/>
                <w:bCs/>
                <w:lang w:val="en-US"/>
              </w:rPr>
              <w:t>Comments</w:t>
            </w:r>
          </w:p>
        </w:tc>
      </w:tr>
      <w:tr w:rsidR="00314265" w14:paraId="17698124" w14:textId="77777777" w:rsidTr="00F311ED">
        <w:tc>
          <w:tcPr>
            <w:tcW w:w="1479" w:type="dxa"/>
          </w:tcPr>
          <w:p w14:paraId="0834C9B1" w14:textId="2B6ECE45" w:rsidR="00314265" w:rsidRDefault="00BD6101" w:rsidP="00F311ED">
            <w:pPr>
              <w:rPr>
                <w:lang w:val="en-US" w:eastAsia="ko-KR"/>
              </w:rPr>
            </w:pPr>
            <w:r>
              <w:rPr>
                <w:lang w:val="en-US" w:eastAsia="ko-KR"/>
              </w:rPr>
              <w:t>Intel</w:t>
            </w:r>
          </w:p>
        </w:tc>
        <w:tc>
          <w:tcPr>
            <w:tcW w:w="1372" w:type="dxa"/>
          </w:tcPr>
          <w:p w14:paraId="6C2A3495" w14:textId="454913F2" w:rsidR="00314265" w:rsidRDefault="00161275" w:rsidP="00F311ED">
            <w:pPr>
              <w:tabs>
                <w:tab w:val="left" w:pos="551"/>
              </w:tabs>
              <w:rPr>
                <w:lang w:val="en-US" w:eastAsia="ko-KR"/>
              </w:rPr>
            </w:pPr>
            <w:r>
              <w:rPr>
                <w:lang w:val="en-US" w:eastAsia="ko-KR"/>
              </w:rPr>
              <w:t>N</w:t>
            </w:r>
          </w:p>
        </w:tc>
        <w:tc>
          <w:tcPr>
            <w:tcW w:w="6780" w:type="dxa"/>
          </w:tcPr>
          <w:p w14:paraId="32D5EF84" w14:textId="6F3DD006" w:rsidR="00F67C5B" w:rsidRDefault="00F67C5B" w:rsidP="00F311ED">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ListParagraph"/>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ListParagraph"/>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MIB-configured CORESET #0 and initial UL BWP do not span a bandwidth larger than maximum RedCap UE BW</w:t>
            </w:r>
            <w:r w:rsidR="003E592F">
              <w:rPr>
                <w:b/>
                <w:bCs/>
                <w:color w:val="00B0F0"/>
                <w:sz w:val="20"/>
                <w:szCs w:val="22"/>
                <w:lang w:val="en-US"/>
              </w:rPr>
              <w:t>, or</w:t>
            </w:r>
          </w:p>
          <w:p w14:paraId="7D72E139" w14:textId="46F52275" w:rsidR="008F18B0" w:rsidRPr="003E592F" w:rsidRDefault="003E592F" w:rsidP="003E592F">
            <w:pPr>
              <w:pStyle w:val="ListParagraph"/>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F311ED">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RedCap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F311ED">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w:t>
            </w:r>
            <w:r w:rsidR="004A71CB">
              <w:rPr>
                <w:lang w:val="en-US" w:eastAsia="ko-KR"/>
              </w:rPr>
              <w:lastRenderedPageBreak/>
              <w:t xml:space="preserve">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F311ED">
        <w:tc>
          <w:tcPr>
            <w:tcW w:w="1479" w:type="dxa"/>
          </w:tcPr>
          <w:p w14:paraId="458C11A7" w14:textId="77777777" w:rsidR="00314265" w:rsidRDefault="00314265" w:rsidP="00F311ED">
            <w:pPr>
              <w:rPr>
                <w:lang w:val="en-US" w:eastAsia="ko-KR"/>
              </w:rPr>
            </w:pPr>
          </w:p>
        </w:tc>
        <w:tc>
          <w:tcPr>
            <w:tcW w:w="1372" w:type="dxa"/>
          </w:tcPr>
          <w:p w14:paraId="298E09C3" w14:textId="77777777" w:rsidR="00314265" w:rsidRDefault="00314265" w:rsidP="00F311ED">
            <w:pPr>
              <w:tabs>
                <w:tab w:val="left" w:pos="551"/>
              </w:tabs>
              <w:rPr>
                <w:lang w:val="en-US" w:eastAsia="ko-KR"/>
              </w:rPr>
            </w:pPr>
          </w:p>
        </w:tc>
        <w:tc>
          <w:tcPr>
            <w:tcW w:w="6780" w:type="dxa"/>
          </w:tcPr>
          <w:p w14:paraId="49194C5D" w14:textId="77777777" w:rsidR="00314265" w:rsidRDefault="00314265" w:rsidP="00F311ED">
            <w:pPr>
              <w:rPr>
                <w:lang w:val="en-US" w:eastAsia="ko-KR"/>
              </w:rPr>
            </w:pP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A19CB" w14:paraId="0709CB21" w14:textId="77777777" w:rsidTr="00F311ED">
        <w:tc>
          <w:tcPr>
            <w:tcW w:w="1479" w:type="dxa"/>
            <w:shd w:val="clear" w:color="auto" w:fill="D9D9D9" w:themeFill="background1" w:themeFillShade="D9"/>
          </w:tcPr>
          <w:p w14:paraId="074C968D" w14:textId="77777777" w:rsidR="005A19CB" w:rsidRDefault="005A19CB" w:rsidP="00F311ED">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F311ED">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F311ED">
            <w:pPr>
              <w:rPr>
                <w:b/>
                <w:bCs/>
                <w:lang w:val="en-US"/>
              </w:rPr>
            </w:pPr>
            <w:r>
              <w:rPr>
                <w:b/>
                <w:bCs/>
                <w:lang w:val="en-US"/>
              </w:rPr>
              <w:t>Comments</w:t>
            </w:r>
          </w:p>
        </w:tc>
      </w:tr>
      <w:tr w:rsidR="005A19CB" w14:paraId="0D6758DC" w14:textId="77777777" w:rsidTr="00F311ED">
        <w:tc>
          <w:tcPr>
            <w:tcW w:w="1479" w:type="dxa"/>
          </w:tcPr>
          <w:p w14:paraId="1DC25255" w14:textId="5508CB99" w:rsidR="005A19CB" w:rsidRDefault="00174AEF" w:rsidP="00F311ED">
            <w:pPr>
              <w:rPr>
                <w:lang w:val="en-US" w:eastAsia="ko-KR"/>
              </w:rPr>
            </w:pPr>
            <w:r>
              <w:rPr>
                <w:lang w:val="en-US" w:eastAsia="ko-KR"/>
              </w:rPr>
              <w:t>Intel</w:t>
            </w:r>
          </w:p>
        </w:tc>
        <w:tc>
          <w:tcPr>
            <w:tcW w:w="1372" w:type="dxa"/>
          </w:tcPr>
          <w:p w14:paraId="42DD5A33" w14:textId="4D779CD3" w:rsidR="005A19CB" w:rsidRDefault="00174AEF" w:rsidP="00F311ED">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F311ED">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563D149A" w14:textId="77777777" w:rsidR="00C30267" w:rsidRPr="00C30267" w:rsidRDefault="00C30267" w:rsidP="00C30267">
            <w:pPr>
              <w:pStyle w:val="ListParagraph"/>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9454F5D" w14:textId="77777777" w:rsidR="00C30267" w:rsidRDefault="00C30267" w:rsidP="00F311ED">
            <w:pPr>
              <w:rPr>
                <w:lang w:val="en-US" w:eastAsia="ko-KR"/>
              </w:rPr>
            </w:pPr>
          </w:p>
          <w:p w14:paraId="40DA2FC4" w14:textId="39108183" w:rsidR="00C30267" w:rsidRDefault="00C30267" w:rsidP="00F311ED">
            <w:pPr>
              <w:rPr>
                <w:lang w:val="en-US" w:eastAsia="ko-KR"/>
              </w:rPr>
            </w:pPr>
          </w:p>
        </w:tc>
      </w:tr>
      <w:tr w:rsidR="005A19CB" w14:paraId="1D91ACC7" w14:textId="77777777" w:rsidTr="00F311ED">
        <w:tc>
          <w:tcPr>
            <w:tcW w:w="1479" w:type="dxa"/>
          </w:tcPr>
          <w:p w14:paraId="50C89D8D" w14:textId="77777777" w:rsidR="005A19CB" w:rsidRDefault="005A19CB" w:rsidP="00F311ED">
            <w:pPr>
              <w:rPr>
                <w:lang w:val="en-US" w:eastAsia="ko-KR"/>
              </w:rPr>
            </w:pPr>
          </w:p>
        </w:tc>
        <w:tc>
          <w:tcPr>
            <w:tcW w:w="1372" w:type="dxa"/>
          </w:tcPr>
          <w:p w14:paraId="3B511BD1" w14:textId="77777777" w:rsidR="005A19CB" w:rsidRDefault="005A19CB" w:rsidP="00F311ED">
            <w:pPr>
              <w:tabs>
                <w:tab w:val="left" w:pos="551"/>
              </w:tabs>
              <w:rPr>
                <w:lang w:val="en-US" w:eastAsia="ko-KR"/>
              </w:rPr>
            </w:pPr>
          </w:p>
        </w:tc>
        <w:tc>
          <w:tcPr>
            <w:tcW w:w="6780" w:type="dxa"/>
          </w:tcPr>
          <w:p w14:paraId="31A4E27D" w14:textId="77777777" w:rsidR="005A19CB" w:rsidRDefault="005A19CB" w:rsidP="00F311ED">
            <w:pPr>
              <w:rPr>
                <w:lang w:val="en-US" w:eastAsia="ko-KR"/>
              </w:rPr>
            </w:pP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57BE0" w14:paraId="71A5B04C" w14:textId="77777777" w:rsidTr="00F311ED">
        <w:tc>
          <w:tcPr>
            <w:tcW w:w="1479" w:type="dxa"/>
            <w:shd w:val="clear" w:color="auto" w:fill="D9D9D9" w:themeFill="background1" w:themeFillShade="D9"/>
          </w:tcPr>
          <w:p w14:paraId="48BF7F05" w14:textId="77777777" w:rsidR="00557BE0" w:rsidRDefault="00557BE0" w:rsidP="00F311ED">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F311ED">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F311ED">
            <w:pPr>
              <w:rPr>
                <w:b/>
                <w:bCs/>
                <w:lang w:val="en-US"/>
              </w:rPr>
            </w:pPr>
            <w:r>
              <w:rPr>
                <w:b/>
                <w:bCs/>
                <w:lang w:val="en-US"/>
              </w:rPr>
              <w:t>Comments</w:t>
            </w:r>
          </w:p>
        </w:tc>
      </w:tr>
      <w:tr w:rsidR="00557BE0" w14:paraId="0A91470F" w14:textId="77777777" w:rsidTr="00F311ED">
        <w:tc>
          <w:tcPr>
            <w:tcW w:w="1479" w:type="dxa"/>
          </w:tcPr>
          <w:p w14:paraId="7C695588" w14:textId="38087894" w:rsidR="00557BE0" w:rsidRDefault="00547A38" w:rsidP="00F311ED">
            <w:pPr>
              <w:rPr>
                <w:lang w:val="en-US" w:eastAsia="ko-KR"/>
              </w:rPr>
            </w:pPr>
            <w:r>
              <w:rPr>
                <w:lang w:val="en-US" w:eastAsia="ko-KR"/>
              </w:rPr>
              <w:t>Intel</w:t>
            </w:r>
          </w:p>
        </w:tc>
        <w:tc>
          <w:tcPr>
            <w:tcW w:w="1372" w:type="dxa"/>
          </w:tcPr>
          <w:p w14:paraId="70034168" w14:textId="38068CB9" w:rsidR="00557BE0" w:rsidRDefault="00547A38" w:rsidP="00F311ED">
            <w:pPr>
              <w:tabs>
                <w:tab w:val="left" w:pos="551"/>
              </w:tabs>
              <w:rPr>
                <w:lang w:val="en-US" w:eastAsia="ko-KR"/>
              </w:rPr>
            </w:pPr>
            <w:r>
              <w:rPr>
                <w:lang w:val="en-US" w:eastAsia="ko-KR"/>
              </w:rPr>
              <w:t>N</w:t>
            </w:r>
          </w:p>
        </w:tc>
        <w:tc>
          <w:tcPr>
            <w:tcW w:w="6780" w:type="dxa"/>
          </w:tcPr>
          <w:p w14:paraId="7073419E" w14:textId="77777777" w:rsidR="003D7C06" w:rsidRDefault="003D7C06" w:rsidP="00F311ED">
            <w:pPr>
              <w:rPr>
                <w:lang w:val="en-US" w:eastAsia="ko-KR"/>
              </w:rPr>
            </w:pPr>
            <w:r>
              <w:rPr>
                <w:lang w:val="en-US" w:eastAsia="ko-KR"/>
              </w:rPr>
              <w:t xml:space="preserve">We agree with the same handling for FR1 and FR2. </w:t>
            </w:r>
          </w:p>
          <w:p w14:paraId="08EFD523" w14:textId="67847B1E" w:rsidR="003D7C06" w:rsidRDefault="003D7C06" w:rsidP="00F311ED">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4A5C509E" w14:textId="77777777" w:rsidR="002C4EF9" w:rsidRDefault="003D7C06" w:rsidP="00F311ED">
            <w:pPr>
              <w:rPr>
                <w:lang w:val="en-US" w:eastAsia="ko-KR"/>
              </w:rPr>
            </w:pPr>
            <w:r>
              <w:rPr>
                <w:lang w:val="en-US" w:eastAsia="ko-KR"/>
              </w:rPr>
              <w:lastRenderedPageBreak/>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w:t>
            </w:r>
            <w:r w:rsidR="00547A38">
              <w:rPr>
                <w:b/>
                <w:highlight w:val="yellow"/>
                <w:lang w:val="en-US"/>
              </w:rPr>
              <w:t>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ListParagraph"/>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41B6206B" w14:textId="77777777" w:rsidR="002C4EF9" w:rsidRPr="002C4EF9" w:rsidRDefault="002C4EF9" w:rsidP="002C4EF9">
            <w:pPr>
              <w:pStyle w:val="ListParagraph"/>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7F12E7D" w14:textId="030692D3" w:rsidR="00557BE0" w:rsidRDefault="00557BE0" w:rsidP="00F311ED">
            <w:pPr>
              <w:rPr>
                <w:lang w:val="en-US" w:eastAsia="ko-KR"/>
              </w:rPr>
            </w:pPr>
          </w:p>
        </w:tc>
      </w:tr>
      <w:tr w:rsidR="00557BE0" w14:paraId="4B0A7849" w14:textId="77777777" w:rsidTr="00F311ED">
        <w:tc>
          <w:tcPr>
            <w:tcW w:w="1479" w:type="dxa"/>
          </w:tcPr>
          <w:p w14:paraId="025FAF2B" w14:textId="77777777" w:rsidR="00557BE0" w:rsidRDefault="00557BE0" w:rsidP="00F311ED">
            <w:pPr>
              <w:rPr>
                <w:lang w:val="en-US" w:eastAsia="ko-KR"/>
              </w:rPr>
            </w:pPr>
          </w:p>
        </w:tc>
        <w:tc>
          <w:tcPr>
            <w:tcW w:w="1372" w:type="dxa"/>
          </w:tcPr>
          <w:p w14:paraId="2BCFB840" w14:textId="77777777" w:rsidR="00557BE0" w:rsidRDefault="00557BE0" w:rsidP="00F311ED">
            <w:pPr>
              <w:tabs>
                <w:tab w:val="left" w:pos="551"/>
              </w:tabs>
              <w:rPr>
                <w:lang w:val="en-US" w:eastAsia="ko-KR"/>
              </w:rPr>
            </w:pPr>
          </w:p>
        </w:tc>
        <w:tc>
          <w:tcPr>
            <w:tcW w:w="6780" w:type="dxa"/>
          </w:tcPr>
          <w:p w14:paraId="5ADC287F" w14:textId="77777777" w:rsidR="00557BE0" w:rsidRDefault="00557BE0" w:rsidP="00F311ED">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Heading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TableGrid"/>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ListParagraph"/>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ListParagraph"/>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1" w:history="1">
        <w:r w:rsidR="007829EE" w:rsidRPr="007829EE">
          <w:rPr>
            <w:rStyle w:val="Hyperlink"/>
          </w:rPr>
          <w:t>draft notes</w:t>
        </w:r>
      </w:hyperlink>
      <w:r w:rsidR="007829EE">
        <w:t>)</w:t>
      </w:r>
      <w:r w:rsidR="00F40AE1">
        <w:t>:</w:t>
      </w:r>
    </w:p>
    <w:tbl>
      <w:tblPr>
        <w:tblStyle w:val="TableGrid"/>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sidRPr="00502AD2">
              <w:rPr>
                <w:rFonts w:ascii="Arial" w:hAnsi="Arial" w:cs="Arial"/>
                <w:i/>
                <w:iCs/>
              </w:rPr>
              <w:t>FreqDLInfo</w:t>
            </w:r>
            <w:proofErr w:type="spellEnd"/>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 xml:space="preserve">It would be feasible to inform IDLE, INACTIVE and CONNECTED UEs about </w:t>
            </w:r>
            <w:proofErr w:type="gramStart"/>
            <w:r w:rsidRPr="00804AAF">
              <w:rPr>
                <w:rFonts w:ascii="Arial" w:hAnsi="Arial" w:cs="Arial"/>
              </w:rPr>
              <w:t>a</w:t>
            </w:r>
            <w:proofErr w:type="gramEnd"/>
            <w:r w:rsidRPr="00804AAF">
              <w:rPr>
                <w:rFonts w:ascii="Arial" w:hAnsi="Arial" w:cs="Arial"/>
              </w:rPr>
              <w:t xml:space="preserve">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proofErr w:type="spellStart"/>
            <w:r w:rsidRPr="00502AD2">
              <w:rPr>
                <w:rFonts w:ascii="Arial" w:hAnsi="Arial" w:cs="Arial"/>
                <w:i/>
                <w:iCs/>
              </w:rPr>
              <w:t>ssb-PositionsInBurst</w:t>
            </w:r>
            <w:proofErr w:type="spellEnd"/>
            <w:r w:rsidRPr="00804AAF">
              <w:rPr>
                <w:rFonts w:ascii="Arial" w:hAnsi="Arial" w:cs="Arial"/>
              </w:rPr>
              <w:t xml:space="preserve"> in SIB1 or in </w:t>
            </w:r>
            <w:proofErr w:type="spellStart"/>
            <w:r w:rsidRPr="00502AD2">
              <w:rPr>
                <w:rFonts w:ascii="Arial" w:hAnsi="Arial" w:cs="Arial"/>
                <w:i/>
                <w:iCs/>
              </w:rPr>
              <w:t>ServingCellConfigCommon</w:t>
            </w:r>
            <w:proofErr w:type="spellEnd"/>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2" w:history="1">
        <w:r w:rsidR="00EA7EA0" w:rsidRPr="00EA7EA0">
          <w:rPr>
            <w:rStyle w:val="Hyperlink"/>
          </w:rPr>
          <w:t>draft notes</w:t>
        </w:r>
      </w:hyperlink>
      <w:r w:rsidR="00EA7EA0">
        <w:t>)</w:t>
      </w:r>
      <w:r>
        <w:t>:</w:t>
      </w:r>
    </w:p>
    <w:tbl>
      <w:tblPr>
        <w:tblStyle w:val="TableGrid"/>
        <w:tblW w:w="0" w:type="auto"/>
        <w:tblLook w:val="04A0" w:firstRow="1" w:lastRow="0" w:firstColumn="1" w:lastColumn="0" w:noHBand="0" w:noVBand="1"/>
      </w:tblPr>
      <w:tblGrid>
        <w:gridCol w:w="9630"/>
      </w:tblGrid>
      <w:tr w:rsidR="00F84713" w14:paraId="17C865C2" w14:textId="77777777" w:rsidTr="00F311ED">
        <w:tc>
          <w:tcPr>
            <w:tcW w:w="9630" w:type="dxa"/>
          </w:tcPr>
          <w:p w14:paraId="0C940DFC" w14:textId="58E1428C" w:rsidR="00FE4219" w:rsidRPr="00FE4219" w:rsidRDefault="00FE4219" w:rsidP="00FE4219">
            <w:pPr>
              <w:pStyle w:val="ListParagraph"/>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ListParagraph"/>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ListParagraph"/>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ListParagraph"/>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lastRenderedPageBreak/>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F311ED">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F311ED">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F311ED">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F311ED">
            <w:pPr>
              <w:rPr>
                <w:lang w:val="en-US" w:eastAsia="ko-KR"/>
              </w:rPr>
            </w:pPr>
            <w:r>
              <w:rPr>
                <w:lang w:val="en-US" w:eastAsia="ko-KR"/>
              </w:rPr>
              <w:t>Same reasons as for FR1.</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TableGrid"/>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ListParagraph"/>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ListParagraph"/>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ListParagraph"/>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ListParagraph"/>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ListParagraph"/>
        <w:numPr>
          <w:ilvl w:val="2"/>
          <w:numId w:val="35"/>
        </w:numPr>
        <w:rPr>
          <w:b/>
          <w:color w:val="FF0000"/>
          <w:sz w:val="20"/>
          <w:szCs w:val="22"/>
          <w:lang w:eastAsia="en-GB"/>
        </w:rPr>
      </w:pPr>
      <w:r w:rsidRPr="00010050">
        <w:rPr>
          <w:b/>
          <w:color w:val="FF0000"/>
          <w:sz w:val="20"/>
          <w:szCs w:val="22"/>
          <w:lang w:eastAsia="en-GB"/>
        </w:rPr>
        <w:lastRenderedPageBreak/>
        <w:t>FFS: For BWP#0 configuration option 1, whether the UE can expect SSB transmission in the separate initial DL BWP when it is used in connected mode.</w:t>
      </w:r>
    </w:p>
    <w:tbl>
      <w:tblPr>
        <w:tblStyle w:val="TableGrid"/>
        <w:tblW w:w="9631" w:type="dxa"/>
        <w:tblLook w:val="04A0" w:firstRow="1" w:lastRow="0" w:firstColumn="1" w:lastColumn="0" w:noHBand="0" w:noVBand="1"/>
      </w:tblPr>
      <w:tblGrid>
        <w:gridCol w:w="1479"/>
        <w:gridCol w:w="1372"/>
        <w:gridCol w:w="6780"/>
      </w:tblGrid>
      <w:tr w:rsidR="009E7B18" w14:paraId="05F0D150" w14:textId="77777777" w:rsidTr="003E2F31">
        <w:tc>
          <w:tcPr>
            <w:tcW w:w="1479"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3E2F31">
        <w:tc>
          <w:tcPr>
            <w:tcW w:w="1479" w:type="dxa"/>
          </w:tcPr>
          <w:p w14:paraId="029AA0B0" w14:textId="5A43FFE9" w:rsidR="009E7B18" w:rsidRDefault="009D7E01" w:rsidP="003E2F31">
            <w:pPr>
              <w:rPr>
                <w:lang w:val="en-US" w:eastAsia="ko-KR"/>
              </w:rPr>
            </w:pPr>
            <w:r>
              <w:rPr>
                <w:lang w:val="en-US" w:eastAsia="ko-KR"/>
              </w:rPr>
              <w:t>Intel</w:t>
            </w:r>
          </w:p>
        </w:tc>
        <w:tc>
          <w:tcPr>
            <w:tcW w:w="1372" w:type="dxa"/>
          </w:tcPr>
          <w:p w14:paraId="01134361" w14:textId="77777777" w:rsidR="009E7B18" w:rsidRDefault="009E7B18" w:rsidP="003E2F31">
            <w:pPr>
              <w:tabs>
                <w:tab w:val="left" w:pos="551"/>
              </w:tabs>
              <w:rPr>
                <w:lang w:val="en-US" w:eastAsia="ko-KR"/>
              </w:rPr>
            </w:pPr>
          </w:p>
        </w:tc>
        <w:tc>
          <w:tcPr>
            <w:tcW w:w="6780"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RedCap</w:t>
            </w:r>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BWP #0 configuration option 1 is NOT supported for RedCap.</w:t>
            </w:r>
            <w:r w:rsidR="00AF33DB">
              <w:rPr>
                <w:bCs/>
                <w:lang w:val="en-US"/>
              </w:rPr>
              <w:t xml:space="preserve"> </w:t>
            </w:r>
          </w:p>
        </w:tc>
      </w:tr>
      <w:tr w:rsidR="009E7B18" w14:paraId="080D0943" w14:textId="77777777" w:rsidTr="003E2F31">
        <w:tc>
          <w:tcPr>
            <w:tcW w:w="1479" w:type="dxa"/>
          </w:tcPr>
          <w:p w14:paraId="760706AF" w14:textId="77777777" w:rsidR="009E7B18" w:rsidRDefault="009E7B18" w:rsidP="003E2F31">
            <w:pPr>
              <w:rPr>
                <w:lang w:val="en-US" w:eastAsia="ko-KR"/>
              </w:rPr>
            </w:pPr>
          </w:p>
        </w:tc>
        <w:tc>
          <w:tcPr>
            <w:tcW w:w="1372" w:type="dxa"/>
          </w:tcPr>
          <w:p w14:paraId="06985F77" w14:textId="77777777" w:rsidR="009E7B18" w:rsidRDefault="009E7B18" w:rsidP="003E2F31">
            <w:pPr>
              <w:tabs>
                <w:tab w:val="left" w:pos="551"/>
              </w:tabs>
              <w:rPr>
                <w:lang w:val="en-US" w:eastAsia="ko-KR"/>
              </w:rPr>
            </w:pPr>
          </w:p>
        </w:tc>
        <w:tc>
          <w:tcPr>
            <w:tcW w:w="6780" w:type="dxa"/>
          </w:tcPr>
          <w:p w14:paraId="1E92FD53" w14:textId="77777777" w:rsidR="009E7B18" w:rsidRDefault="009E7B18" w:rsidP="003E2F31">
            <w:pPr>
              <w:rPr>
                <w:lang w:val="en-US" w:eastAsia="ko-KR"/>
              </w:rPr>
            </w:pP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Heading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RRC connected state when the RedCap DL BWP does not contain the entire CORESET#0, RedCap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in order to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77131396" w14:textId="77777777" w:rsidTr="00F311ED">
        <w:tc>
          <w:tcPr>
            <w:tcW w:w="1479" w:type="dxa"/>
            <w:shd w:val="clear" w:color="auto" w:fill="D9D9D9" w:themeFill="background1" w:themeFillShade="D9"/>
          </w:tcPr>
          <w:p w14:paraId="1E1C11F9" w14:textId="77777777" w:rsidR="007E5C4A" w:rsidRDefault="007E5C4A" w:rsidP="00F311ED">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F311ED">
            <w:pPr>
              <w:rPr>
                <w:b/>
                <w:bCs/>
                <w:lang w:val="en-US"/>
              </w:rPr>
            </w:pPr>
            <w:r>
              <w:rPr>
                <w:b/>
                <w:bCs/>
                <w:lang w:val="en-US"/>
              </w:rPr>
              <w:t>Comments</w:t>
            </w:r>
          </w:p>
        </w:tc>
      </w:tr>
      <w:tr w:rsidR="007E5C4A" w14:paraId="0BBF7C03" w14:textId="77777777" w:rsidTr="00F311ED">
        <w:tc>
          <w:tcPr>
            <w:tcW w:w="1479" w:type="dxa"/>
          </w:tcPr>
          <w:p w14:paraId="31E34765" w14:textId="77777777" w:rsidR="007E5C4A" w:rsidRDefault="007E5C4A" w:rsidP="00F311ED">
            <w:pPr>
              <w:rPr>
                <w:lang w:val="en-US" w:eastAsia="ko-KR"/>
              </w:rPr>
            </w:pPr>
          </w:p>
        </w:tc>
        <w:tc>
          <w:tcPr>
            <w:tcW w:w="8155" w:type="dxa"/>
          </w:tcPr>
          <w:p w14:paraId="7736C8BA" w14:textId="77777777" w:rsidR="007E5C4A" w:rsidRDefault="007E5C4A" w:rsidP="00F311ED">
            <w:pPr>
              <w:rPr>
                <w:lang w:val="en-US" w:eastAsia="ko-KR"/>
              </w:rPr>
            </w:pPr>
          </w:p>
        </w:tc>
      </w:tr>
      <w:tr w:rsidR="007E5C4A" w14:paraId="39EF366A" w14:textId="77777777" w:rsidTr="00F311ED">
        <w:tc>
          <w:tcPr>
            <w:tcW w:w="1479" w:type="dxa"/>
          </w:tcPr>
          <w:p w14:paraId="4C053D0E" w14:textId="77777777" w:rsidR="007E5C4A" w:rsidRDefault="007E5C4A" w:rsidP="00F311ED">
            <w:pPr>
              <w:rPr>
                <w:lang w:val="en-US" w:eastAsia="ko-KR"/>
              </w:rPr>
            </w:pPr>
          </w:p>
        </w:tc>
        <w:tc>
          <w:tcPr>
            <w:tcW w:w="8155" w:type="dxa"/>
          </w:tcPr>
          <w:p w14:paraId="0004243F" w14:textId="77777777" w:rsidR="007E5C4A" w:rsidRDefault="007E5C4A" w:rsidP="00F311ED">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in order to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77777777" w:rsidR="007E5C4A" w:rsidRDefault="007E5C4A" w:rsidP="00BF5472">
            <w:pPr>
              <w:rPr>
                <w:lang w:val="en-US" w:eastAsia="ko-KR"/>
              </w:rPr>
            </w:pPr>
          </w:p>
        </w:tc>
        <w:tc>
          <w:tcPr>
            <w:tcW w:w="8155" w:type="dxa"/>
          </w:tcPr>
          <w:p w14:paraId="45DE2FE1" w14:textId="77777777" w:rsidR="007E5C4A" w:rsidRDefault="007E5C4A" w:rsidP="00BF5472">
            <w:pPr>
              <w:rPr>
                <w:lang w:val="en-US" w:eastAsia="ko-KR"/>
              </w:rPr>
            </w:pP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Heading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lastRenderedPageBreak/>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ListParagraph"/>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ListParagraph"/>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Heading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TableGrid"/>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 xml:space="preserve">With dynamic PRI and slot offset/starting symbol indications, the </w:t>
            </w:r>
            <w:proofErr w:type="spellStart"/>
            <w:r w:rsidR="009A0040">
              <w:rPr>
                <w:lang w:val="en-US" w:eastAsia="ko-KR"/>
              </w:rPr>
              <w:t>gNB</w:t>
            </w:r>
            <w:proofErr w:type="spellEnd"/>
            <w:r w:rsidR="009A0040">
              <w:rPr>
                <w:lang w:val="en-US" w:eastAsia="ko-KR"/>
              </w:rPr>
              <w:t xml:space="preserve"> would have sufficient degrees of freedom to indicate PUCCH resources for HARQ-Ack feedback from RedCap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77777777" w:rsidR="001E4F39" w:rsidRDefault="001E4F39" w:rsidP="000F779B">
            <w:pPr>
              <w:rPr>
                <w:lang w:val="en-US" w:eastAsia="ko-KR"/>
              </w:rPr>
            </w:pPr>
          </w:p>
        </w:tc>
        <w:tc>
          <w:tcPr>
            <w:tcW w:w="7955" w:type="dxa"/>
          </w:tcPr>
          <w:p w14:paraId="59A90F07" w14:textId="77777777" w:rsidR="001E4F39" w:rsidRDefault="001E4F39" w:rsidP="000F779B">
            <w:pPr>
              <w:rPr>
                <w:lang w:val="en-US" w:eastAsia="ko-KR"/>
              </w:rPr>
            </w:pPr>
          </w:p>
        </w:tc>
      </w:tr>
      <w:tr w:rsidR="001E4F39" w14:paraId="1A2A9F91" w14:textId="77777777" w:rsidTr="000F779B">
        <w:trPr>
          <w:trHeight w:val="400"/>
        </w:trPr>
        <w:tc>
          <w:tcPr>
            <w:tcW w:w="1735" w:type="dxa"/>
          </w:tcPr>
          <w:p w14:paraId="65809D41" w14:textId="77777777" w:rsidR="001E4F39" w:rsidRDefault="001E4F39" w:rsidP="000F779B">
            <w:pPr>
              <w:rPr>
                <w:lang w:val="en-US" w:eastAsia="ko-KR"/>
              </w:rPr>
            </w:pPr>
          </w:p>
        </w:tc>
        <w:tc>
          <w:tcPr>
            <w:tcW w:w="7955" w:type="dxa"/>
          </w:tcPr>
          <w:p w14:paraId="121DBEBA" w14:textId="77777777" w:rsidR="001E4F39" w:rsidRDefault="001E4F39" w:rsidP="000F779B">
            <w:pPr>
              <w:rPr>
                <w:lang w:val="en-US" w:eastAsia="ko-KR"/>
              </w:rPr>
            </w:pPr>
          </w:p>
        </w:tc>
      </w:tr>
    </w:tbl>
    <w:p w14:paraId="703847C7" w14:textId="77777777" w:rsidR="001E4F39" w:rsidRDefault="001E4F39" w:rsidP="001E4F39">
      <w:pPr>
        <w:jc w:val="both"/>
      </w:pPr>
    </w:p>
    <w:p w14:paraId="3A268FC9" w14:textId="77777777" w:rsidR="001E4F39" w:rsidRDefault="001E4F39" w:rsidP="001E4F39">
      <w:pPr>
        <w:jc w:val="both"/>
      </w:pPr>
      <w:r w:rsidRPr="0075218D">
        <w:rPr>
          <w:b/>
          <w:bCs/>
          <w:u w:val="single"/>
        </w:rPr>
        <w:lastRenderedPageBreak/>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need for any enhancements or specification changes in order to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in order to support multiplexing of non-FH and FH PUCCH transmissions in PUCCH resources?</w:t>
      </w:r>
      <w:r w:rsidR="00F642DC">
        <w:rPr>
          <w:b/>
          <w:lang w:val="en-US"/>
        </w:rPr>
        <w:t xml:space="preserve">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1E4F39" w14:paraId="3ACC2AA6" w14:textId="77777777" w:rsidTr="000F779B">
        <w:tc>
          <w:tcPr>
            <w:tcW w:w="1479" w:type="dxa"/>
          </w:tcPr>
          <w:p w14:paraId="05425BA3" w14:textId="77777777" w:rsidR="001E4F39" w:rsidRDefault="001E4F39" w:rsidP="000F779B">
            <w:pPr>
              <w:rPr>
                <w:lang w:val="en-US" w:eastAsia="ko-KR"/>
              </w:rPr>
            </w:pPr>
          </w:p>
        </w:tc>
        <w:tc>
          <w:tcPr>
            <w:tcW w:w="1372" w:type="dxa"/>
          </w:tcPr>
          <w:p w14:paraId="5DC23A1B" w14:textId="77777777" w:rsidR="001E4F39" w:rsidRDefault="001E4F39" w:rsidP="000F779B">
            <w:pPr>
              <w:tabs>
                <w:tab w:val="left" w:pos="551"/>
              </w:tabs>
              <w:rPr>
                <w:lang w:val="en-US" w:eastAsia="ko-KR"/>
              </w:rPr>
            </w:pPr>
          </w:p>
        </w:tc>
        <w:tc>
          <w:tcPr>
            <w:tcW w:w="6780" w:type="dxa"/>
          </w:tcPr>
          <w:p w14:paraId="7F3BF8FE" w14:textId="77777777" w:rsidR="001E4F39" w:rsidRDefault="001E4F39" w:rsidP="000F779B">
            <w:pPr>
              <w:rPr>
                <w:lang w:val="en-US" w:eastAsia="ko-KR"/>
              </w:rPr>
            </w:pP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Heading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TableGrid"/>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7777777" w:rsidR="00EF014A" w:rsidRDefault="00EF014A" w:rsidP="003E2F31">
            <w:pPr>
              <w:rPr>
                <w:lang w:val="en-US" w:eastAsia="ko-KR"/>
              </w:rPr>
            </w:pPr>
          </w:p>
        </w:tc>
        <w:tc>
          <w:tcPr>
            <w:tcW w:w="8155" w:type="dxa"/>
          </w:tcPr>
          <w:p w14:paraId="77E6C82A" w14:textId="77777777" w:rsidR="00EF014A" w:rsidRDefault="00EF014A" w:rsidP="003E2F31">
            <w:pPr>
              <w:rPr>
                <w:lang w:val="en-US" w:eastAsia="ko-KR"/>
              </w:rPr>
            </w:pP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ED3B4E" w:rsidP="00466525">
            <w:pPr>
              <w:rPr>
                <w:color w:val="0000FF"/>
                <w:u w:val="single"/>
                <w:lang w:val="en-US"/>
              </w:rPr>
            </w:pPr>
            <w:hyperlink r:id="rId13"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ED3B4E" w:rsidP="00466525">
            <w:pPr>
              <w:rPr>
                <w:color w:val="0000FF"/>
                <w:u w:val="single"/>
                <w:lang w:val="en-US"/>
              </w:rPr>
            </w:pPr>
            <w:hyperlink r:id="rId14" w:history="1">
              <w:r w:rsidR="00341606">
                <w:rPr>
                  <w:rStyle w:val="Hyperlink"/>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ED3B4E" w:rsidP="00FE5225">
            <w:hyperlink r:id="rId15" w:history="1">
              <w:r w:rsidR="00E75AA9">
                <w:rPr>
                  <w:rStyle w:val="Hyperlink"/>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ED3B4E" w:rsidP="0010513A">
            <w:pPr>
              <w:rPr>
                <w:color w:val="0000FF"/>
                <w:u w:val="single"/>
                <w:lang w:val="en-US"/>
              </w:rPr>
            </w:pPr>
            <w:hyperlink r:id="rId16" w:history="1">
              <w:r w:rsidR="0010513A" w:rsidRPr="0010513A">
                <w:rPr>
                  <w:rStyle w:val="Hyperlink"/>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ED3B4E" w:rsidP="0010513A">
            <w:pPr>
              <w:rPr>
                <w:color w:val="0000FF"/>
                <w:u w:val="single"/>
                <w:lang w:val="en-US"/>
              </w:rPr>
            </w:pPr>
            <w:hyperlink r:id="rId17" w:history="1">
              <w:r w:rsidR="0010513A" w:rsidRPr="0010513A">
                <w:rPr>
                  <w:rStyle w:val="Hyperlink"/>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ED3B4E" w:rsidP="0010513A">
            <w:pPr>
              <w:rPr>
                <w:color w:val="0000FF"/>
                <w:u w:val="single"/>
                <w:lang w:val="en-US"/>
              </w:rPr>
            </w:pPr>
            <w:hyperlink r:id="rId18" w:history="1">
              <w:r w:rsidR="0010513A" w:rsidRPr="0010513A">
                <w:rPr>
                  <w:rStyle w:val="Hyperlink"/>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ED3B4E" w:rsidP="0010513A">
            <w:pPr>
              <w:rPr>
                <w:color w:val="0000FF"/>
                <w:u w:val="single"/>
                <w:lang w:val="en-US"/>
              </w:rPr>
            </w:pPr>
            <w:hyperlink r:id="rId19" w:history="1">
              <w:r w:rsidR="0010513A" w:rsidRPr="0010513A">
                <w:rPr>
                  <w:rStyle w:val="Hyperlink"/>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ED3B4E" w:rsidP="0010513A">
            <w:pPr>
              <w:rPr>
                <w:color w:val="0000FF"/>
                <w:u w:val="single"/>
                <w:lang w:val="en-US"/>
              </w:rPr>
            </w:pPr>
            <w:hyperlink r:id="rId20" w:history="1">
              <w:r w:rsidR="0010513A" w:rsidRPr="0010513A">
                <w:rPr>
                  <w:rStyle w:val="Hyperlink"/>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lastRenderedPageBreak/>
              <w:t>[9]</w:t>
            </w:r>
          </w:p>
        </w:tc>
        <w:tc>
          <w:tcPr>
            <w:tcW w:w="1456" w:type="dxa"/>
            <w:tcMar>
              <w:top w:w="0" w:type="dxa"/>
              <w:left w:w="70" w:type="dxa"/>
              <w:bottom w:w="0" w:type="dxa"/>
              <w:right w:w="70" w:type="dxa"/>
            </w:tcMar>
          </w:tcPr>
          <w:p w14:paraId="30D7D98C" w14:textId="09AD4485" w:rsidR="0010513A" w:rsidRPr="0010513A" w:rsidRDefault="00ED3B4E" w:rsidP="0010513A">
            <w:pPr>
              <w:rPr>
                <w:color w:val="0000FF"/>
                <w:u w:val="single"/>
                <w:lang w:val="en-US"/>
              </w:rPr>
            </w:pPr>
            <w:hyperlink r:id="rId21" w:history="1">
              <w:r w:rsidR="0010513A" w:rsidRPr="0010513A">
                <w:rPr>
                  <w:rStyle w:val="Hyperlink"/>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ED3B4E" w:rsidP="0010513A">
            <w:pPr>
              <w:rPr>
                <w:color w:val="0000FF"/>
                <w:u w:val="single"/>
                <w:lang w:val="en-US"/>
              </w:rPr>
            </w:pPr>
            <w:hyperlink r:id="rId22" w:history="1">
              <w:r w:rsidR="0010513A" w:rsidRPr="0010513A">
                <w:rPr>
                  <w:rStyle w:val="Hyperlink"/>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ED3B4E" w:rsidP="0010513A">
            <w:pPr>
              <w:rPr>
                <w:color w:val="0000FF"/>
                <w:u w:val="single"/>
                <w:lang w:val="en-US"/>
              </w:rPr>
            </w:pPr>
            <w:hyperlink r:id="rId23" w:history="1">
              <w:r w:rsidR="0010513A" w:rsidRPr="0010513A">
                <w:rPr>
                  <w:rStyle w:val="Hyperlink"/>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ED3B4E" w:rsidP="0010513A">
            <w:pPr>
              <w:rPr>
                <w:color w:val="0000FF"/>
                <w:u w:val="single"/>
                <w:lang w:val="en-US"/>
              </w:rPr>
            </w:pPr>
            <w:hyperlink r:id="rId24" w:history="1">
              <w:r w:rsidR="0010513A" w:rsidRPr="0010513A">
                <w:rPr>
                  <w:rStyle w:val="Hyperlink"/>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ED3B4E" w:rsidP="0010513A">
            <w:pPr>
              <w:rPr>
                <w:color w:val="0000FF"/>
                <w:u w:val="single"/>
                <w:lang w:val="en-US"/>
              </w:rPr>
            </w:pPr>
            <w:hyperlink r:id="rId25" w:history="1">
              <w:r w:rsidR="0010513A" w:rsidRPr="0010513A">
                <w:rPr>
                  <w:rStyle w:val="Hyperlink"/>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ED3B4E" w:rsidP="0010513A">
            <w:pPr>
              <w:rPr>
                <w:lang w:val="en-US"/>
              </w:rPr>
            </w:pPr>
            <w:hyperlink r:id="rId26" w:history="1">
              <w:r w:rsidR="0010513A" w:rsidRPr="0010513A">
                <w:rPr>
                  <w:rStyle w:val="Hyperlink"/>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ED3B4E" w:rsidP="0010513A">
            <w:pPr>
              <w:rPr>
                <w:color w:val="0000FF"/>
                <w:u w:val="single"/>
                <w:lang w:val="en-US"/>
              </w:rPr>
            </w:pPr>
            <w:hyperlink r:id="rId27" w:history="1">
              <w:r w:rsidR="0010513A" w:rsidRPr="0010513A">
                <w:rPr>
                  <w:rStyle w:val="Hyperlink"/>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ED3B4E" w:rsidP="0010513A">
            <w:pPr>
              <w:rPr>
                <w:color w:val="0000FF"/>
                <w:u w:val="single"/>
                <w:lang w:val="en-US"/>
              </w:rPr>
            </w:pPr>
            <w:hyperlink r:id="rId28" w:history="1">
              <w:r w:rsidR="0010513A" w:rsidRPr="0010513A">
                <w:rPr>
                  <w:rStyle w:val="Hyperlink"/>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ED3B4E" w:rsidP="0010513A">
            <w:pPr>
              <w:rPr>
                <w:color w:val="0000FF"/>
                <w:u w:val="single"/>
                <w:lang w:val="en-US"/>
              </w:rPr>
            </w:pPr>
            <w:hyperlink r:id="rId29" w:history="1">
              <w:r w:rsidR="0010513A" w:rsidRPr="0010513A">
                <w:rPr>
                  <w:rStyle w:val="Hyperlink"/>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ED3B4E" w:rsidP="0010513A">
            <w:pPr>
              <w:rPr>
                <w:color w:val="0000FF"/>
                <w:u w:val="single"/>
                <w:lang w:val="en-US"/>
              </w:rPr>
            </w:pPr>
            <w:hyperlink r:id="rId30" w:history="1">
              <w:r w:rsidR="0010513A" w:rsidRPr="0010513A">
                <w:rPr>
                  <w:rStyle w:val="Hyperlink"/>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ED3B4E" w:rsidP="0010513A">
            <w:pPr>
              <w:rPr>
                <w:color w:val="0000FF"/>
                <w:u w:val="single"/>
                <w:lang w:val="en-US"/>
              </w:rPr>
            </w:pPr>
            <w:hyperlink r:id="rId31" w:history="1">
              <w:r w:rsidR="0010513A" w:rsidRPr="0010513A">
                <w:rPr>
                  <w:rStyle w:val="Hyperlink"/>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ED3B4E" w:rsidP="0010513A">
            <w:pPr>
              <w:rPr>
                <w:color w:val="0000FF"/>
                <w:u w:val="single"/>
                <w:lang w:val="en-US"/>
              </w:rPr>
            </w:pPr>
            <w:hyperlink r:id="rId32" w:history="1">
              <w:r w:rsidR="0010513A" w:rsidRPr="0010513A">
                <w:rPr>
                  <w:rStyle w:val="Hyperlink"/>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ED3B4E" w:rsidP="0010513A">
            <w:pPr>
              <w:rPr>
                <w:color w:val="0000FF"/>
                <w:u w:val="single"/>
                <w:lang w:val="en-US"/>
              </w:rPr>
            </w:pPr>
            <w:hyperlink r:id="rId33" w:history="1">
              <w:r w:rsidR="0010513A" w:rsidRPr="0010513A">
                <w:rPr>
                  <w:rStyle w:val="Hyperlink"/>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ED3B4E" w:rsidP="0010513A">
            <w:pPr>
              <w:rPr>
                <w:color w:val="0000FF"/>
                <w:u w:val="single"/>
                <w:lang w:val="en-US"/>
              </w:rPr>
            </w:pPr>
            <w:hyperlink r:id="rId34" w:history="1">
              <w:r w:rsidR="0010513A" w:rsidRPr="0010513A">
                <w:rPr>
                  <w:rStyle w:val="Hyperlink"/>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ED3B4E" w:rsidP="0010513A">
            <w:pPr>
              <w:rPr>
                <w:color w:val="0000FF"/>
                <w:u w:val="single"/>
                <w:lang w:val="en-US"/>
              </w:rPr>
            </w:pPr>
            <w:hyperlink r:id="rId35" w:history="1">
              <w:r w:rsidR="0010513A" w:rsidRPr="0010513A">
                <w:rPr>
                  <w:rStyle w:val="Hyperlink"/>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ED3B4E" w:rsidP="0010513A">
            <w:pPr>
              <w:rPr>
                <w:color w:val="0000FF"/>
                <w:u w:val="single"/>
                <w:lang w:val="en-US"/>
              </w:rPr>
            </w:pPr>
            <w:hyperlink r:id="rId36" w:history="1">
              <w:r w:rsidR="0010513A" w:rsidRPr="0010513A">
                <w:rPr>
                  <w:rStyle w:val="Hyperlink"/>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ED3B4E" w:rsidP="0010513A">
            <w:pPr>
              <w:rPr>
                <w:color w:val="0000FF"/>
                <w:u w:val="single"/>
                <w:lang w:val="en-US"/>
              </w:rPr>
            </w:pPr>
            <w:hyperlink r:id="rId37" w:history="1">
              <w:r w:rsidR="0010513A" w:rsidRPr="0010513A">
                <w:rPr>
                  <w:rStyle w:val="Hyperlink"/>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ED3B4E" w:rsidP="0010513A">
            <w:pPr>
              <w:rPr>
                <w:color w:val="0000FF"/>
                <w:u w:val="single"/>
                <w:lang w:val="en-US"/>
              </w:rPr>
            </w:pPr>
            <w:hyperlink r:id="rId38" w:history="1">
              <w:r w:rsidR="0010513A" w:rsidRPr="0010513A">
                <w:rPr>
                  <w:rStyle w:val="Hyperlink"/>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ED3B4E" w:rsidP="0010513A">
            <w:pPr>
              <w:rPr>
                <w:color w:val="0000FF"/>
                <w:u w:val="single"/>
                <w:lang w:val="en-US"/>
              </w:rPr>
            </w:pPr>
            <w:hyperlink r:id="rId39" w:history="1">
              <w:r w:rsidR="0010513A" w:rsidRPr="0010513A">
                <w:rPr>
                  <w:rStyle w:val="Hyperlink"/>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ED3B4E" w:rsidP="0010513A">
            <w:pPr>
              <w:rPr>
                <w:color w:val="0000FF"/>
                <w:u w:val="single"/>
                <w:lang w:val="en-US"/>
              </w:rPr>
            </w:pPr>
            <w:hyperlink r:id="rId40" w:history="1">
              <w:r w:rsidR="0010513A" w:rsidRPr="0010513A">
                <w:rPr>
                  <w:rStyle w:val="Hyperlink"/>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ED3B4E" w:rsidP="0010513A">
            <w:pPr>
              <w:rPr>
                <w:lang w:val="en-US"/>
              </w:rPr>
            </w:pPr>
            <w:hyperlink r:id="rId41" w:history="1">
              <w:r w:rsidR="0010513A" w:rsidRPr="0010513A">
                <w:rPr>
                  <w:rStyle w:val="Hyperlink"/>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ED3B4E" w:rsidP="003E2F31">
            <w:pPr>
              <w:rPr>
                <w:rStyle w:val="Hyperlink"/>
                <w:color w:val="0000FF"/>
                <w:lang w:val="en-US"/>
              </w:rPr>
            </w:pPr>
            <w:hyperlink r:id="rId42" w:history="1">
              <w:r w:rsidR="003E2F31" w:rsidRPr="00FA388B">
                <w:rPr>
                  <w:rStyle w:val="Hyperlink"/>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ED3B4E" w:rsidP="003E2F31">
            <w:pPr>
              <w:rPr>
                <w:rStyle w:val="Hyperlink"/>
                <w:color w:val="0000FF"/>
                <w:lang w:val="en-US"/>
              </w:rPr>
            </w:pPr>
            <w:hyperlink r:id="rId43" w:history="1">
              <w:r w:rsidR="003E2F31" w:rsidRPr="00FA388B">
                <w:rPr>
                  <w:rStyle w:val="Hyperlink"/>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ED3B4E" w:rsidP="003E2F31">
            <w:pPr>
              <w:rPr>
                <w:lang w:val="en-US"/>
              </w:rPr>
            </w:pPr>
            <w:hyperlink r:id="rId44" w:history="1">
              <w:r w:rsidR="003E2F31" w:rsidRPr="00FA388B">
                <w:rPr>
                  <w:rStyle w:val="Hyperlink"/>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ED3B4E" w:rsidP="003E2F31">
            <w:pPr>
              <w:rPr>
                <w:color w:val="0000FF"/>
                <w:u w:val="single"/>
                <w:lang w:val="en-US"/>
              </w:rPr>
            </w:pPr>
            <w:hyperlink r:id="rId45" w:history="1">
              <w:r w:rsidR="003E2F31" w:rsidRPr="00FA388B">
                <w:rPr>
                  <w:rStyle w:val="Hyperlink"/>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ED3B4E" w:rsidP="003E2F31">
            <w:pPr>
              <w:rPr>
                <w:color w:val="0000FF"/>
                <w:u w:val="single"/>
              </w:rPr>
            </w:pPr>
            <w:hyperlink r:id="rId46" w:history="1">
              <w:r w:rsidR="003E2F31" w:rsidRPr="00FA388B">
                <w:rPr>
                  <w:rStyle w:val="Hyperlink"/>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ED3B4E" w:rsidP="003E2F31">
            <w:pPr>
              <w:rPr>
                <w:color w:val="0000FF"/>
                <w:u w:val="single"/>
              </w:rPr>
            </w:pPr>
            <w:hyperlink r:id="rId47" w:history="1">
              <w:r w:rsidR="003E2F31" w:rsidRPr="00FA388B">
                <w:rPr>
                  <w:rStyle w:val="Hyperlink"/>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lastRenderedPageBreak/>
              <w:t>[36]</w:t>
            </w:r>
          </w:p>
        </w:tc>
        <w:tc>
          <w:tcPr>
            <w:tcW w:w="1456" w:type="dxa"/>
            <w:tcMar>
              <w:top w:w="0" w:type="dxa"/>
              <w:left w:w="70" w:type="dxa"/>
              <w:bottom w:w="0" w:type="dxa"/>
              <w:right w:w="70" w:type="dxa"/>
            </w:tcMar>
          </w:tcPr>
          <w:p w14:paraId="3AD05FE4" w14:textId="44C1A09C" w:rsidR="003E2F31" w:rsidRPr="00FA388B" w:rsidRDefault="00ED3B4E" w:rsidP="003E2F31">
            <w:pPr>
              <w:rPr>
                <w:color w:val="0000FF"/>
                <w:u w:val="single"/>
              </w:rPr>
            </w:pPr>
            <w:hyperlink r:id="rId48" w:history="1">
              <w:r w:rsidR="003E2F31" w:rsidRPr="00FA388B">
                <w:rPr>
                  <w:rStyle w:val="Hyperlink"/>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ED3B4E" w:rsidP="003E2F31">
            <w:hyperlink r:id="rId49" w:history="1">
              <w:r w:rsidR="00180FB6">
                <w:rPr>
                  <w:rStyle w:val="Hyperlink"/>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TOC6"/>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1"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1"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6"/>
  </w:num>
  <w:num w:numId="5">
    <w:abstractNumId w:val="18"/>
    <w:lvlOverride w:ilvl="0">
      <w:startOverride w:val="1"/>
    </w:lvlOverride>
  </w:num>
  <w:num w:numId="6">
    <w:abstractNumId w:val="19"/>
  </w:num>
  <w:num w:numId="7">
    <w:abstractNumId w:val="24"/>
  </w:num>
  <w:num w:numId="8">
    <w:abstractNumId w:val="10"/>
  </w:num>
  <w:num w:numId="9">
    <w:abstractNumId w:val="27"/>
  </w:num>
  <w:num w:numId="10">
    <w:abstractNumId w:val="20"/>
  </w:num>
  <w:num w:numId="11">
    <w:abstractNumId w:val="22"/>
  </w:num>
  <w:num w:numId="12">
    <w:abstractNumId w:val="17"/>
  </w:num>
  <w:num w:numId="13">
    <w:abstractNumId w:val="11"/>
  </w:num>
  <w:num w:numId="14">
    <w:abstractNumId w:val="7"/>
  </w:num>
  <w:num w:numId="15">
    <w:abstractNumId w:val="36"/>
  </w:num>
  <w:num w:numId="16">
    <w:abstractNumId w:val="9"/>
  </w:num>
  <w:num w:numId="17">
    <w:abstractNumId w:val="35"/>
  </w:num>
  <w:num w:numId="18">
    <w:abstractNumId w:val="28"/>
  </w:num>
  <w:num w:numId="19">
    <w:abstractNumId w:val="8"/>
  </w:num>
  <w:num w:numId="20">
    <w:abstractNumId w:val="34"/>
  </w:num>
  <w:num w:numId="21">
    <w:abstractNumId w:val="12"/>
  </w:num>
  <w:num w:numId="22">
    <w:abstractNumId w:val="3"/>
  </w:num>
  <w:num w:numId="23">
    <w:abstractNumId w:val="2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9"/>
  </w:num>
  <w:num w:numId="27">
    <w:abstractNumId w:val="32"/>
  </w:num>
  <w:num w:numId="28">
    <w:abstractNumId w:val="31"/>
  </w:num>
  <w:num w:numId="29">
    <w:abstractNumId w:val="1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0"/>
  </w:num>
  <w:num w:numId="33">
    <w:abstractNumId w:val="21"/>
  </w:num>
  <w:num w:numId="34">
    <w:abstractNumId w:val="25"/>
  </w:num>
  <w:num w:numId="35">
    <w:abstractNumId w:val="4"/>
  </w:num>
  <w:num w:numId="36">
    <w:abstractNumId w:val="5"/>
  </w:num>
  <w:num w:numId="37">
    <w:abstractNumId w:val="15"/>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500"/>
    <w:rsid w:val="00950608"/>
    <w:rsid w:val="009508F5"/>
    <w:rsid w:val="00950D44"/>
    <w:rsid w:val="00950FEE"/>
    <w:rsid w:val="00951501"/>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5"/>
      </w:numPr>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F36D3"/>
    <w:rPr>
      <w:color w:val="605E5C"/>
      <w:shd w:val="clear" w:color="auto" w:fill="E1DFDD"/>
    </w:rPr>
  </w:style>
  <w:style w:type="character" w:styleId="Emphasis">
    <w:name w:val="Emphasis"/>
    <w:basedOn w:val="DefaultParagraphFont"/>
    <w:qFormat/>
    <w:rsid w:val="004C401C"/>
    <w:rPr>
      <w:i/>
      <w:iCs/>
    </w:rPr>
  </w:style>
  <w:style w:type="table" w:customStyle="1" w:styleId="TableGrid1">
    <w:name w:val="Table Grid1"/>
    <w:basedOn w:val="TableNormal"/>
    <w:next w:val="TableGrid"/>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MS Mincho" w:hAnsi="Arial" w:cs="Arial"/>
      <w:szCs w:val="24"/>
    </w:rPr>
  </w:style>
  <w:style w:type="paragraph" w:customStyle="1" w:styleId="Doc-text2">
    <w:name w:val="Doc-text2"/>
    <w:basedOn w:val="Normal"/>
    <w:link w:val="Doc-text2Char"/>
    <w:qFormat/>
    <w:rsid w:val="00804AA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04AAF"/>
    <w:rPr>
      <w:rFonts w:ascii="Arial" w:eastAsia="MS Mincho" w:hAnsi="Arial" w:cs="Arial"/>
      <w:i/>
      <w:noProof/>
      <w:sz w:val="18"/>
      <w:szCs w:val="24"/>
    </w:rPr>
  </w:style>
  <w:style w:type="paragraph" w:customStyle="1" w:styleId="Comments">
    <w:name w:val="Comments"/>
    <w:basedOn w:val="Normal"/>
    <w:link w:val="CommentsChar"/>
    <w:qFormat/>
    <w:rsid w:val="00804AAF"/>
    <w:pPr>
      <w:spacing w:before="40" w:after="0" w:line="240" w:lineRule="auto"/>
    </w:pPr>
    <w:rPr>
      <w:rFonts w:ascii="Arial" w:eastAsia="MS Mincho"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7-e/Docs/R1-2110892.zip" TargetMode="External"/><Relationship Id="rId26" Type="http://schemas.openxmlformats.org/officeDocument/2006/relationships/hyperlink" Target="https://www.3gpp.org/ftp/TSG_RAN/WG1_RL1/TSGR1_107-e/Docs/R1-2111501.zip" TargetMode="External"/><Relationship Id="rId39" Type="http://schemas.openxmlformats.org/officeDocument/2006/relationships/hyperlink" Target="https://www.3gpp.org/ftp/TSG_RAN/WG1_RL1/TSGR1_107-e/Docs/R1-2112223.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101.zip" TargetMode="External"/><Relationship Id="rId34" Type="http://schemas.openxmlformats.org/officeDocument/2006/relationships/hyperlink" Target="https://www.3gpp.org/ftp/TSG_RAN/WG1_RL1/TSGR1_107-e/Docs/R1-2112006.zip" TargetMode="External"/><Relationship Id="rId42" Type="http://schemas.openxmlformats.org/officeDocument/2006/relationships/hyperlink" Target="https://www.3gpp.org/ftp/TSG_RAN/WG1_RL1/TSGR1_107-e/Docs/R1-2111132.zip" TargetMode="External"/><Relationship Id="rId47" Type="http://schemas.openxmlformats.org/officeDocument/2006/relationships/hyperlink" Target="https://www.3gpp.org/ftp/TSG_RAN/WG1_RL1/TSGR1_107-e/Docs/R1-2112007.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01-e/Inbox/Chairman_Notes/RAN4_101-e_RRM_session_report_09_Nov_10.docx" TargetMode="External"/><Relationship Id="rId17" Type="http://schemas.openxmlformats.org/officeDocument/2006/relationships/hyperlink" Target="https://www.3gpp.org/ftp/TSG_RAN/WG1_RL1/TSGR1_107-e/Docs/R1-2110801.zip" TargetMode="External"/><Relationship Id="rId25" Type="http://schemas.openxmlformats.org/officeDocument/2006/relationships/hyperlink" Target="https://www.3gpp.org/ftp/TSG_RAN/WG1_RL1/TSGR1_107-e/Docs/R1-2111403.zip" TargetMode="External"/><Relationship Id="rId33" Type="http://schemas.openxmlformats.org/officeDocument/2006/relationships/hyperlink" Target="https://www.3gpp.org/ftp/TSG_RAN/WG1_RL1/TSGR1_107-e/Docs/R1-2111963.zip" TargetMode="External"/><Relationship Id="rId38" Type="http://schemas.openxmlformats.org/officeDocument/2006/relationships/hyperlink" Target="https://www.3gpp.org/ftp/TSG_RAN/WG1_RL1/TSGR1_107-e/Docs/R1-2112113.zip" TargetMode="External"/><Relationship Id="rId46"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69.zip" TargetMode="External"/><Relationship Id="rId20" Type="http://schemas.openxmlformats.org/officeDocument/2006/relationships/hyperlink" Target="https://www.3gpp.org/ftp/TSG_RAN/WG1_RL1/TSGR1_107-e/Docs/R1-2111066.zip" TargetMode="External"/><Relationship Id="rId29" Type="http://schemas.openxmlformats.org/officeDocument/2006/relationships/hyperlink" Target="https://www.3gpp.org/ftp/TSG_RAN/WG1_RL1/TSGR1_107-e/Docs/R1-2111613.zip" TargetMode="External"/><Relationship Id="rId41" Type="http://schemas.openxmlformats.org/officeDocument/2006/relationships/hyperlink" Target="https://www.3gpp.org/ftp/TSG_RAN/WG1_RL1/TSGR1_107-e/Docs/R1-211237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6-e/Inbox/Chairmans_Notes/RAN2-116-e%20-%20R17%20NTN-REDCAP-CE_2021_11_10_0600.docx" TargetMode="External"/><Relationship Id="rId24" Type="http://schemas.openxmlformats.org/officeDocument/2006/relationships/hyperlink" Target="https://www.3gpp.org/ftp/TSG_RAN/WG1_RL1/TSGR1_107-e/Docs/R1-2111322.zip" TargetMode="External"/><Relationship Id="rId32" Type="http://schemas.openxmlformats.org/officeDocument/2006/relationships/hyperlink" Target="https://www.3gpp.org/ftp/TSG_RAN/WG1_RL1/TSGR1_107-e/Docs/R1-2111957.zip" TargetMode="External"/><Relationship Id="rId37" Type="http://schemas.openxmlformats.org/officeDocument/2006/relationships/hyperlink" Target="https://www.3gpp.org/ftp/TSG_RAN/WG1_RL1/TSGR1_107-e/Docs/R1-2112084.zip" TargetMode="External"/><Relationship Id="rId40" Type="http://schemas.openxmlformats.org/officeDocument/2006/relationships/hyperlink" Target="https://www.3gpp.org/ftp/TSG_RAN/WG1_RL1/TSGR1_107-e/Docs/R1-2112283.zip" TargetMode="External"/><Relationship Id="rId45" Type="http://schemas.openxmlformats.org/officeDocument/2006/relationships/hyperlink" Target="https://www.3gpp.org/ftp/TSG_RAN/WG1_RL1/TSGR1_107-e/Docs/R1-2111923.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10381.zip" TargetMode="External"/><Relationship Id="rId23" Type="http://schemas.openxmlformats.org/officeDocument/2006/relationships/hyperlink" Target="https://www.3gpp.org/ftp/TSG_RAN/WG1_RL1/TSGR1_107-e/Docs/R1-2111262.zip" TargetMode="External"/><Relationship Id="rId28" Type="http://schemas.openxmlformats.org/officeDocument/2006/relationships/hyperlink" Target="https://www.3gpp.org/ftp/TSG_RAN/WG1_RL1/TSGR1_107-e/Docs/R1-2111595.zip" TargetMode="External"/><Relationship Id="rId36" Type="http://schemas.openxmlformats.org/officeDocument/2006/relationships/hyperlink" Target="https://www.3gpp.org/ftp/TSG_RAN/WG1_RL1/TSGR1_107-e/Docs/R1-2112056.zip" TargetMode="External"/><Relationship Id="rId49" Type="http://schemas.openxmlformats.org/officeDocument/2006/relationships/hyperlink" Target="https://www.3gpp.org/ftp/TSG_RAN/WG1_RL1/TSGR1_106b-e/Docs/R1-2110600.zip" TargetMode="External"/><Relationship Id="rId10" Type="http://schemas.openxmlformats.org/officeDocument/2006/relationships/hyperlink" Target="https://www.3gpp.org/ftp/TSG_RAN/WG1_RL1/TSGR1_107-e/Docs/R1-2110752.zip" TargetMode="External"/><Relationship Id="rId19" Type="http://schemas.openxmlformats.org/officeDocument/2006/relationships/hyperlink" Target="https://www.3gpp.org/ftp/TSG_RAN/WG1_RL1/TSGR1_107-e/Docs/R1-2111019.zip" TargetMode="External"/><Relationship Id="rId31" Type="http://schemas.openxmlformats.org/officeDocument/2006/relationships/hyperlink" Target="https://www.3gpp.org/ftp/TSG_RAN/WG1_RL1/TSGR1_107-e/Docs/R1-2111880.zip" TargetMode="External"/><Relationship Id="rId44" Type="http://schemas.openxmlformats.org/officeDocument/2006/relationships/hyperlink" Target="https://www.3gpp.org/ftp/TSG_RAN/WG1_RL1/TSGR1_107-e/Docs/R1-21116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10669.zip" TargetMode="External"/><Relationship Id="rId22" Type="http://schemas.openxmlformats.org/officeDocument/2006/relationships/hyperlink" Target="https://www.3gpp.org/ftp/TSG_RAN/WG1_RL1/TSGR1_107-e/Docs/R1-2111129.zip" TargetMode="External"/><Relationship Id="rId27" Type="http://schemas.openxmlformats.org/officeDocument/2006/relationships/hyperlink" Target="https://www.3gpp.org/ftp/TSG_RAN/WG1_RL1/TSGR1_107-e/Docs/R1-2111578.zip" TargetMode="External"/><Relationship Id="rId30" Type="http://schemas.openxmlformats.org/officeDocument/2006/relationships/hyperlink" Target="https://www.3gpp.org/ftp/TSG_RAN/WG1_RL1/TSGR1_107-e/Docs/R1-2111744.zip" TargetMode="External"/><Relationship Id="rId35" Type="http://schemas.openxmlformats.org/officeDocument/2006/relationships/hyperlink" Target="https://www.3gpp.org/ftp/TSG_RAN/WG1_RL1/TSGR1_107-e/Docs/R1-2112015.zip" TargetMode="External"/><Relationship Id="rId43" Type="http://schemas.openxmlformats.org/officeDocument/2006/relationships/hyperlink" Target="https://www.3gpp.org/ftp/TSG_RAN/WG1_RL1/TSGR1_107-e/Docs/R1-2111580.zip" TargetMode="External"/><Relationship Id="rId48" Type="http://schemas.openxmlformats.org/officeDocument/2006/relationships/hyperlink" Target="https://www.3gpp.org/ftp/TSG_RAN/WG1_RL1/TSGR1_107-e/Docs/R1-2112225.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17</Pages>
  <Words>7164</Words>
  <Characters>40838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1040</cp:revision>
  <dcterms:created xsi:type="dcterms:W3CDTF">2021-11-08T15:28:00Z</dcterms:created>
  <dcterms:modified xsi:type="dcterms:W3CDTF">2021-11-11T06:07:00Z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