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Pr>
                <w:rFonts w:eastAsia="MS Mincho"/>
                <w:sz w:val="20"/>
                <w:szCs w:val="20"/>
                <w:lang w:eastAsia="ja-JP"/>
              </w:rPr>
              <w:t xml:space="preserve"> </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InterDigital, NEC, Huawei/HiSilicon,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lastRenderedPageBreak/>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1F503B" w14:paraId="00E3AF37" w14:textId="77777777" w:rsidTr="00515754">
        <w:tc>
          <w:tcPr>
            <w:tcW w:w="2405" w:type="dxa"/>
          </w:tcPr>
          <w:p w14:paraId="00E3AF35" w14:textId="6A3134FE"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46313E5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gNB </w:t>
      </w:r>
      <w:r>
        <w:rPr>
          <w:rFonts w:eastAsia="Microsoft YaHei"/>
          <w:i/>
          <w:sz w:val="20"/>
          <w:szCs w:val="20"/>
        </w:rPr>
        <w:lastRenderedPageBreak/>
        <w:t>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Support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Pr>
                <w:rFonts w:eastAsia="Microsoft YaHei"/>
                <w:sz w:val="20"/>
                <w:szCs w:val="20"/>
              </w:rPr>
              <w:t xml:space="preserve">, LGE, </w:t>
            </w:r>
            <w:proofErr w:type="spellStart"/>
            <w:r>
              <w:rPr>
                <w:rFonts w:eastAsia="Microsoft YaHei"/>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lastRenderedPageBreak/>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InterDigital, Huawei/HiSilicon,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We are generally supportive of such compromised direction, but isn’t it RAN4’s </w:t>
            </w:r>
            <w:r>
              <w:rPr>
                <w:rFonts w:eastAsia="MS Mincho"/>
                <w:sz w:val="20"/>
                <w:szCs w:val="20"/>
                <w:lang w:eastAsia="ja-JP"/>
              </w:rPr>
              <w:lastRenderedPageBreak/>
              <w:t>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lastRenderedPageBreak/>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mc:AlternateContent>
                  <mc:Choice Requires="w16se">
                    <w:rFonts w:eastAsia="MS Mincho"/>
                  </mc:Choice>
                  <mc:Fallback>
                    <w:rFonts w:ascii="Segoe UI Emoji" w:eastAsia="Segoe UI Emoji" w:hAnsi="Segoe UI Emoji" w:cs="Segoe UI Emoji"/>
                  </mc:Fallback>
                </mc:AlternateContent>
                <w:sz w:val="20"/>
                <w:szCs w:val="20"/>
                <w:lang w:eastAsia="ja-JP"/>
              </w:rPr>
              <mc:AlternateContent>
                <mc:Choice Requires="w16se">
                  <w16se:symEx w16se:font="Segoe UI Emoji" w16se:char="1F609"/>
                </mc:Choice>
                <mc:Fallback>
                  <w:t>😉</w:t>
                </mc:Fallback>
              </mc:AlternateConten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w:t>
            </w:r>
            <w:r w:rsidR="005D2C48">
              <w:rPr>
                <w:rFonts w:eastAsia="MS Mincho"/>
                <w:sz w:val="20"/>
                <w:szCs w:val="20"/>
                <w:lang w:eastAsia="ja-JP"/>
              </w:rPr>
              <w:lastRenderedPageBreak/>
              <w:t xml:space="preserve">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Huawei/HiSilicon,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63807C1F" w:rsidR="00FA6A0F" w:rsidRDefault="000E1F45" w:rsidP="00FA6A0F">
            <w:pPr>
              <w:widowControl w:val="0"/>
              <w:snapToGrid w:val="0"/>
              <w:spacing w:before="120" w:after="120" w:line="240" w:lineRule="auto"/>
              <w:rPr>
                <w:rFonts w:eastAsia="Microsoft YaHei"/>
                <w:sz w:val="20"/>
                <w:szCs w:val="20"/>
              </w:rPr>
            </w:pPr>
            <w:r>
              <w:rPr>
                <w:rFonts w:eastAsia="Microsoft YaHei"/>
                <w:sz w:val="20"/>
                <w:szCs w:val="20"/>
              </w:rPr>
              <w:t>OK</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lastRenderedPageBreak/>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 xml:space="preserve">NTT DCM, Huawei/HiSilicon, vivo, </w:t>
            </w:r>
            <w:r w:rsidRPr="002966BC">
              <w:rPr>
                <w:rFonts w:eastAsia="Microsoft YaHei"/>
                <w:sz w:val="20"/>
                <w:szCs w:val="20"/>
                <w:lang w:val="fi-FI"/>
              </w:rPr>
              <w:lastRenderedPageBreak/>
              <w:t>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1F503B" w14:paraId="6AA2AD82" w14:textId="77777777" w:rsidTr="00B41E32">
        <w:tc>
          <w:tcPr>
            <w:tcW w:w="2405" w:type="dxa"/>
          </w:tcPr>
          <w:p w14:paraId="1A6E56E8" w14:textId="40FD0D54" w:rsidR="001F503B" w:rsidRDefault="001F503B" w:rsidP="001F503B">
            <w:pPr>
              <w:widowControl w:val="0"/>
              <w:snapToGrid w:val="0"/>
              <w:spacing w:before="120" w:after="120" w:line="240" w:lineRule="auto"/>
              <w:rPr>
                <w:rFonts w:eastAsia="Microsoft YaHei"/>
                <w:sz w:val="20"/>
                <w:szCs w:val="20"/>
              </w:rPr>
            </w:pPr>
          </w:p>
        </w:tc>
        <w:tc>
          <w:tcPr>
            <w:tcW w:w="6945" w:type="dxa"/>
          </w:tcPr>
          <w:p w14:paraId="1608CCBA" w14:textId="02D16D6C" w:rsidR="001F503B" w:rsidRPr="00FA6A0F" w:rsidRDefault="001F503B" w:rsidP="001F503B">
            <w:pPr>
              <w:widowControl w:val="0"/>
              <w:snapToGrid w:val="0"/>
              <w:spacing w:before="120" w:after="120" w:line="240" w:lineRule="auto"/>
              <w:rPr>
                <w:rFonts w:eastAsia="Microsoft YaHei"/>
                <w:sz w:val="20"/>
                <w:szCs w:val="20"/>
                <w:highlight w:val="yellow"/>
              </w:rPr>
            </w:pPr>
          </w:p>
        </w:tc>
      </w:tr>
      <w:tr w:rsidR="009F6BFD" w14:paraId="57622ABE" w14:textId="77777777" w:rsidTr="00B41E32">
        <w:tc>
          <w:tcPr>
            <w:tcW w:w="2405" w:type="dxa"/>
          </w:tcPr>
          <w:p w14:paraId="7DE743AE" w14:textId="05D64EE2" w:rsidR="009F6BFD" w:rsidRDefault="009F6BFD" w:rsidP="009F6BFD">
            <w:pPr>
              <w:widowControl w:val="0"/>
              <w:snapToGrid w:val="0"/>
              <w:spacing w:before="120" w:after="120" w:line="240" w:lineRule="auto"/>
              <w:rPr>
                <w:rFonts w:eastAsia="Microsoft YaHei"/>
                <w:sz w:val="20"/>
                <w:szCs w:val="20"/>
              </w:rPr>
            </w:pPr>
          </w:p>
        </w:tc>
        <w:tc>
          <w:tcPr>
            <w:tcW w:w="6945" w:type="dxa"/>
          </w:tcPr>
          <w:p w14:paraId="2C1C5E80" w14:textId="62EEFFC0" w:rsidR="009F6BFD" w:rsidRDefault="009F6BFD" w:rsidP="009F6BFD">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Huawei/HiSilicon</w:t>
            </w:r>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Huawei/HiSilicon</w:t>
      </w:r>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lastRenderedPageBreak/>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 xml:space="preserve">Samsung, Huawei/HiSilicon,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82115"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82115"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82115"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82115"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82115"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82115"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82115"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82115"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82115"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82115"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82115"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82115"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82115"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82115"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82115"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82115"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82115"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82115"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82115"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82115"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82115"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73216" w14:textId="77777777" w:rsidR="00D82115" w:rsidRDefault="00D82115" w:rsidP="0066336C">
      <w:pPr>
        <w:spacing w:after="0" w:line="240" w:lineRule="auto"/>
      </w:pPr>
      <w:r>
        <w:separator/>
      </w:r>
    </w:p>
  </w:endnote>
  <w:endnote w:type="continuationSeparator" w:id="0">
    <w:p w14:paraId="50951E34" w14:textId="77777777" w:rsidR="00D82115" w:rsidRDefault="00D8211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CF09E7" w:rsidRDefault="00CF09E7">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70AB" w14:textId="77777777" w:rsidR="00D82115" w:rsidRDefault="00D82115" w:rsidP="0066336C">
      <w:pPr>
        <w:spacing w:after="0" w:line="240" w:lineRule="auto"/>
      </w:pPr>
      <w:r>
        <w:separator/>
      </w:r>
    </w:p>
  </w:footnote>
  <w:footnote w:type="continuationSeparator" w:id="0">
    <w:p w14:paraId="309AC6D9" w14:textId="77777777" w:rsidR="00D82115" w:rsidRDefault="00D8211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32B3C-DF5C-45C5-A587-4450FAF8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8550</Words>
  <Characters>48735</Characters>
  <Application>Microsoft Office Word</Application>
  <DocSecurity>0</DocSecurity>
  <Lines>406</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2021-11-15T10:38:00Z</dcterms:created>
  <dcterms:modified xsi:type="dcterms:W3CDTF">2021-11-15T11:15:00Z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