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#106bis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R1-2108890</w:t>
      </w:r>
    </w:p>
    <w:p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</w:t>
      </w:r>
      <w:r>
        <w:rPr>
          <w:rFonts w:hint="eastAsia" w:ascii="Arial" w:hAnsi="Arial" w:cs="Arial"/>
          <w:b/>
          <w:bCs/>
          <w:sz w:val="22"/>
          <w:szCs w:val="22"/>
        </w:rPr>
        <w:t>, October 11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19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p>
      <w:pPr>
        <w:tabs>
          <w:tab w:val="left" w:pos="1985"/>
        </w:tabs>
        <w:spacing w:before="240"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eastAsia" w:ascii="Arial" w:hAnsi="Arial"/>
          <w:b/>
          <w:sz w:val="22"/>
          <w:szCs w:val="22"/>
        </w:rPr>
        <w:t xml:space="preserve">Remaining Issues on XR Traffic and Evaluation Methodology 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</w:t>
      </w:r>
      <w:r>
        <w:rPr>
          <w:rFonts w:hint="eastAsia" w:ascii="Arial" w:hAnsi="Arial"/>
          <w:b/>
          <w:sz w:val="22"/>
          <w:szCs w:val="22"/>
        </w:rPr>
        <w:t>, Sanechips</w:t>
      </w:r>
    </w:p>
    <w:p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8.14.2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>During RAN1#106-e meeting</w:t>
      </w:r>
      <w:r>
        <w:rPr>
          <w:rFonts w:hint="eastAsia" w:eastAsia="宋体"/>
          <w:szCs w:val="21"/>
        </w:rPr>
        <w:t>, following agreements on I/P-stream were made [1]</w:t>
      </w:r>
      <w:r>
        <w:rPr>
          <w:rFonts w:hint="eastAsia"/>
          <w:szCs w:val="21"/>
        </w:rPr>
        <w:t xml:space="preserve">. 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spacing w:before="120" w:after="120"/>
              <w:rPr>
                <w:rFonts w:eastAsia="宋体"/>
                <w:b/>
                <w:bCs/>
                <w:szCs w:val="21"/>
                <w:highlight w:val="green"/>
              </w:rPr>
            </w:pPr>
            <w:r>
              <w:rPr>
                <w:rFonts w:hint="eastAsia" w:eastAsia="宋体"/>
                <w:b/>
                <w:bCs/>
                <w:szCs w:val="21"/>
                <w:highlight w:val="green"/>
              </w:rPr>
              <w:t>A</w:t>
            </w:r>
            <w:r>
              <w:rPr>
                <w:rFonts w:eastAsia="宋体"/>
                <w:b/>
                <w:bCs/>
                <w:szCs w:val="21"/>
                <w:highlight w:val="green"/>
              </w:rPr>
              <w:t>greement</w:t>
            </w:r>
          </w:p>
          <w:p>
            <w:pPr>
              <w:widowControl w:val="0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For evaluation of separate streams of I-frame and P-frame that is an optional evaluation scenario, </w:t>
            </w:r>
          </w:p>
          <w:p>
            <w:pPr>
              <w:widowControl w:val="0"/>
              <w:numPr>
                <w:ilvl w:val="0"/>
                <w:numId w:val="8"/>
              </w:num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The main objective of evaluating this option is to study the impact on capacity from different PDB and PER values for I-frame and P-frame.  </w:t>
            </w:r>
          </w:p>
          <w:p>
            <w:pPr>
              <w:widowControl w:val="0"/>
              <w:numPr>
                <w:ilvl w:val="1"/>
                <w:numId w:val="8"/>
              </w:numPr>
              <w:spacing w:before="120" w:after="120"/>
              <w:rPr>
                <w:rFonts w:eastAsia="等线"/>
                <w:szCs w:val="21"/>
              </w:rPr>
            </w:pPr>
            <w:r>
              <w:rPr>
                <w:szCs w:val="21"/>
              </w:rPr>
              <w:t xml:space="preserve">FFS: Whether to directly compare capacity results (i.e., capacity numbers) for cases with two-stream modelling and those for cases with single-stream modelling. </w:t>
            </w:r>
          </w:p>
          <w:p>
            <w:pPr>
              <w:widowControl w:val="0"/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 xml:space="preserve">Agreement </w:t>
            </w:r>
          </w:p>
          <w:p>
            <w:pPr>
              <w:widowControl w:val="0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For evaluation of separate streams of I-frame and P-frame that is an optional evaluation scenario, </w:t>
            </w:r>
          </w:p>
          <w:p>
            <w:pPr>
              <w:pStyle w:val="39"/>
              <w:widowControl w:val="0"/>
              <w:numPr>
                <w:ilvl w:val="0"/>
                <w:numId w:val="8"/>
              </w:numPr>
              <w:spacing w:after="120"/>
              <w:rPr>
                <w:rFonts w:ascii="Calibri" w:hAnsi="Calibri"/>
                <w:sz w:val="21"/>
                <w:szCs w:val="21"/>
              </w:rPr>
            </w:pPr>
            <w:r>
              <w:rPr>
                <w:sz w:val="21"/>
                <w:szCs w:val="21"/>
              </w:rPr>
              <w:t>Alpha value: 2.0 and 1.5, Other values, e.g., 3.0 can be optionally evaluated</w:t>
            </w:r>
          </w:p>
          <w:p>
            <w:pPr>
              <w:pStyle w:val="39"/>
              <w:widowControl w:val="0"/>
              <w:numPr>
                <w:ilvl w:val="1"/>
                <w:numId w:val="8"/>
              </w:numPr>
              <w:spacing w:after="120"/>
              <w:rPr>
                <w:rFonts w:eastAsia="等线"/>
                <w:sz w:val="21"/>
                <w:szCs w:val="21"/>
              </w:rPr>
            </w:pPr>
            <w:r>
              <w:rPr>
                <w:sz w:val="21"/>
                <w:szCs w:val="21"/>
              </w:rPr>
              <w:t>This alpha value assumption applies to both Option 1A (slice-based) and Option 1B (GOP-based) evaluations</w:t>
            </w:r>
          </w:p>
          <w:p>
            <w:pPr>
              <w:widowControl w:val="0"/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 xml:space="preserve">Agreement </w:t>
            </w:r>
          </w:p>
          <w:p>
            <w:pPr>
              <w:widowControl w:val="0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For evaluation of separate streams of I-frame and P-frame that is an optional evaluation scenario, </w:t>
            </w:r>
          </w:p>
          <w:p>
            <w:pPr>
              <w:pStyle w:val="39"/>
              <w:widowControl w:val="0"/>
              <w:numPr>
                <w:ilvl w:val="0"/>
                <w:numId w:val="8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RAN1 agree upon the below reference case, while leaving other study cases up to companies. </w:t>
            </w:r>
          </w:p>
          <w:p>
            <w:pPr>
              <w:pStyle w:val="39"/>
              <w:widowControl w:val="0"/>
              <w:numPr>
                <w:ilvl w:val="1"/>
                <w:numId w:val="8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Reference case</w:t>
            </w:r>
          </w:p>
          <w:p>
            <w:pPr>
              <w:widowControl w:val="0"/>
              <w:numPr>
                <w:ilvl w:val="2"/>
                <w:numId w:val="8"/>
              </w:numPr>
              <w:spacing w:before="120" w:after="120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For DL</w:t>
            </w:r>
          </w:p>
          <w:p>
            <w:pPr>
              <w:widowControl w:val="0"/>
              <w:numPr>
                <w:ilvl w:val="3"/>
                <w:numId w:val="8"/>
              </w:numPr>
              <w:spacing w:before="120" w:after="120"/>
              <w:rPr>
                <w:rFonts w:eastAsia="Times New Roman"/>
                <w:szCs w:val="21"/>
                <w:lang w:val="sv-SE"/>
              </w:rPr>
            </w:pPr>
            <w:r>
              <w:rPr>
                <w:rFonts w:eastAsia="Times New Roman"/>
                <w:szCs w:val="21"/>
                <w:lang w:val="sv-SE"/>
              </w:rPr>
              <w:t xml:space="preserve">[PER_I, PER_P, PDB_I, PDB_P] = [1 %, 1 %, 10ms, 10ms] for AR/VR </w:t>
            </w:r>
          </w:p>
          <w:p>
            <w:pPr>
              <w:widowControl w:val="0"/>
              <w:numPr>
                <w:ilvl w:val="3"/>
                <w:numId w:val="8"/>
              </w:numPr>
              <w:spacing w:before="120" w:after="120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[PER_I, PER_P, PDB_I, PDB_P] = [1 %, 1 %, 15ms, 15ms] for CG</w:t>
            </w:r>
          </w:p>
          <w:p>
            <w:pPr>
              <w:widowControl w:val="0"/>
              <w:numPr>
                <w:ilvl w:val="2"/>
                <w:numId w:val="8"/>
              </w:numPr>
              <w:spacing w:before="120" w:after="120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For UL AR video streams</w:t>
            </w:r>
          </w:p>
          <w:p>
            <w:pPr>
              <w:widowControl w:val="0"/>
              <w:numPr>
                <w:ilvl w:val="3"/>
                <w:numId w:val="8"/>
              </w:numPr>
              <w:spacing w:before="120" w:after="120"/>
              <w:rPr>
                <w:rFonts w:eastAsia="宋体"/>
                <w:szCs w:val="21"/>
              </w:rPr>
            </w:pPr>
            <w:r>
              <w:rPr>
                <w:rFonts w:eastAsia="Times New Roman"/>
                <w:szCs w:val="21"/>
              </w:rPr>
              <w:t>[PER_I, PER_P, PDB_I, PDB_P] = [1 %, 1 %, 30ms, 30ms]</w:t>
            </w:r>
          </w:p>
        </w:tc>
      </w:tr>
    </w:tbl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>In this paper, we further discuss the remaining issues, including FFS part of I/P stream agreement, FoV/ non-FoV stream as well as additional power model etc.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>Remaining Issues on traffic model</w:t>
      </w:r>
    </w:p>
    <w:p>
      <w:pPr>
        <w:spacing w:before="120" w:after="120"/>
      </w:pPr>
      <w:r>
        <w:rPr>
          <w:rFonts w:hint="eastAsia"/>
        </w:rPr>
        <w:t>The remaining issue on I/P-stream traffic model is whether to directly compare capacity results for cases with two-stream modelling and those for cases with single stream modelling.</w:t>
      </w:r>
    </w:p>
    <w:p>
      <w:pPr>
        <w:spacing w:before="120" w:after="120"/>
      </w:pPr>
      <w:r>
        <w:rPr>
          <w:rFonts w:hint="eastAsia"/>
        </w:rPr>
        <w:t xml:space="preserve">It's preferred not to compare the simulation results of single stream traffic model and those of two stream traffic model. For one thing, it is not an </w:t>
      </w:r>
      <w:r>
        <w:t>“</w:t>
      </w:r>
      <w:r>
        <w:rPr>
          <w:rFonts w:hint="eastAsia"/>
        </w:rPr>
        <w:t>apple to apple</w:t>
      </w:r>
      <w:r>
        <w:t>”</w:t>
      </w:r>
      <w:r>
        <w:rPr>
          <w:rFonts w:hint="eastAsia"/>
        </w:rPr>
        <w:t xml:space="preserve"> comparison. Both traffic models exist in the system and it is confusing to compare which kind of traffic model is better. For another, from KPI perspective, the conditions that a UE is declared as a satisfied UE are different between single-stream traffic model and two-stream traffic model. </w:t>
      </w:r>
    </w:p>
    <w:p>
      <w:pPr>
        <w:pStyle w:val="33"/>
        <w:spacing w:before="120" w:after="120"/>
        <w:rPr>
          <w:lang w:val="en-US" w:eastAsia="zh-CN"/>
        </w:rPr>
      </w:pPr>
      <w:bookmarkStart w:id="0" w:name="_Toc19152"/>
      <w:r>
        <w:rPr>
          <w:rFonts w:hint="eastAsia"/>
          <w:lang w:val="en-US" w:eastAsia="zh-CN"/>
        </w:rPr>
        <w:t>RAN1 should not directly compare capacity results for cases with two-stream modelling and those for cases with single stream modelling.</w:t>
      </w:r>
      <w:bookmarkEnd w:id="0"/>
      <w:r>
        <w:rPr>
          <w:rFonts w:hint="eastAsia"/>
          <w:lang w:val="en-US" w:eastAsia="zh-CN"/>
        </w:rPr>
        <w:t xml:space="preserve">   </w:t>
      </w:r>
    </w:p>
    <w:p>
      <w:pPr>
        <w:pStyle w:val="33"/>
        <w:numPr>
          <w:ilvl w:val="0"/>
          <w:numId w:val="0"/>
        </w:numPr>
        <w:spacing w:before="120" w:after="120"/>
        <w:rPr>
          <w:b w:val="0"/>
          <w:bCs w:val="0"/>
          <w:i w:val="0"/>
          <w:iCs w:val="0"/>
          <w:sz w:val="21"/>
          <w:lang w:val="en-US" w:eastAsia="zh-CN"/>
        </w:rPr>
      </w:pPr>
      <w:bookmarkStart w:id="1" w:name="_Toc6061"/>
      <w:bookmarkStart w:id="2" w:name="_Toc83666294"/>
      <w:bookmarkStart w:id="3" w:name="_Toc24518"/>
      <w:r>
        <w:rPr>
          <w:rFonts w:hint="eastAsia"/>
          <w:b w:val="0"/>
          <w:bCs w:val="0"/>
          <w:i w:val="0"/>
          <w:iCs w:val="0"/>
          <w:sz w:val="21"/>
          <w:lang w:val="en-US" w:eastAsia="zh-CN"/>
        </w:rPr>
        <w:t>In RAN1#104-e meeting, one of the FFS for multiple stream modelling was given as follows [2].</w:t>
      </w:r>
      <w:bookmarkEnd w:id="1"/>
      <w:bookmarkEnd w:id="2"/>
      <w:bookmarkEnd w:id="3"/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spacing w:before="120" w:after="120"/>
            </w:pPr>
            <w:r>
              <w:rPr>
                <w:rFonts w:hint="eastAsia"/>
                <w:highlight w:val="green"/>
              </w:rPr>
              <w:t>Agreements:</w:t>
            </w:r>
            <w:r>
              <w:rPr>
                <w:rFonts w:hint="eastAsia"/>
              </w:rPr>
              <w:t xml:space="preserve"> </w:t>
            </w:r>
          </w:p>
          <w:p>
            <w:pPr>
              <w:widowControl w:val="0"/>
              <w:spacing w:before="120" w:after="120"/>
            </w:pPr>
            <w:r>
              <w:rPr>
                <w:rFonts w:hint="eastAsia"/>
              </w:rPr>
              <w:t>On evaluation of multiple streams/flows:</w:t>
            </w:r>
          </w:p>
          <w:p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spacing w:before="120" w:after="120"/>
            </w:pPr>
            <w:r>
              <w:rPr>
                <w:rFonts w:hint="eastAsia"/>
              </w:rPr>
              <w:t xml:space="preserve">FFS the following in RAN1#104-bis-e </w:t>
            </w:r>
          </w:p>
          <w:p>
            <w:pPr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spacing w:before="120" w:after="120"/>
            </w:pPr>
            <w:r>
              <w:rPr>
                <w:rFonts w:hint="eastAsia"/>
              </w:rPr>
              <w:t>Whether/how to model and evaluate I-frame and P-frame for both DL and UL, e.g., separate definition of fps, packet size, QoS requirements (e.g., PER, PDB), etc.</w:t>
            </w:r>
          </w:p>
          <w:p>
            <w:pPr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spacing w:before="120" w:after="120"/>
            </w:pPr>
            <w:r>
              <w:rPr>
                <w:rFonts w:hint="eastAsia"/>
              </w:rPr>
              <w:t>Whether/how to separately model and evaluate two streams of video and audio/data for both DL and UL</w:t>
            </w:r>
          </w:p>
          <w:p>
            <w:pPr>
              <w:widowControl w:val="0"/>
              <w:numPr>
                <w:ilvl w:val="1"/>
                <w:numId w:val="9"/>
              </w:numPr>
              <w:spacing w:before="120" w:after="120"/>
            </w:pPr>
            <w:r>
              <w:rPr>
                <w:rFonts w:hint="eastAsia"/>
              </w:rPr>
              <w:t>Whether/how to model and evaluate FOV (high-resolution) and non-FOV (lower-resolution omnidirectional) streams, e.g., separate definition of fps, packet size, QoS requirements (e.g., PER, PDB), etc</w:t>
            </w:r>
          </w:p>
          <w:p>
            <w:pPr>
              <w:pStyle w:val="33"/>
              <w:widowControl w:val="0"/>
              <w:numPr>
                <w:ilvl w:val="0"/>
                <w:numId w:val="0"/>
              </w:numPr>
              <w:spacing w:before="120" w:after="120"/>
              <w:rPr>
                <w:b w:val="0"/>
                <w:bCs w:val="0"/>
                <w:i w:val="0"/>
                <w:iCs w:val="0"/>
                <w:sz w:val="21"/>
                <w:lang w:val="en-US" w:eastAsia="zh-CN"/>
              </w:rPr>
            </w:pPr>
          </w:p>
        </w:tc>
      </w:tr>
    </w:tbl>
    <w:p>
      <w:pPr>
        <w:spacing w:before="120" w:after="120"/>
        <w:rPr>
          <w:b/>
          <w:bCs/>
          <w:i/>
          <w:iCs/>
        </w:rPr>
      </w:pPr>
      <w:bookmarkStart w:id="4" w:name="_Toc19999"/>
      <w:r>
        <w:rPr>
          <w:rFonts w:hint="eastAsia"/>
        </w:rPr>
        <w:t>Up to RAN1#106-e meeting, the first two bullets have been addressed (I-stream/P-stream, video/data&amp;audio). However, it is still not clear how to model and evaluate FOV and non-FOV streams. We share some views on FOV and non-FOV stream modelling.</w:t>
      </w:r>
      <w:bookmarkEnd w:id="4"/>
    </w:p>
    <w:p>
      <w:pPr>
        <w:spacing w:before="120" w:after="120"/>
      </w:pPr>
      <w:r>
        <w:rPr>
          <w:rFonts w:hint="eastAsia"/>
        </w:rPr>
        <w:t>According to SA4 input [3], FoV and non-FoV traffic model is distinctive of VR1 traffic. Non-FoV stream can be regarded as the background of 360°video in relatively low resolution, while FoV stream is 18 tiles in high resolution to enhance the scene corresponding to user</w:t>
      </w:r>
      <w:r>
        <w:t>’</w:t>
      </w:r>
      <w:r>
        <w:rPr>
          <w:rFonts w:hint="eastAsia"/>
        </w:rPr>
        <w:t>s current viewpoint.</w:t>
      </w:r>
    </w:p>
    <w:p>
      <w:pPr>
        <w:spacing w:before="120" w:after="120"/>
      </w:pPr>
      <w:r>
        <w:rPr>
          <w:rFonts w:hint="eastAsia"/>
        </w:rPr>
        <w:t xml:space="preserve">From our perspective, similar to the I/P-frame modeling, the following two options can be considered for FoV and non-FoV modeling: </w:t>
      </w:r>
    </w:p>
    <w:p>
      <w:pPr>
        <w:spacing w:before="120" w:after="120"/>
      </w:pPr>
      <w:r>
        <w:rPr>
          <w:rFonts w:hint="eastAsia"/>
          <w:b/>
          <w:bCs/>
          <w:i/>
          <w:iCs/>
        </w:rPr>
        <w:t xml:space="preserve">Option 1: </w:t>
      </w:r>
      <w:r>
        <w:rPr>
          <w:rFonts w:hint="eastAsia"/>
        </w:rPr>
        <w:t xml:space="preserve">  FoV stream and non-FoV stream are integrated in one frame for encoding and transmission as shown in Figure 1. Hence, this modeling is similar to sliced-based traffic model of I/P-stream modeling.</w:t>
      </w:r>
    </w:p>
    <w:p>
      <w:pPr>
        <w:spacing w:before="120" w:after="120"/>
        <w:jc w:val="center"/>
      </w:pPr>
      <w:r>
        <w:rPr>
          <w:rFonts w:hint="eastAsia"/>
        </w:rPr>
        <w:drawing>
          <wp:inline distT="0" distB="0" distL="114300" distR="114300">
            <wp:extent cx="3696335" cy="3107055"/>
            <wp:effectExtent l="0" t="0" r="0" b="0"/>
            <wp:docPr id="8" name="图片 8" descr="FoV_Type1模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oV_Type1模型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633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rPr>
          <w:rFonts w:hint="eastAsia"/>
        </w:rPr>
        <w:t>Figure 1 Option1 for FoV and non-FoV modeling</w:t>
      </w:r>
    </w:p>
    <w:p>
      <w:pPr>
        <w:spacing w:before="120" w:after="120"/>
      </w:pPr>
      <w:r>
        <w:rPr>
          <w:rFonts w:hint="eastAsia"/>
          <w:b/>
          <w:bCs/>
          <w:i/>
          <w:iCs/>
        </w:rPr>
        <w:t>Option 2:</w:t>
      </w:r>
      <w:r>
        <w:rPr>
          <w:rFonts w:hint="eastAsia"/>
        </w:rPr>
        <w:t xml:space="preserve"> FoV stream and non-FoV stream are two separate streams with different bit rate and periodicity. In detail, FoV stream is divided into multiple tiles to encode and transmission as shown in Figure 2. </w:t>
      </w:r>
    </w:p>
    <w:p>
      <w:pPr>
        <w:spacing w:before="120" w:after="120"/>
        <w:jc w:val="center"/>
      </w:pPr>
      <w:r>
        <w:rPr>
          <w:rFonts w:hint="eastAsia"/>
        </w:rPr>
        <w:drawing>
          <wp:inline distT="0" distB="0" distL="114300" distR="114300">
            <wp:extent cx="6131560" cy="2164080"/>
            <wp:effectExtent l="0" t="0" r="2540" b="0"/>
            <wp:docPr id="7" name="图片 7" descr="FoV_Type2模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oV_Type2模型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</w:pPr>
      <w:r>
        <w:rPr>
          <w:rFonts w:hint="eastAsia"/>
        </w:rPr>
        <w:t>Figure 2 Option2 for FoV and non-FoV modeling</w:t>
      </w:r>
    </w:p>
    <w:p>
      <w:pPr>
        <w:spacing w:before="120" w:after="120"/>
      </w:pPr>
      <w:r>
        <w:rPr>
          <w:rFonts w:hint="eastAsia"/>
        </w:rPr>
        <w:t>For the FoV and non-FoV modeling, relevant enhancement on UL assistance information is elaborated in our companion contribution [4].The KPI differentiation of FoV and non-FoV stream are similar to those of I-frame and P-frame. FoV stream is the high resolution scene to enhance the scene of users</w:t>
      </w:r>
      <w:r>
        <w:t>’</w:t>
      </w:r>
      <w:r>
        <w:rPr>
          <w:rFonts w:hint="eastAsia"/>
        </w:rPr>
        <w:t xml:space="preserve"> current viewpoint. The quality of FoV stream transmission directly determines user experience. As a result, it seems that FoV stream has higher importance similarly to I-frame in multi-stream video traffic so that FoV stream may have more stringent KPI per UE than non FoV stream. </w:t>
      </w:r>
    </w:p>
    <w:p>
      <w:pPr>
        <w:spacing w:before="120" w:after="120"/>
      </w:pPr>
      <w:r>
        <w:rPr>
          <w:rFonts w:hint="eastAsia"/>
        </w:rPr>
        <w:t xml:space="preserve">Therefore, we propose the following initial configuration for FoV and non-FoV modeling. </w:t>
      </w:r>
    </w:p>
    <w:p>
      <w:pPr>
        <w:spacing w:before="120" w:after="120"/>
        <w:jc w:val="center"/>
      </w:pPr>
      <w:r>
        <w:rPr>
          <w:rFonts w:hint="eastAsia"/>
        </w:rPr>
        <w:t>Table 1 Initial Parameters of FoV and non-FoV stream modeling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1"/>
        <w:gridCol w:w="3292"/>
        <w:gridCol w:w="3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Application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VR1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restart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Two Stream Data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FoV stream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Non-FoV stream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continue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Option 1: Sliced based traffic model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Option 2: Two separate streams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Structure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A frame consists of: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1 (18 tiles)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1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A Group of Tiles consist of: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Stream #1: 18 tiles 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Frame Per Second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30FPS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30FPS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540 tiles per second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30FPS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Data Rate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12.78 Mbps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8Mbps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12.78Mbps (the aggregated data rate of the 18 tiles within a group of tiles)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8Mbps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(PSR, PDB)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(99%, 20ms)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(90%, 20ms)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#1: (99%, 10ms)</w:t>
            </w:r>
          </w:p>
          <w:p>
            <w:pPr>
              <w:widowControl w:val="0"/>
              <w:spacing w:before="120" w:after="120"/>
              <w:jc w:val="center"/>
            </w:pPr>
            <w:r>
              <w:rPr>
                <w:rFonts w:hint="eastAsia"/>
              </w:rPr>
              <w:t>Stream #2: (90%, 10ms)</w:t>
            </w:r>
          </w:p>
        </w:tc>
      </w:tr>
    </w:tbl>
    <w:p>
      <w:pPr>
        <w:spacing w:before="120" w:after="120"/>
      </w:pPr>
      <w:r>
        <w:rPr>
          <w:rFonts w:hint="eastAsia"/>
        </w:rPr>
        <w:t>Based on the discussion above, we make the following proposal for FoV and non-FoV modeling.</w:t>
      </w:r>
    </w:p>
    <w:p>
      <w:pPr>
        <w:pStyle w:val="33"/>
        <w:spacing w:before="120" w:after="120"/>
        <w:jc w:val="both"/>
        <w:rPr>
          <w:rFonts w:eastAsia="宋体"/>
          <w:lang w:val="en-US" w:eastAsia="zh-CN"/>
        </w:rPr>
      </w:pPr>
      <w:bookmarkStart w:id="5" w:name="_Toc12499"/>
      <w:bookmarkStart w:id="6" w:name="_Toc6910"/>
      <w:r>
        <w:rPr>
          <w:rFonts w:hint="eastAsia" w:eastAsia="宋体"/>
          <w:lang w:val="en-US" w:eastAsia="zh-CN"/>
        </w:rPr>
        <w:t>Further discuss in RAN1 the parameters of FoV and non-FoV stream modeling for DL 360°video stream with parameters in Table 1 as a starting point.</w:t>
      </w:r>
      <w:bookmarkEnd w:id="5"/>
      <w:bookmarkEnd w:id="6"/>
    </w:p>
    <w:p>
      <w:pPr>
        <w:spacing w:before="120" w:after="120"/>
        <w:jc w:val="center"/>
        <w:rPr>
          <w:b/>
          <w:bCs/>
          <w:i/>
          <w:iCs/>
          <w:sz w:val="20"/>
        </w:rPr>
      </w:pPr>
      <w:r>
        <w:rPr>
          <w:rFonts w:hint="eastAsia"/>
          <w:b/>
          <w:bCs/>
          <w:i/>
          <w:iCs/>
          <w:sz w:val="20"/>
        </w:rPr>
        <w:t>Table 1 Initial Parameters of FoV and non-FoV stream modeling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1"/>
        <w:gridCol w:w="3292"/>
        <w:gridCol w:w="3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Application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VR1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restart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Two Stream Data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FoV stream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Non-FoV stream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continue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Option 1: sliced based traffic model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Option 2: Two separate streams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Structure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 frame consists of: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 (18 tiles)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1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 Group of Tiles consist of:</w:t>
            </w:r>
            <w:r>
              <w:rPr>
                <w:rFonts w:hint="eastAsia"/>
                <w:b/>
                <w:bCs/>
                <w:i/>
                <w:iCs/>
                <w:sz w:val="20"/>
              </w:rPr>
              <w:br w:type="textWrapping"/>
            </w:r>
            <w:r>
              <w:rPr>
                <w:rFonts w:hint="eastAsia"/>
                <w:b/>
                <w:bCs/>
                <w:i/>
                <w:iCs/>
                <w:sz w:val="20"/>
              </w:rPr>
              <w:t xml:space="preserve">Stream #1: 18 tiles 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Frame Per Second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30FPS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30FPS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540 tiles per second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30FPS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Data Rate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12.78 Mbps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8Mbps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12.78Mbps (the aggregated data rate of the 18 tiles within a group of tiles)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8Mbps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(PSR, PDB)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(99%, 20ms)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(90%, 20ms)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(99%, 10ms)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(90%, 10ms)</w:t>
            </w:r>
          </w:p>
        </w:tc>
      </w:tr>
    </w:tbl>
    <w:p>
      <w:pPr>
        <w:pStyle w:val="33"/>
        <w:numPr>
          <w:ilvl w:val="0"/>
          <w:numId w:val="0"/>
        </w:numPr>
        <w:spacing w:before="120" w:after="120"/>
        <w:rPr>
          <w:b w:val="0"/>
          <w:bCs w:val="0"/>
          <w:i w:val="0"/>
          <w:iCs w:val="0"/>
          <w:lang w:val="en-US" w:eastAsia="zh-CN"/>
        </w:rPr>
      </w:pPr>
    </w:p>
    <w:p>
      <w:pPr>
        <w:pStyle w:val="2"/>
        <w:spacing w:before="120" w:after="120"/>
        <w:ind w:left="0"/>
      </w:pPr>
      <w:r>
        <w:rPr>
          <w:rFonts w:hint="eastAsia" w:eastAsia="宋体"/>
        </w:rPr>
        <w:t>Evaluation methodology of Power saving</w:t>
      </w:r>
    </w:p>
    <w:p>
      <w:pPr>
        <w:spacing w:before="120" w:after="120" w:line="256" w:lineRule="auto"/>
        <w:rPr>
          <w:szCs w:val="21"/>
        </w:rPr>
      </w:pPr>
      <w:r>
        <w:rPr>
          <w:rFonts w:hint="eastAsia"/>
          <w:szCs w:val="21"/>
        </w:rPr>
        <w:t xml:space="preserve">For power consumption simulation, the DL and UL power consumption can be evaluated independently </w:t>
      </w:r>
      <w:r>
        <w:rPr>
          <w:szCs w:val="21"/>
        </w:rPr>
        <w:t>to simplify the simulation</w:t>
      </w:r>
      <w:r>
        <w:rPr>
          <w:rFonts w:hint="eastAsia"/>
          <w:szCs w:val="21"/>
        </w:rPr>
        <w:t xml:space="preserve">. However the power saving gain obtained by single link evaluation may not well reflect the real power saving gain especially for DL &amp; UL alignment schemes (e.g., UL signaling is transmitted around DRX on duration). </w:t>
      </w:r>
    </w:p>
    <w:p>
      <w:pPr>
        <w:spacing w:before="120" w:after="120" w:line="256" w:lineRule="auto"/>
      </w:pPr>
      <w:r>
        <w:rPr>
          <w:rFonts w:hint="eastAsia"/>
        </w:rPr>
        <w:t>A simple method for obtaining a joint power consumption by independently evaluate DL and UL power consumption is proposed in this section. The steps of the method include:</w:t>
      </w:r>
    </w:p>
    <w:p>
      <w:pPr>
        <w:numPr>
          <w:ilvl w:val="0"/>
          <w:numId w:val="10"/>
        </w:numPr>
        <w:spacing w:before="120" w:after="120" w:line="256" w:lineRule="auto"/>
      </w:pPr>
      <w:r>
        <w:rPr>
          <w:rFonts w:hint="eastAsia"/>
        </w:rPr>
        <w:t>Evaluating DL and UL power consumption independently;</w:t>
      </w:r>
    </w:p>
    <w:p>
      <w:pPr>
        <w:numPr>
          <w:ilvl w:val="0"/>
          <w:numId w:val="10"/>
        </w:numPr>
        <w:spacing w:before="120" w:after="120" w:line="256" w:lineRule="auto"/>
      </w:pPr>
      <w:r>
        <w:rPr>
          <w:rFonts w:hint="eastAsia"/>
        </w:rPr>
        <w:t>Collecting DL and UL slot states respectively;</w:t>
      </w:r>
    </w:p>
    <w:p>
      <w:pPr>
        <w:numPr>
          <w:ilvl w:val="0"/>
          <w:numId w:val="10"/>
        </w:numPr>
        <w:spacing w:before="120" w:after="120" w:line="256" w:lineRule="auto"/>
      </w:pPr>
      <w:r>
        <w:rPr>
          <w:rFonts w:hint="eastAsia"/>
        </w:rPr>
        <w:t>Recombining these slot states in a single timeline;</w:t>
      </w:r>
      <w:bookmarkStart w:id="34" w:name="_GoBack"/>
      <w:bookmarkEnd w:id="34"/>
    </w:p>
    <w:p>
      <w:pPr>
        <w:numPr>
          <w:ilvl w:val="0"/>
          <w:numId w:val="10"/>
        </w:numPr>
        <w:spacing w:before="120" w:after="120" w:line="256" w:lineRule="auto"/>
      </w:pPr>
      <w:r>
        <w:rPr>
          <w:rFonts w:hint="eastAsia"/>
        </w:rPr>
        <w:t>Calculating overall power consumption according to the recombined timeline.</w:t>
      </w:r>
    </w:p>
    <w:p>
      <w:pPr>
        <w:spacing w:before="120" w:after="120" w:line="256" w:lineRule="auto"/>
      </w:pPr>
      <w:r>
        <w:rPr>
          <w:rFonts w:hint="eastAsia"/>
        </w:rPr>
        <w:t>This method can simplify the simulation and a rough power saving gain can be obtained.</w:t>
      </w:r>
    </w:p>
    <w:p>
      <w:pPr>
        <w:pStyle w:val="33"/>
        <w:spacing w:before="120" w:after="120"/>
        <w:rPr>
          <w:lang w:val="en-US" w:eastAsia="zh-CN"/>
        </w:rPr>
      </w:pPr>
      <w:bookmarkStart w:id="7" w:name="_Toc21155"/>
      <w:bookmarkStart w:id="8" w:name="_Toc15851"/>
      <w:bookmarkStart w:id="9" w:name="_Toc79134586"/>
      <w:bookmarkStart w:id="10" w:name="_Toc26699"/>
      <w:bookmarkStart w:id="11" w:name="_Toc12560"/>
      <w:r>
        <w:rPr>
          <w:lang w:val="en-US" w:eastAsia="zh-CN"/>
        </w:rPr>
        <w:t xml:space="preserve">For XR/CG </w:t>
      </w:r>
      <w:r>
        <w:rPr>
          <w:rFonts w:hint="eastAsia"/>
          <w:lang w:val="en-US" w:eastAsia="zh-CN"/>
        </w:rPr>
        <w:t xml:space="preserve">power consumption </w:t>
      </w:r>
      <w:r>
        <w:rPr>
          <w:lang w:val="en-US" w:eastAsia="zh-CN"/>
        </w:rPr>
        <w:t>evaluation, when DL and UL performances are evaluated independently</w:t>
      </w:r>
      <w:r>
        <w:rPr>
          <w:rFonts w:hint="eastAsia"/>
          <w:lang w:val="en-US" w:eastAsia="zh-CN"/>
        </w:rPr>
        <w:t>, overall power consumption can be determined according to the following steps:</w:t>
      </w:r>
      <w:bookmarkEnd w:id="7"/>
      <w:bookmarkEnd w:id="8"/>
      <w:bookmarkEnd w:id="9"/>
      <w:bookmarkEnd w:id="10"/>
      <w:bookmarkEnd w:id="11"/>
    </w:p>
    <w:p>
      <w:pPr>
        <w:pStyle w:val="33"/>
        <w:numPr>
          <w:ilvl w:val="0"/>
          <w:numId w:val="11"/>
        </w:numPr>
        <w:spacing w:before="120" w:after="120"/>
        <w:jc w:val="both"/>
      </w:pPr>
      <w:bookmarkStart w:id="12" w:name="_Toc17175"/>
      <w:bookmarkStart w:id="13" w:name="_Toc23730"/>
      <w:bookmarkStart w:id="14" w:name="_Toc79134587"/>
      <w:bookmarkStart w:id="15" w:name="_Toc13687"/>
      <w:bookmarkStart w:id="16" w:name="_Toc11423"/>
      <w:r>
        <w:rPr>
          <w:rFonts w:hint="eastAsia"/>
          <w:lang w:val="en-US" w:eastAsia="zh-CN"/>
        </w:rPr>
        <w:t>Collecting DL and UL slot states respectively;</w:t>
      </w:r>
      <w:bookmarkEnd w:id="12"/>
      <w:bookmarkEnd w:id="13"/>
      <w:bookmarkEnd w:id="14"/>
      <w:bookmarkEnd w:id="15"/>
      <w:bookmarkEnd w:id="16"/>
    </w:p>
    <w:p>
      <w:pPr>
        <w:pStyle w:val="33"/>
        <w:numPr>
          <w:ilvl w:val="0"/>
          <w:numId w:val="11"/>
        </w:numPr>
        <w:spacing w:before="120" w:after="120"/>
        <w:jc w:val="both"/>
      </w:pPr>
      <w:bookmarkStart w:id="17" w:name="_Toc461"/>
      <w:bookmarkStart w:id="18" w:name="_Toc14702"/>
      <w:bookmarkStart w:id="19" w:name="_Toc3605"/>
      <w:bookmarkStart w:id="20" w:name="_Toc6704"/>
      <w:bookmarkStart w:id="21" w:name="_Toc79134588"/>
      <w:r>
        <w:rPr>
          <w:rFonts w:hint="eastAsia"/>
          <w:lang w:val="en-US" w:eastAsia="zh-CN"/>
        </w:rPr>
        <w:t>Recombining these slot states in a single timeline;</w:t>
      </w:r>
      <w:bookmarkEnd w:id="17"/>
      <w:bookmarkEnd w:id="18"/>
      <w:bookmarkEnd w:id="19"/>
      <w:bookmarkEnd w:id="20"/>
      <w:bookmarkEnd w:id="21"/>
    </w:p>
    <w:p>
      <w:pPr>
        <w:pStyle w:val="33"/>
        <w:numPr>
          <w:ilvl w:val="0"/>
          <w:numId w:val="11"/>
        </w:numPr>
        <w:spacing w:before="120" w:after="120"/>
        <w:jc w:val="both"/>
        <w:rPr>
          <w:lang w:val="en-US" w:eastAsia="zh-CN"/>
        </w:rPr>
      </w:pPr>
      <w:bookmarkStart w:id="22" w:name="_Toc17413"/>
      <w:bookmarkStart w:id="23" w:name="_Toc8062"/>
      <w:bookmarkStart w:id="24" w:name="_Toc9074"/>
      <w:bookmarkStart w:id="25" w:name="_Toc79134589"/>
      <w:bookmarkStart w:id="26" w:name="_Toc13476"/>
      <w:r>
        <w:rPr>
          <w:rFonts w:hint="eastAsia"/>
          <w:lang w:val="en-US" w:eastAsia="zh-CN"/>
        </w:rPr>
        <w:t>Calculating overall power consumption according to the recombined timeline.</w:t>
      </w:r>
      <w:bookmarkEnd w:id="22"/>
      <w:bookmarkEnd w:id="23"/>
      <w:bookmarkEnd w:id="24"/>
      <w:bookmarkEnd w:id="25"/>
      <w:bookmarkEnd w:id="26"/>
    </w:p>
    <w:p>
      <w:pPr>
        <w:pStyle w:val="2"/>
        <w:spacing w:before="120" w:after="120"/>
        <w:ind w:left="0"/>
      </w:pPr>
      <w:r>
        <w:rPr>
          <w:rFonts w:hint="eastAsia"/>
        </w:rPr>
        <w:t>Additional Power model</w:t>
      </w:r>
    </w:p>
    <w:p>
      <w:pPr>
        <w:pStyle w:val="39"/>
        <w:spacing w:after="120"/>
        <w:ind w:left="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S slot include</w:t>
      </w:r>
      <w:r>
        <w:rPr>
          <w:rFonts w:hint="eastAsia" w:eastAsia="宋体"/>
          <w:sz w:val="21"/>
          <w:szCs w:val="21"/>
        </w:rPr>
        <w:t>s</w:t>
      </w:r>
      <w:r>
        <w:rPr>
          <w:rFonts w:eastAsia="宋体"/>
          <w:sz w:val="21"/>
          <w:szCs w:val="21"/>
        </w:rPr>
        <w:t xml:space="preserve"> DL and UL symbols. In TR 38.840, the fol</w:t>
      </w:r>
      <w:r>
        <w:rPr>
          <w:rFonts w:hint="eastAsia" w:eastAsia="宋体"/>
          <w:sz w:val="21"/>
          <w:szCs w:val="21"/>
        </w:rPr>
        <w:t>l</w:t>
      </w:r>
      <w:r>
        <w:rPr>
          <w:rFonts w:eastAsia="宋体"/>
          <w:sz w:val="21"/>
          <w:szCs w:val="21"/>
        </w:rPr>
        <w:t>owing assu</w:t>
      </w:r>
      <w:r>
        <w:rPr>
          <w:rFonts w:hint="eastAsia" w:eastAsia="宋体"/>
          <w:sz w:val="21"/>
          <w:szCs w:val="21"/>
        </w:rPr>
        <w:t>m</w:t>
      </w:r>
      <w:r>
        <w:rPr>
          <w:rFonts w:eastAsia="宋体"/>
          <w:sz w:val="21"/>
          <w:szCs w:val="21"/>
        </w:rPr>
        <w:t>ption</w:t>
      </w:r>
      <w:r>
        <w:rPr>
          <w:rFonts w:hint="eastAsia" w:eastAsia="宋体"/>
          <w:sz w:val="21"/>
          <w:szCs w:val="21"/>
        </w:rPr>
        <w:t>s</w:t>
      </w:r>
      <w:r>
        <w:rPr>
          <w:rFonts w:eastAsia="宋体"/>
          <w:sz w:val="21"/>
          <w:szCs w:val="21"/>
        </w:rPr>
        <w:t xml:space="preserve"> are provided.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2"/>
              <w:widowControl w:val="0"/>
              <w:spacing w:before="120" w:after="120"/>
              <w:ind w:left="0" w:firstLine="0"/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TR 38.840</w:t>
            </w:r>
          </w:p>
          <w:p>
            <w:pPr>
              <w:pStyle w:val="42"/>
              <w:widowControl w:val="0"/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For simplicity, </w:t>
            </w:r>
          </w:p>
          <w:p>
            <w:pPr>
              <w:pStyle w:val="42"/>
              <w:widowControl w:val="0"/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The slot-averaged power for "PDCCH+PDSCH+PUCCH" is same as "PDCCH+PDSCH"</w:t>
            </w:r>
          </w:p>
          <w:p>
            <w:pPr>
              <w:pStyle w:val="42"/>
              <w:widowControl w:val="0"/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The slot-averaged power for "PDSCH+PUCCH" is same as "PDSCH-only"</w:t>
            </w:r>
          </w:p>
          <w:p>
            <w:pPr>
              <w:pStyle w:val="42"/>
              <w:widowControl w:val="0"/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The slot-averaged power for "PDCCH+PUCCH" is the sum of "PDCCH-only" power and "short PUCCH" power.</w:t>
            </w:r>
          </w:p>
          <w:p>
            <w:pPr>
              <w:pStyle w:val="42"/>
              <w:widowControl w:val="0"/>
              <w:spacing w:before="120" w:after="120"/>
              <w:ind w:left="1124" w:leftChars="400"/>
              <w:rPr>
                <w:lang w:val="en-GB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Note: PDCCH-only with cross-slot scheduling scaling is also applicable</w:t>
            </w:r>
          </w:p>
          <w:p>
            <w:pPr>
              <w:pStyle w:val="42"/>
              <w:widowControl w:val="0"/>
              <w:spacing w:before="120" w:after="120"/>
              <w:rPr>
                <w:szCs w:val="21"/>
                <w:lang w:val="en-GB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 xml:space="preserve">Note: it is observed via evaluations (where 0dBm PUCCH Tx power is assumed) that the difference is not significant </w:t>
            </w:r>
          </w:p>
        </w:tc>
      </w:tr>
    </w:tbl>
    <w:p>
      <w:pPr>
        <w:pStyle w:val="39"/>
        <w:spacing w:before="120" w:beforeLines="50" w:after="120"/>
        <w:ind w:left="0"/>
        <w:contextualSpacing w:val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In TR 38.840, </w:t>
      </w:r>
      <w:r>
        <w:rPr>
          <w:rFonts w:eastAsia="宋体"/>
          <w:sz w:val="21"/>
          <w:szCs w:val="21"/>
        </w:rPr>
        <w:t xml:space="preserve">it is assumed that the </w:t>
      </w:r>
      <w:r>
        <w:rPr>
          <w:rFonts w:hint="eastAsia" w:eastAsia="宋体"/>
          <w:sz w:val="21"/>
          <w:szCs w:val="21"/>
        </w:rPr>
        <w:t>power for S slot does not changes with the transmission power.</w:t>
      </w:r>
    </w:p>
    <w:p>
      <w:pPr>
        <w:pStyle w:val="39"/>
        <w:spacing w:before="120" w:beforeLines="50" w:after="120"/>
        <w:ind w:left="0"/>
        <w:contextualSpacing w:val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However, f</w:t>
      </w:r>
      <w:r>
        <w:rPr>
          <w:rFonts w:eastAsia="宋体"/>
          <w:sz w:val="21"/>
          <w:szCs w:val="21"/>
        </w:rPr>
        <w:t xml:space="preserve">or different UE </w:t>
      </w:r>
      <w:r>
        <w:rPr>
          <w:rFonts w:hint="eastAsia" w:eastAsia="宋体"/>
          <w:sz w:val="21"/>
          <w:szCs w:val="21"/>
        </w:rPr>
        <w:t>transmission</w:t>
      </w:r>
      <w:r>
        <w:rPr>
          <w:rFonts w:eastAsia="宋体"/>
          <w:sz w:val="21"/>
          <w:szCs w:val="21"/>
        </w:rPr>
        <w:t xml:space="preserve"> power, the power of short PUCCH </w:t>
      </w:r>
      <w:r>
        <w:rPr>
          <w:rFonts w:hint="eastAsia" w:eastAsia="宋体"/>
          <w:sz w:val="21"/>
          <w:szCs w:val="21"/>
        </w:rPr>
        <w:t>varies</w:t>
      </w:r>
      <w:r>
        <w:rPr>
          <w:rFonts w:eastAsia="宋体"/>
          <w:sz w:val="21"/>
          <w:szCs w:val="21"/>
        </w:rPr>
        <w:t xml:space="preserve"> from 75(@0dBm) to 210(@23dBm)</w:t>
      </w:r>
      <w:r>
        <w:rPr>
          <w:rFonts w:hint="eastAsia" w:eastAsia="宋体"/>
          <w:sz w:val="21"/>
          <w:szCs w:val="21"/>
        </w:rPr>
        <w:t xml:space="preserve"> which may affect the power of S slot</w:t>
      </w:r>
      <w:r>
        <w:rPr>
          <w:rFonts w:eastAsia="宋体"/>
          <w:sz w:val="21"/>
          <w:szCs w:val="21"/>
        </w:rPr>
        <w:t>.</w:t>
      </w:r>
      <w:r>
        <w:rPr>
          <w:rFonts w:hint="eastAsia" w:eastAsia="宋体"/>
          <w:sz w:val="21"/>
          <w:szCs w:val="21"/>
        </w:rPr>
        <w:t xml:space="preserve"> Therefore, the power model for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PDCCH+PDSCH</w:t>
      </w:r>
      <w:r>
        <w:rPr>
          <w:sz w:val="21"/>
          <w:szCs w:val="21"/>
        </w:rPr>
        <w:t>”</w:t>
      </w:r>
      <w:r>
        <w:rPr>
          <w:rFonts w:hint="eastAsia" w:eastAsia="宋体"/>
          <w:sz w:val="21"/>
          <w:szCs w:val="21"/>
        </w:rPr>
        <w:t xml:space="preserve"> and</w:t>
      </w:r>
      <w:r>
        <w:rPr>
          <w:rFonts w:hint="eastAsia"/>
          <w:sz w:val="21"/>
          <w:szCs w:val="21"/>
        </w:rPr>
        <w:t xml:space="preserve"> </w:t>
      </w:r>
      <w:r>
        <w:rPr>
          <w:rFonts w:eastAsia="宋体"/>
          <w:sz w:val="21"/>
          <w:szCs w:val="21"/>
        </w:rPr>
        <w:t>“</w:t>
      </w:r>
      <w:r>
        <w:rPr>
          <w:sz w:val="21"/>
          <w:szCs w:val="21"/>
        </w:rPr>
        <w:t>PDCCH+PDSCH+PUCCH</w:t>
      </w:r>
      <w:r>
        <w:rPr>
          <w:rFonts w:eastAsia="宋体"/>
          <w:sz w:val="21"/>
          <w:szCs w:val="21"/>
        </w:rPr>
        <w:t>”</w:t>
      </w:r>
      <w:r>
        <w:rPr>
          <w:rFonts w:hint="eastAsia" w:eastAsia="宋体"/>
          <w:sz w:val="21"/>
          <w:szCs w:val="21"/>
        </w:rPr>
        <w:t xml:space="preserve"> have two options listed below:</w:t>
      </w:r>
    </w:p>
    <w:p>
      <w:pPr>
        <w:pStyle w:val="39"/>
        <w:numPr>
          <w:ilvl w:val="0"/>
          <w:numId w:val="12"/>
        </w:numPr>
        <w:spacing w:before="120" w:beforeLines="50" w:after="120"/>
        <w:ind w:left="357" w:hanging="357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Option 1: Always use the power of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PDCCH+PDSCH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 xml:space="preserve"> as t</w:t>
      </w:r>
      <w:r>
        <w:rPr>
          <w:sz w:val="21"/>
          <w:szCs w:val="21"/>
        </w:rPr>
        <w:t xml:space="preserve">he power </w:t>
      </w:r>
      <w:r>
        <w:rPr>
          <w:rFonts w:hint="eastAsia"/>
          <w:sz w:val="21"/>
          <w:szCs w:val="21"/>
        </w:rPr>
        <w:t xml:space="preserve">of </w:t>
      </w:r>
      <w:r>
        <w:rPr>
          <w:sz w:val="21"/>
          <w:szCs w:val="21"/>
        </w:rPr>
        <w:t>"PDCCH+PDSCH+PUCCH"</w:t>
      </w:r>
      <w:r>
        <w:rPr>
          <w:rFonts w:hint="eastAsia"/>
          <w:sz w:val="21"/>
          <w:szCs w:val="21"/>
        </w:rPr>
        <w:t xml:space="preserve"> and use the power of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PDSCH-only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 xml:space="preserve"> as the power of "PDSCH+PUCCH.</w:t>
      </w:r>
    </w:p>
    <w:p>
      <w:pPr>
        <w:pStyle w:val="39"/>
        <w:numPr>
          <w:ilvl w:val="0"/>
          <w:numId w:val="12"/>
        </w:numPr>
        <w:spacing w:before="120" w:beforeLines="50" w:after="120"/>
        <w:ind w:left="357" w:hanging="357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Option 2: The power of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</w:t>
      </w:r>
      <w:r>
        <w:rPr>
          <w:sz w:val="21"/>
          <w:szCs w:val="21"/>
        </w:rPr>
        <w:t>DSCH+PUCCH”</w:t>
      </w:r>
      <w:r>
        <w:rPr>
          <w:rFonts w:hint="eastAsia"/>
          <w:sz w:val="21"/>
          <w:szCs w:val="21"/>
        </w:rPr>
        <w:t xml:space="preserve"> and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PDCCH+PDSCH+PUCCH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 xml:space="preserve"> is different at different transmission power. </w:t>
      </w:r>
    </w:p>
    <w:p>
      <w:pPr>
        <w:pStyle w:val="39"/>
        <w:spacing w:before="120" w:beforeLines="50" w:after="120"/>
        <w:ind w:left="0"/>
        <w:contextualSpacing w:val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For option 2, the detail</w:t>
      </w:r>
      <w:r>
        <w:rPr>
          <w:rFonts w:eastAsia="宋体"/>
          <w:sz w:val="21"/>
          <w:szCs w:val="21"/>
        </w:rPr>
        <w:t>s</w:t>
      </w:r>
      <w:r>
        <w:rPr>
          <w:rFonts w:hint="eastAsia" w:eastAsia="宋体"/>
          <w:sz w:val="21"/>
          <w:szCs w:val="21"/>
        </w:rPr>
        <w:t xml:space="preserve"> of how to calculate the power at different transmission power may also be different. Some company may use linear function while others may instead use step function</w:t>
      </w:r>
      <w:r>
        <w:rPr>
          <w:rFonts w:eastAsia="宋体"/>
          <w:sz w:val="21"/>
          <w:szCs w:val="21"/>
        </w:rPr>
        <w:t xml:space="preserve"> </w:t>
      </w:r>
      <w:r>
        <w:rPr>
          <w:rFonts w:hint="eastAsia" w:eastAsia="宋体"/>
          <w:sz w:val="21"/>
          <w:szCs w:val="21"/>
        </w:rPr>
        <w:t>(e.g., only two power state</w:t>
      </w:r>
      <w:r>
        <w:rPr>
          <w:rFonts w:eastAsia="宋体"/>
          <w:sz w:val="21"/>
          <w:szCs w:val="21"/>
        </w:rPr>
        <w:t>s</w:t>
      </w:r>
      <w:r>
        <w:rPr>
          <w:rFonts w:hint="eastAsia" w:eastAsia="宋体"/>
          <w:sz w:val="21"/>
          <w:szCs w:val="21"/>
        </w:rPr>
        <w:t>). Different power model</w:t>
      </w:r>
      <w:r>
        <w:rPr>
          <w:rFonts w:eastAsia="宋体"/>
          <w:sz w:val="21"/>
          <w:szCs w:val="21"/>
        </w:rPr>
        <w:t>s</w:t>
      </w:r>
      <w:r>
        <w:rPr>
          <w:rFonts w:hint="eastAsia" w:eastAsia="宋体"/>
          <w:sz w:val="21"/>
          <w:szCs w:val="21"/>
        </w:rPr>
        <w:t xml:space="preserve"> may result in different power consumption.</w:t>
      </w:r>
    </w:p>
    <w:p>
      <w:pPr>
        <w:pStyle w:val="39"/>
        <w:spacing w:before="120" w:beforeLines="50" w:after="120"/>
        <w:ind w:left="0"/>
        <w:contextualSpacing w:val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In addition to the power state of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</w:t>
      </w:r>
      <w:r>
        <w:rPr>
          <w:sz w:val="21"/>
          <w:szCs w:val="21"/>
        </w:rPr>
        <w:t>DSCH+PUCCH”</w:t>
      </w:r>
      <w:r>
        <w:rPr>
          <w:rFonts w:hint="eastAsia"/>
          <w:sz w:val="21"/>
          <w:szCs w:val="21"/>
        </w:rPr>
        <w:t xml:space="preserve"> and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PDCCH+PDSCH+PUCCH</w:t>
      </w:r>
      <w:r>
        <w:rPr>
          <w:sz w:val="21"/>
          <w:szCs w:val="21"/>
        </w:rPr>
        <w:t>”</w:t>
      </w:r>
      <w:r>
        <w:rPr>
          <w:rFonts w:hint="eastAsia" w:eastAsia="宋体"/>
          <w:sz w:val="21"/>
          <w:szCs w:val="21"/>
        </w:rPr>
        <w:t xml:space="preserve">, power of </w:t>
      </w:r>
      <w:r>
        <w:rPr>
          <w:rFonts w:eastAsia="宋体"/>
          <w:sz w:val="21"/>
          <w:szCs w:val="21"/>
        </w:rPr>
        <w:t>“PDCCH+PDSCH+PUSCH”, “PDSCH+PUSCH” and “PDCCH+PUSCH” should</w:t>
      </w:r>
      <w:r>
        <w:rPr>
          <w:rFonts w:hint="eastAsia" w:eastAsia="宋体"/>
          <w:sz w:val="21"/>
          <w:szCs w:val="21"/>
        </w:rPr>
        <w:t xml:space="preserve"> also</w:t>
      </w:r>
      <w:r>
        <w:rPr>
          <w:rFonts w:eastAsia="宋体"/>
          <w:sz w:val="21"/>
          <w:szCs w:val="21"/>
        </w:rPr>
        <w:t xml:space="preserve"> be considered</w:t>
      </w:r>
      <w:r>
        <w:rPr>
          <w:rFonts w:hint="eastAsia" w:eastAsia="宋体"/>
          <w:sz w:val="21"/>
          <w:szCs w:val="21"/>
        </w:rPr>
        <w:t xml:space="preserve"> since the pose/control packet is 100bytes and may be scheduled in S slot. T</w:t>
      </w:r>
      <w:r>
        <w:rPr>
          <w:rFonts w:eastAsia="宋体"/>
          <w:sz w:val="21"/>
          <w:szCs w:val="21"/>
        </w:rPr>
        <w:t>he following two methods can be considered:</w:t>
      </w:r>
    </w:p>
    <w:p>
      <w:pPr>
        <w:pStyle w:val="39"/>
        <w:numPr>
          <w:ilvl w:val="0"/>
          <w:numId w:val="12"/>
        </w:numPr>
        <w:spacing w:before="120" w:beforeLines="50" w:after="120"/>
        <w:ind w:left="357" w:hanging="357"/>
        <w:rPr>
          <w:sz w:val="21"/>
          <w:szCs w:val="21"/>
        </w:rPr>
      </w:pPr>
      <w:r>
        <w:rPr>
          <w:sz w:val="21"/>
          <w:szCs w:val="21"/>
        </w:rPr>
        <w:t>Method 1: The power of “PDCCH+PDSCH+PUSCH”, “PDSCH+PUSCH” and “PDCCH+PUSCH” can be same as the power of “PDCCH+PDSCH+PUCCH”, “PDSCH+PUCCH” and “PDCCH+PUCCH” respectively.</w:t>
      </w:r>
    </w:p>
    <w:p>
      <w:pPr>
        <w:pStyle w:val="39"/>
        <w:numPr>
          <w:ilvl w:val="0"/>
          <w:numId w:val="12"/>
        </w:numPr>
        <w:spacing w:before="120" w:beforeLines="50" w:after="120"/>
        <w:ind w:left="357" w:hanging="357"/>
        <w:rPr>
          <w:rFonts w:eastAsia="宋体"/>
          <w:sz w:val="21"/>
          <w:szCs w:val="21"/>
        </w:rPr>
      </w:pPr>
      <w:r>
        <w:rPr>
          <w:sz w:val="21"/>
          <w:szCs w:val="21"/>
        </w:rPr>
        <w:t>Method 2: The power of “PDCCH+PDSCH+PUSCH”, “PDSCH+PUSCH” and “PDCCH+PUSCH” is the sum of corresponding DL power consumption and PUSCH power consumption. For example, the power value of “PDCCH+PUSCH” is equal to the sum of power of “PDCCH-only” and power of “PUSCH”.</w:t>
      </w:r>
    </w:p>
    <w:p>
      <w:pPr>
        <w:pStyle w:val="39"/>
        <w:spacing w:before="120" w:beforeLines="50" w:after="120"/>
        <w:ind w:left="0"/>
        <w:contextualSpacing w:val="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However, considering the limit TU for XR, the power model for S slot can be reported by company.</w:t>
      </w:r>
    </w:p>
    <w:p>
      <w:pPr>
        <w:pStyle w:val="33"/>
        <w:spacing w:before="120" w:after="120"/>
        <w:rPr>
          <w:lang w:val="en-US" w:eastAsia="zh-CN"/>
        </w:rPr>
      </w:pPr>
      <w:bookmarkStart w:id="27" w:name="_Toc10024"/>
      <w:r>
        <w:rPr>
          <w:rFonts w:hint="eastAsia"/>
          <w:lang w:val="en-US" w:eastAsia="zh-CN"/>
        </w:rPr>
        <w:t>Companies should report the detailed power model for S slot.</w:t>
      </w:r>
      <w:bookmarkEnd w:id="27"/>
    </w:p>
    <w:p>
      <w:pPr>
        <w:pStyle w:val="2"/>
        <w:spacing w:before="120" w:after="120"/>
        <w:ind w:left="0"/>
        <w:rPr>
          <w:rFonts w:eastAsia="宋体"/>
        </w:rPr>
      </w:pPr>
      <w:bookmarkStart w:id="28" w:name="_Toc29089"/>
      <w:bookmarkEnd w:id="28"/>
      <w:bookmarkStart w:id="29" w:name="_Toc82"/>
      <w:bookmarkEnd w:id="29"/>
      <w:bookmarkStart w:id="30" w:name="_Toc525"/>
      <w:bookmarkEnd w:id="30"/>
      <w:bookmarkStart w:id="31" w:name="_Toc29400"/>
      <w:bookmarkEnd w:id="31"/>
      <w:r>
        <w:rPr>
          <w:rFonts w:hint="eastAsia" w:eastAsia="宋体"/>
        </w:rPr>
        <w:t>Conclusion</w:t>
      </w:r>
    </w:p>
    <w:p>
      <w:pPr>
        <w:spacing w:before="120" w:after="120"/>
      </w:pPr>
      <w:r>
        <w:rPr>
          <w:rFonts w:hint="eastAsia"/>
          <w:sz w:val="20"/>
        </w:rPr>
        <w:t>According to the discussion above, we prefer to discuss/adopt the following proposals:</w:t>
      </w:r>
      <w:r>
        <w:fldChar w:fldCharType="begin"/>
      </w:r>
      <w:r>
        <w:instrText xml:space="preserve"> HYPERLINK \l "_Toc15499" </w:instrText>
      </w:r>
      <w:r>
        <w:fldChar w:fldCharType="separate"/>
      </w:r>
      <w: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TOC \n  \t "YJ-Proposal,1,sub-proposal,2,3rd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"_Toc19152" </w:instrText>
      </w:r>
      <w:r>
        <w:fldChar w:fldCharType="separate"/>
      </w:r>
      <w:r>
        <w:rPr>
          <w:rFonts w:eastAsia="宋体"/>
        </w:rPr>
        <w:t xml:space="preserve">Proposal 1: </w:t>
      </w:r>
      <w:r>
        <w:rPr>
          <w:rFonts w:hint="eastAsia"/>
        </w:rPr>
        <w:t>RAN1 should not directly compare capacity results for cases with two-stream modelling and those for cases with single stream modelling.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"_Toc12499" </w:instrText>
      </w:r>
      <w:r>
        <w:fldChar w:fldCharType="separate"/>
      </w:r>
      <w:r>
        <w:rPr>
          <w:rFonts w:eastAsia="宋体"/>
        </w:rPr>
        <w:t xml:space="preserve">Proposal 2: </w:t>
      </w:r>
      <w:r>
        <w:rPr>
          <w:rFonts w:hint="eastAsia" w:eastAsia="宋体"/>
        </w:rPr>
        <w:t>Further discuss in RAN1 the parameters of FoV and non-FoV stream modeling for DL 360°video stream with parameters in Table 1 as a starting point.</w:t>
      </w:r>
      <w:r>
        <w:rPr>
          <w:rFonts w:hint="eastAsia" w:eastAsia="宋体"/>
        </w:rPr>
        <w:fldChar w:fldCharType="end"/>
      </w:r>
    </w:p>
    <w:p>
      <w:pPr>
        <w:spacing w:before="120" w:after="120"/>
        <w:jc w:val="center"/>
        <w:rPr>
          <w:b/>
          <w:bCs/>
          <w:i/>
          <w:iCs/>
          <w:sz w:val="20"/>
        </w:rPr>
      </w:pPr>
      <w:r>
        <w:rPr>
          <w:rFonts w:hint="eastAsia"/>
          <w:b/>
          <w:bCs/>
          <w:i/>
          <w:iCs/>
          <w:sz w:val="20"/>
        </w:rPr>
        <w:t>Table 1 Initial Parameters of FoV and non-FoV stream modeling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1"/>
        <w:gridCol w:w="3292"/>
        <w:gridCol w:w="3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Application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VR1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restart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Two Stream Data</w:t>
            </w:r>
          </w:p>
        </w:tc>
        <w:tc>
          <w:tcPr>
            <w:tcW w:w="6388" w:type="dxa"/>
            <w:gridSpan w:val="2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FoV stream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Non-FoV stream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Merge w:val="continue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Option 1: sliced based traffic model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Option 2: Two separate streams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Structure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 frame consists of: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 (18 tiles)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1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A Group of Tiles consist of:</w:t>
            </w:r>
            <w:r>
              <w:rPr>
                <w:rFonts w:hint="eastAsia"/>
                <w:b/>
                <w:bCs/>
                <w:i/>
                <w:iCs/>
                <w:sz w:val="20"/>
              </w:rPr>
              <w:br w:type="textWrapping"/>
            </w:r>
            <w:r>
              <w:rPr>
                <w:rFonts w:hint="eastAsia"/>
                <w:b/>
                <w:bCs/>
                <w:i/>
                <w:iCs/>
                <w:sz w:val="20"/>
              </w:rPr>
              <w:t xml:space="preserve">Stream #1: 18 tiles 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Frame Per Second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30FPS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30FPS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540 tiles per second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30FPS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Data Rate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12.78 Mbps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8Mbps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12.78Mbps (the aggregated data rate of the 18 tiles within a group of tiles)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8Mbps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1" w:type="dxa"/>
            <w:vAlign w:val="center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(PSR, PDB)</w:t>
            </w:r>
          </w:p>
        </w:tc>
        <w:tc>
          <w:tcPr>
            <w:tcW w:w="3292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(99%, 20ms)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(90%, 20ms)</w:t>
            </w:r>
          </w:p>
        </w:tc>
        <w:tc>
          <w:tcPr>
            <w:tcW w:w="3096" w:type="dxa"/>
          </w:tcPr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#1: (99%, 10ms)</w:t>
            </w:r>
          </w:p>
          <w:p>
            <w:pPr>
              <w:widowControl w:val="0"/>
              <w:spacing w:before="120" w:after="12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Stream #2: (90%, 10ms)</w:t>
            </w:r>
          </w:p>
        </w:tc>
      </w:tr>
    </w:tbl>
    <w:p>
      <w:pPr>
        <w:spacing w:before="120" w:after="120"/>
      </w:pP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"_Toc12560" </w:instrText>
      </w:r>
      <w:r>
        <w:fldChar w:fldCharType="separate"/>
      </w:r>
      <w:r>
        <w:rPr>
          <w:rFonts w:eastAsia="宋体"/>
        </w:rPr>
        <w:t xml:space="preserve">Proposal 3: </w:t>
      </w:r>
      <w:r>
        <w:t xml:space="preserve">For XR/CG </w:t>
      </w:r>
      <w:r>
        <w:rPr>
          <w:rFonts w:hint="eastAsia"/>
        </w:rPr>
        <w:t xml:space="preserve">power consumption </w:t>
      </w:r>
      <w:r>
        <w:t>evaluation, when DL and UL performances are evaluated independently</w:t>
      </w:r>
      <w:r>
        <w:rPr>
          <w:rFonts w:hint="eastAsia"/>
        </w:rPr>
        <w:t>, overall power consumption can be determined according to the following steps: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"_Toc11423" </w:instrText>
      </w:r>
      <w:r>
        <w:fldChar w:fldCharType="separate"/>
      </w:r>
      <w:r>
        <w:t xml:space="preserve">1) </w:t>
      </w:r>
      <w:r>
        <w:rPr>
          <w:rFonts w:hint="eastAsia"/>
        </w:rPr>
        <w:t>Collecting DL and UL slot states respectively;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"_Toc461" </w:instrText>
      </w:r>
      <w:r>
        <w:fldChar w:fldCharType="separate"/>
      </w:r>
      <w:r>
        <w:t xml:space="preserve">2) </w:t>
      </w:r>
      <w:r>
        <w:rPr>
          <w:rFonts w:hint="eastAsia"/>
        </w:rPr>
        <w:t>Recombining these slot states in a single timeline;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"_Toc13476" </w:instrText>
      </w:r>
      <w:r>
        <w:fldChar w:fldCharType="separate"/>
      </w:r>
      <w:r>
        <w:t xml:space="preserve">3) </w:t>
      </w:r>
      <w:r>
        <w:rPr>
          <w:rFonts w:hint="eastAsia"/>
        </w:rPr>
        <w:t>Calculating overall power consumption according to the recombined timeline.</w:t>
      </w:r>
      <w:r>
        <w:rPr>
          <w:rFonts w:hint="eastAsia"/>
        </w:rPr>
        <w:fldChar w:fldCharType="end"/>
      </w:r>
    </w:p>
    <w:p>
      <w:pPr>
        <w:pStyle w:val="21"/>
        <w:tabs>
          <w:tab w:val="right" w:leader="dot" w:pos="9660"/>
          <w:tab w:val="clear" w:pos="0"/>
        </w:tabs>
        <w:spacing w:before="120" w:after="120"/>
      </w:pPr>
      <w:r>
        <w:fldChar w:fldCharType="begin"/>
      </w:r>
      <w:r>
        <w:instrText xml:space="preserve"> HYPERLINK \l "_Toc10024" </w:instrText>
      </w:r>
      <w:r>
        <w:fldChar w:fldCharType="separate"/>
      </w:r>
      <w:r>
        <w:rPr>
          <w:rFonts w:eastAsia="宋体"/>
        </w:rPr>
        <w:t xml:space="preserve">Proposal 4: </w:t>
      </w:r>
      <w:r>
        <w:rPr>
          <w:rFonts w:hint="eastAsia"/>
        </w:rPr>
        <w:t>Companies should report the detailed power model for S slot.</w:t>
      </w:r>
      <w:r>
        <w:rPr>
          <w:rFonts w:hint="eastAsia"/>
        </w:rPr>
        <w:fldChar w:fldCharType="end"/>
      </w:r>
    </w:p>
    <w:p>
      <w:pPr>
        <w:spacing w:before="120" w:after="120"/>
        <w:jc w:val="center"/>
      </w:pPr>
      <w:r>
        <w:fldChar w:fldCharType="end"/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  <w:bookmarkStart w:id="32" w:name="_Ref8297"/>
    </w:p>
    <w:p>
      <w:pPr>
        <w:pStyle w:val="38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“</w:t>
      </w:r>
      <w:r>
        <w:rPr>
          <w:sz w:val="20"/>
        </w:rPr>
        <w:t>Draft Report of 3GPP TSG RAN WG1 #106-e v0.2.0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, 3GPP TSG RAN WG1 Meeting #106-e</w:t>
      </w:r>
    </w:p>
    <w:bookmarkEnd w:id="32"/>
    <w:p>
      <w:pPr>
        <w:pStyle w:val="38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RAN1 Chairman’s Notes</w:t>
      </w:r>
      <w:r>
        <w:rPr>
          <w:rFonts w:hint="eastAsia"/>
          <w:sz w:val="20"/>
          <w:szCs w:val="20"/>
        </w:rPr>
        <w:t>, 3GPP TSG RAN WG1 Meeting #104-e-Meeting, January 25th – February 5th, 2021.</w:t>
      </w:r>
    </w:p>
    <w:p>
      <w:pPr>
        <w:pStyle w:val="38"/>
        <w:spacing w:before="120" w:after="120"/>
      </w:pPr>
      <w:r>
        <w:rPr>
          <w:sz w:val="20"/>
          <w:szCs w:val="20"/>
          <w:lang w:val="de-DE"/>
        </w:rPr>
        <w:t>S4aV200614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“Proposed</w:t>
      </w:r>
      <w:bookmarkStart w:id="33" w:name="OLE_LINK1"/>
      <w:r>
        <w:rPr>
          <w:sz w:val="20"/>
          <w:szCs w:val="20"/>
        </w:rPr>
        <w:t xml:space="preserve"> Updated Modeling for Viewport Dependent 3DoF Streaming</w:t>
      </w:r>
      <w:bookmarkEnd w:id="33"/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, Huawei, HiSilicon, 3GPP SA4-Post-111e, 22 December 2021.</w:t>
      </w:r>
    </w:p>
    <w:p>
      <w:pPr>
        <w:pStyle w:val="38"/>
        <w:spacing w:before="120" w:after="120"/>
        <w:rPr>
          <w:sz w:val="20"/>
          <w:szCs w:val="20"/>
        </w:rPr>
      </w:pPr>
      <w:r>
        <w:rPr>
          <w:rFonts w:hint="eastAsia"/>
        </w:rPr>
        <w:t>R1-210652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, </w:t>
      </w:r>
      <w:r>
        <w:t>“On Capacity and Power Working Areas for XR”</w:t>
      </w:r>
      <w:r>
        <w:rPr>
          <w:rFonts w:hint="eastAsia"/>
        </w:rPr>
        <w:t xml:space="preserve">, </w:t>
      </w:r>
      <w:r>
        <w:rPr>
          <w:rFonts w:hint="eastAsia"/>
          <w:sz w:val="20"/>
          <w:szCs w:val="20"/>
        </w:rPr>
        <w:t>3GPP TSG RAN WG1 #106-e e-Meeting, August 16th–27th, 2021</w:t>
      </w:r>
    </w:p>
    <w:p>
      <w:pPr>
        <w:pStyle w:val="38"/>
        <w:numPr>
          <w:ilvl w:val="0"/>
          <w:numId w:val="0"/>
        </w:numPr>
        <w:spacing w:before="120" w:after="120"/>
        <w:rPr>
          <w:sz w:val="20"/>
          <w:szCs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  <w:r>
      <w:pict>
        <v:shape id="文本框 1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AtvVKfFgIAABUEAAAOAAAAAAAA&#10;AAEAIAAAAB8BAABkcnMvZTJvRG9jLnhtbFBLBQYAAAAABgAGAFkBAACn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9"/>
                  <w:spacing w:before="120" w:after="1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FAC82D"/>
    <w:multiLevelType w:val="singleLevel"/>
    <w:tmpl w:val="9FFAC82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15F0BA4"/>
    <w:multiLevelType w:val="singleLevel"/>
    <w:tmpl w:val="B15F0BA4"/>
    <w:lvl w:ilvl="0" w:tentative="0">
      <w:start w:val="1"/>
      <w:numFmt w:val="bullet"/>
      <w:pStyle w:val="36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3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D467ACFE"/>
    <w:multiLevelType w:val="singleLevel"/>
    <w:tmpl w:val="D467ACFE"/>
    <w:lvl w:ilvl="0" w:tentative="0">
      <w:start w:val="1"/>
      <w:numFmt w:val="bullet"/>
      <w:pStyle w:val="34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7655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15C008CA"/>
    <w:multiLevelType w:val="multilevel"/>
    <w:tmpl w:val="15C008CA"/>
    <w:lvl w:ilvl="0" w:tentative="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DC5F1A8"/>
    <w:multiLevelType w:val="singleLevel"/>
    <w:tmpl w:val="2DC5F1A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39D30C8"/>
    <w:multiLevelType w:val="multilevel"/>
    <w:tmpl w:val="439D30C8"/>
    <w:lvl w:ilvl="0" w:tentative="0">
      <w:start w:val="1"/>
      <w:numFmt w:val="bullet"/>
      <w:lvlText w:val="•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08BE803"/>
    <w:multiLevelType w:val="singleLevel"/>
    <w:tmpl w:val="508BE803"/>
    <w:lvl w:ilvl="0" w:tentative="0">
      <w:start w:val="1"/>
      <w:numFmt w:val="bullet"/>
      <w:pStyle w:val="37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1">
    <w:nsid w:val="61221B23"/>
    <w:multiLevelType w:val="multilevel"/>
    <w:tmpl w:val="61221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867"/>
    <w:rsid w:val="00001E2E"/>
    <w:rsid w:val="000155E2"/>
    <w:rsid w:val="00022FBA"/>
    <w:rsid w:val="00037CD0"/>
    <w:rsid w:val="00042409"/>
    <w:rsid w:val="000478CF"/>
    <w:rsid w:val="000616B8"/>
    <w:rsid w:val="00090CDA"/>
    <w:rsid w:val="00094E69"/>
    <w:rsid w:val="000956F8"/>
    <w:rsid w:val="00096873"/>
    <w:rsid w:val="000A7037"/>
    <w:rsid w:val="000A7BC9"/>
    <w:rsid w:val="000B3D59"/>
    <w:rsid w:val="000B7A17"/>
    <w:rsid w:val="000E66AD"/>
    <w:rsid w:val="001000CD"/>
    <w:rsid w:val="00124864"/>
    <w:rsid w:val="00130E12"/>
    <w:rsid w:val="00134924"/>
    <w:rsid w:val="00162836"/>
    <w:rsid w:val="00170B41"/>
    <w:rsid w:val="0017268C"/>
    <w:rsid w:val="00172A27"/>
    <w:rsid w:val="00173CD3"/>
    <w:rsid w:val="00193110"/>
    <w:rsid w:val="001B35BE"/>
    <w:rsid w:val="001B6041"/>
    <w:rsid w:val="001C3353"/>
    <w:rsid w:val="001C3B5E"/>
    <w:rsid w:val="001D0C3E"/>
    <w:rsid w:val="001E261A"/>
    <w:rsid w:val="001E6919"/>
    <w:rsid w:val="001F2324"/>
    <w:rsid w:val="001F2B20"/>
    <w:rsid w:val="001F32EF"/>
    <w:rsid w:val="001F4524"/>
    <w:rsid w:val="002011E8"/>
    <w:rsid w:val="0020121C"/>
    <w:rsid w:val="00203969"/>
    <w:rsid w:val="00204F9F"/>
    <w:rsid w:val="00205AE4"/>
    <w:rsid w:val="00215976"/>
    <w:rsid w:val="0022282F"/>
    <w:rsid w:val="002238B2"/>
    <w:rsid w:val="00225ADA"/>
    <w:rsid w:val="00232041"/>
    <w:rsid w:val="00237597"/>
    <w:rsid w:val="0024001C"/>
    <w:rsid w:val="00242FA9"/>
    <w:rsid w:val="0024586A"/>
    <w:rsid w:val="002574B6"/>
    <w:rsid w:val="00261FD5"/>
    <w:rsid w:val="0028199D"/>
    <w:rsid w:val="00281C59"/>
    <w:rsid w:val="002A2145"/>
    <w:rsid w:val="002A629D"/>
    <w:rsid w:val="002A6E80"/>
    <w:rsid w:val="002B05E0"/>
    <w:rsid w:val="002E0FC7"/>
    <w:rsid w:val="002E3A24"/>
    <w:rsid w:val="002F567C"/>
    <w:rsid w:val="00301943"/>
    <w:rsid w:val="00302FD5"/>
    <w:rsid w:val="00306C6B"/>
    <w:rsid w:val="00311100"/>
    <w:rsid w:val="003238F4"/>
    <w:rsid w:val="003250C8"/>
    <w:rsid w:val="00337279"/>
    <w:rsid w:val="003378DD"/>
    <w:rsid w:val="00345AA1"/>
    <w:rsid w:val="003476B8"/>
    <w:rsid w:val="00386E50"/>
    <w:rsid w:val="003928E2"/>
    <w:rsid w:val="00395298"/>
    <w:rsid w:val="003B2AC7"/>
    <w:rsid w:val="003B360F"/>
    <w:rsid w:val="003C488E"/>
    <w:rsid w:val="003D1B1F"/>
    <w:rsid w:val="003D219B"/>
    <w:rsid w:val="003D4F9F"/>
    <w:rsid w:val="003E71E1"/>
    <w:rsid w:val="00416719"/>
    <w:rsid w:val="004203F1"/>
    <w:rsid w:val="00431203"/>
    <w:rsid w:val="00453E17"/>
    <w:rsid w:val="004540B5"/>
    <w:rsid w:val="004565A3"/>
    <w:rsid w:val="00467F93"/>
    <w:rsid w:val="00476732"/>
    <w:rsid w:val="0048360E"/>
    <w:rsid w:val="00487FBB"/>
    <w:rsid w:val="00493B27"/>
    <w:rsid w:val="004A27F0"/>
    <w:rsid w:val="004A574E"/>
    <w:rsid w:val="004C4258"/>
    <w:rsid w:val="004C78CF"/>
    <w:rsid w:val="004D39B8"/>
    <w:rsid w:val="004F6ECA"/>
    <w:rsid w:val="0053440F"/>
    <w:rsid w:val="00555818"/>
    <w:rsid w:val="00565642"/>
    <w:rsid w:val="0057488B"/>
    <w:rsid w:val="00580A44"/>
    <w:rsid w:val="0058763A"/>
    <w:rsid w:val="0058778F"/>
    <w:rsid w:val="00587C57"/>
    <w:rsid w:val="005920E9"/>
    <w:rsid w:val="005A64BC"/>
    <w:rsid w:val="005B065E"/>
    <w:rsid w:val="005B645B"/>
    <w:rsid w:val="005D0046"/>
    <w:rsid w:val="005F0926"/>
    <w:rsid w:val="005F1663"/>
    <w:rsid w:val="005F6103"/>
    <w:rsid w:val="005F6886"/>
    <w:rsid w:val="0060609A"/>
    <w:rsid w:val="0062143D"/>
    <w:rsid w:val="00634D92"/>
    <w:rsid w:val="006366EE"/>
    <w:rsid w:val="00636D76"/>
    <w:rsid w:val="006413A6"/>
    <w:rsid w:val="0065762F"/>
    <w:rsid w:val="00675E14"/>
    <w:rsid w:val="00680ABA"/>
    <w:rsid w:val="00686F7A"/>
    <w:rsid w:val="00687825"/>
    <w:rsid w:val="00690BA1"/>
    <w:rsid w:val="006A5066"/>
    <w:rsid w:val="006B4A91"/>
    <w:rsid w:val="006B4D9F"/>
    <w:rsid w:val="006E437C"/>
    <w:rsid w:val="006F3E2A"/>
    <w:rsid w:val="0070331C"/>
    <w:rsid w:val="007158E0"/>
    <w:rsid w:val="00721E69"/>
    <w:rsid w:val="0073658B"/>
    <w:rsid w:val="007424A1"/>
    <w:rsid w:val="007560FF"/>
    <w:rsid w:val="007573B3"/>
    <w:rsid w:val="007A2399"/>
    <w:rsid w:val="007A49C8"/>
    <w:rsid w:val="007A6511"/>
    <w:rsid w:val="007A7B71"/>
    <w:rsid w:val="007B0523"/>
    <w:rsid w:val="007D47D9"/>
    <w:rsid w:val="007E7840"/>
    <w:rsid w:val="00820583"/>
    <w:rsid w:val="00825312"/>
    <w:rsid w:val="008264E9"/>
    <w:rsid w:val="0083791E"/>
    <w:rsid w:val="00840EAA"/>
    <w:rsid w:val="008439CD"/>
    <w:rsid w:val="008440B1"/>
    <w:rsid w:val="008516E9"/>
    <w:rsid w:val="0086079D"/>
    <w:rsid w:val="00870BAC"/>
    <w:rsid w:val="00881D27"/>
    <w:rsid w:val="00894F59"/>
    <w:rsid w:val="00894F9D"/>
    <w:rsid w:val="008A584C"/>
    <w:rsid w:val="008A7EDE"/>
    <w:rsid w:val="008B0032"/>
    <w:rsid w:val="008B6250"/>
    <w:rsid w:val="008B6A42"/>
    <w:rsid w:val="008D7D9D"/>
    <w:rsid w:val="008E5504"/>
    <w:rsid w:val="009045C0"/>
    <w:rsid w:val="009133E2"/>
    <w:rsid w:val="00913E68"/>
    <w:rsid w:val="00916334"/>
    <w:rsid w:val="00930318"/>
    <w:rsid w:val="00930BD3"/>
    <w:rsid w:val="00933E75"/>
    <w:rsid w:val="00934F15"/>
    <w:rsid w:val="00940C8C"/>
    <w:rsid w:val="00946C6A"/>
    <w:rsid w:val="00953270"/>
    <w:rsid w:val="0096044C"/>
    <w:rsid w:val="00972331"/>
    <w:rsid w:val="00976662"/>
    <w:rsid w:val="00986DC8"/>
    <w:rsid w:val="00995CA1"/>
    <w:rsid w:val="009D0D2E"/>
    <w:rsid w:val="009E4AB3"/>
    <w:rsid w:val="009F7D3E"/>
    <w:rsid w:val="00A13C04"/>
    <w:rsid w:val="00A15F6F"/>
    <w:rsid w:val="00A3398B"/>
    <w:rsid w:val="00A4612F"/>
    <w:rsid w:val="00A76CAC"/>
    <w:rsid w:val="00A81244"/>
    <w:rsid w:val="00A91320"/>
    <w:rsid w:val="00A969BE"/>
    <w:rsid w:val="00AA1348"/>
    <w:rsid w:val="00AB2C1D"/>
    <w:rsid w:val="00AB65F3"/>
    <w:rsid w:val="00AD289C"/>
    <w:rsid w:val="00AE383A"/>
    <w:rsid w:val="00AF6DA1"/>
    <w:rsid w:val="00B04951"/>
    <w:rsid w:val="00B057EA"/>
    <w:rsid w:val="00B35029"/>
    <w:rsid w:val="00B37B72"/>
    <w:rsid w:val="00B44A6B"/>
    <w:rsid w:val="00B546FB"/>
    <w:rsid w:val="00B63E16"/>
    <w:rsid w:val="00B701EA"/>
    <w:rsid w:val="00B8520E"/>
    <w:rsid w:val="00B954C9"/>
    <w:rsid w:val="00BA08B5"/>
    <w:rsid w:val="00BB1DAD"/>
    <w:rsid w:val="00BC30A9"/>
    <w:rsid w:val="00BC7072"/>
    <w:rsid w:val="00BD6F00"/>
    <w:rsid w:val="00BE0C04"/>
    <w:rsid w:val="00BE1658"/>
    <w:rsid w:val="00BF4A74"/>
    <w:rsid w:val="00BF548F"/>
    <w:rsid w:val="00C05B6A"/>
    <w:rsid w:val="00C10096"/>
    <w:rsid w:val="00C12897"/>
    <w:rsid w:val="00C150A8"/>
    <w:rsid w:val="00C21D05"/>
    <w:rsid w:val="00C30ED5"/>
    <w:rsid w:val="00C31B33"/>
    <w:rsid w:val="00C5011E"/>
    <w:rsid w:val="00C51BA2"/>
    <w:rsid w:val="00C63FBB"/>
    <w:rsid w:val="00C64BB5"/>
    <w:rsid w:val="00C727C5"/>
    <w:rsid w:val="00C76B8D"/>
    <w:rsid w:val="00C92BFB"/>
    <w:rsid w:val="00CA2CF1"/>
    <w:rsid w:val="00CB6321"/>
    <w:rsid w:val="00CE22C7"/>
    <w:rsid w:val="00CF0F02"/>
    <w:rsid w:val="00D0103B"/>
    <w:rsid w:val="00D01ADA"/>
    <w:rsid w:val="00D137EF"/>
    <w:rsid w:val="00D13AEE"/>
    <w:rsid w:val="00D16816"/>
    <w:rsid w:val="00D333CA"/>
    <w:rsid w:val="00D3503B"/>
    <w:rsid w:val="00D421A3"/>
    <w:rsid w:val="00D426D9"/>
    <w:rsid w:val="00D570FF"/>
    <w:rsid w:val="00D6416E"/>
    <w:rsid w:val="00D67FA7"/>
    <w:rsid w:val="00D72C72"/>
    <w:rsid w:val="00D804E9"/>
    <w:rsid w:val="00D8674D"/>
    <w:rsid w:val="00DA0D13"/>
    <w:rsid w:val="00DB24B0"/>
    <w:rsid w:val="00DB48B7"/>
    <w:rsid w:val="00DC2124"/>
    <w:rsid w:val="00DD2D54"/>
    <w:rsid w:val="00DD49F9"/>
    <w:rsid w:val="00DD5CFA"/>
    <w:rsid w:val="00DE2D84"/>
    <w:rsid w:val="00E058BD"/>
    <w:rsid w:val="00E21952"/>
    <w:rsid w:val="00E32E0B"/>
    <w:rsid w:val="00E3382E"/>
    <w:rsid w:val="00E35619"/>
    <w:rsid w:val="00E51042"/>
    <w:rsid w:val="00E77D09"/>
    <w:rsid w:val="00E85739"/>
    <w:rsid w:val="00E9684C"/>
    <w:rsid w:val="00EA009E"/>
    <w:rsid w:val="00EC7787"/>
    <w:rsid w:val="00ED1E8E"/>
    <w:rsid w:val="00ED3986"/>
    <w:rsid w:val="00EE11F5"/>
    <w:rsid w:val="00EE6000"/>
    <w:rsid w:val="00EF0E36"/>
    <w:rsid w:val="00F00A39"/>
    <w:rsid w:val="00F2444A"/>
    <w:rsid w:val="00F30AC1"/>
    <w:rsid w:val="00F3573B"/>
    <w:rsid w:val="00F36DB8"/>
    <w:rsid w:val="00F4738A"/>
    <w:rsid w:val="00F63CE9"/>
    <w:rsid w:val="00F701FB"/>
    <w:rsid w:val="00F973C0"/>
    <w:rsid w:val="00FA165A"/>
    <w:rsid w:val="00FA3E9A"/>
    <w:rsid w:val="00FB7363"/>
    <w:rsid w:val="00FC4567"/>
    <w:rsid w:val="00FC4772"/>
    <w:rsid w:val="00FD2DE4"/>
    <w:rsid w:val="011628FF"/>
    <w:rsid w:val="012B72F8"/>
    <w:rsid w:val="0138287B"/>
    <w:rsid w:val="014A4EFA"/>
    <w:rsid w:val="015D74B9"/>
    <w:rsid w:val="016A660F"/>
    <w:rsid w:val="01764F01"/>
    <w:rsid w:val="01A45DB0"/>
    <w:rsid w:val="01AE7941"/>
    <w:rsid w:val="01C77D77"/>
    <w:rsid w:val="01D4621A"/>
    <w:rsid w:val="01F64686"/>
    <w:rsid w:val="021061F3"/>
    <w:rsid w:val="021F1C23"/>
    <w:rsid w:val="024822F1"/>
    <w:rsid w:val="024D6B6A"/>
    <w:rsid w:val="029B04E7"/>
    <w:rsid w:val="02C2541E"/>
    <w:rsid w:val="02C45731"/>
    <w:rsid w:val="0306358C"/>
    <w:rsid w:val="030656F1"/>
    <w:rsid w:val="03073BDC"/>
    <w:rsid w:val="033353FC"/>
    <w:rsid w:val="033F44DC"/>
    <w:rsid w:val="035F2E4C"/>
    <w:rsid w:val="03612FFC"/>
    <w:rsid w:val="03671830"/>
    <w:rsid w:val="039E0A9B"/>
    <w:rsid w:val="040D1A70"/>
    <w:rsid w:val="04554B0F"/>
    <w:rsid w:val="045559A5"/>
    <w:rsid w:val="046E2636"/>
    <w:rsid w:val="046E7CEE"/>
    <w:rsid w:val="047F1CE2"/>
    <w:rsid w:val="049A6577"/>
    <w:rsid w:val="04C25BB2"/>
    <w:rsid w:val="04CE2E64"/>
    <w:rsid w:val="04F34334"/>
    <w:rsid w:val="0555228E"/>
    <w:rsid w:val="059D1E39"/>
    <w:rsid w:val="05E078B3"/>
    <w:rsid w:val="06537D9C"/>
    <w:rsid w:val="065444A3"/>
    <w:rsid w:val="068A7BCB"/>
    <w:rsid w:val="06A4379B"/>
    <w:rsid w:val="06E017BB"/>
    <w:rsid w:val="06E25894"/>
    <w:rsid w:val="07502633"/>
    <w:rsid w:val="07515B85"/>
    <w:rsid w:val="07765ABE"/>
    <w:rsid w:val="077D0583"/>
    <w:rsid w:val="07831E9A"/>
    <w:rsid w:val="07847A56"/>
    <w:rsid w:val="079724D0"/>
    <w:rsid w:val="079801DF"/>
    <w:rsid w:val="07E97064"/>
    <w:rsid w:val="07F46B30"/>
    <w:rsid w:val="0810169F"/>
    <w:rsid w:val="08214AB9"/>
    <w:rsid w:val="082A352F"/>
    <w:rsid w:val="086F5705"/>
    <w:rsid w:val="08825440"/>
    <w:rsid w:val="089025A2"/>
    <w:rsid w:val="089863A0"/>
    <w:rsid w:val="08C349D1"/>
    <w:rsid w:val="08CD5050"/>
    <w:rsid w:val="09247194"/>
    <w:rsid w:val="095C42B9"/>
    <w:rsid w:val="095F5A29"/>
    <w:rsid w:val="096365E1"/>
    <w:rsid w:val="0973568A"/>
    <w:rsid w:val="099204BC"/>
    <w:rsid w:val="09F07728"/>
    <w:rsid w:val="09F67CD5"/>
    <w:rsid w:val="0A0400C5"/>
    <w:rsid w:val="0A0D3781"/>
    <w:rsid w:val="0A357337"/>
    <w:rsid w:val="0A7E20A0"/>
    <w:rsid w:val="0AAE2E2F"/>
    <w:rsid w:val="0AAE5C8E"/>
    <w:rsid w:val="0AF50874"/>
    <w:rsid w:val="0B042158"/>
    <w:rsid w:val="0B0C3C03"/>
    <w:rsid w:val="0B100AA3"/>
    <w:rsid w:val="0B94163E"/>
    <w:rsid w:val="0B9E71DF"/>
    <w:rsid w:val="0BC26225"/>
    <w:rsid w:val="0C7319E6"/>
    <w:rsid w:val="0C9D30C2"/>
    <w:rsid w:val="0CA60B26"/>
    <w:rsid w:val="0CA65AF7"/>
    <w:rsid w:val="0CC06D26"/>
    <w:rsid w:val="0CC41C90"/>
    <w:rsid w:val="0CC44296"/>
    <w:rsid w:val="0CDC2B02"/>
    <w:rsid w:val="0CE92843"/>
    <w:rsid w:val="0D2F6D4D"/>
    <w:rsid w:val="0D3A5BCC"/>
    <w:rsid w:val="0D466639"/>
    <w:rsid w:val="0D87202B"/>
    <w:rsid w:val="0D961A6D"/>
    <w:rsid w:val="0DCF097F"/>
    <w:rsid w:val="0DDE0DDC"/>
    <w:rsid w:val="0DE8685F"/>
    <w:rsid w:val="0E0F6095"/>
    <w:rsid w:val="0E172BD0"/>
    <w:rsid w:val="0E20503C"/>
    <w:rsid w:val="0E392665"/>
    <w:rsid w:val="0E5555CD"/>
    <w:rsid w:val="0E5A0D86"/>
    <w:rsid w:val="0E714A28"/>
    <w:rsid w:val="0F0D42D3"/>
    <w:rsid w:val="0F3F61F0"/>
    <w:rsid w:val="0F4B7046"/>
    <w:rsid w:val="0F505953"/>
    <w:rsid w:val="0F806941"/>
    <w:rsid w:val="0F8C3A15"/>
    <w:rsid w:val="0FF74D64"/>
    <w:rsid w:val="102C4EFB"/>
    <w:rsid w:val="105F172F"/>
    <w:rsid w:val="10A50104"/>
    <w:rsid w:val="112A0EA0"/>
    <w:rsid w:val="113B435A"/>
    <w:rsid w:val="114812BB"/>
    <w:rsid w:val="115B3410"/>
    <w:rsid w:val="119D7849"/>
    <w:rsid w:val="12242293"/>
    <w:rsid w:val="12332FE7"/>
    <w:rsid w:val="123D4820"/>
    <w:rsid w:val="1242135C"/>
    <w:rsid w:val="127E4FB4"/>
    <w:rsid w:val="12833D67"/>
    <w:rsid w:val="12B604CB"/>
    <w:rsid w:val="139D7068"/>
    <w:rsid w:val="13A1683F"/>
    <w:rsid w:val="14066F15"/>
    <w:rsid w:val="143865BB"/>
    <w:rsid w:val="14976292"/>
    <w:rsid w:val="14B84A0F"/>
    <w:rsid w:val="14DA3DA1"/>
    <w:rsid w:val="14E17ECC"/>
    <w:rsid w:val="14E62F44"/>
    <w:rsid w:val="14EE18CC"/>
    <w:rsid w:val="151709B7"/>
    <w:rsid w:val="153158D4"/>
    <w:rsid w:val="15412F0A"/>
    <w:rsid w:val="155D2058"/>
    <w:rsid w:val="157C5D18"/>
    <w:rsid w:val="15A03FB5"/>
    <w:rsid w:val="15F671F6"/>
    <w:rsid w:val="15FC52B1"/>
    <w:rsid w:val="16212AD8"/>
    <w:rsid w:val="16270306"/>
    <w:rsid w:val="163023C0"/>
    <w:rsid w:val="16476B51"/>
    <w:rsid w:val="17155857"/>
    <w:rsid w:val="17950508"/>
    <w:rsid w:val="179977BE"/>
    <w:rsid w:val="17A74607"/>
    <w:rsid w:val="18A970D8"/>
    <w:rsid w:val="18AA50B9"/>
    <w:rsid w:val="18AF52A3"/>
    <w:rsid w:val="18C77F4E"/>
    <w:rsid w:val="19010C43"/>
    <w:rsid w:val="19084C73"/>
    <w:rsid w:val="19136DBF"/>
    <w:rsid w:val="191E7CD6"/>
    <w:rsid w:val="19311468"/>
    <w:rsid w:val="1956155B"/>
    <w:rsid w:val="1957597E"/>
    <w:rsid w:val="199D2839"/>
    <w:rsid w:val="19C03D28"/>
    <w:rsid w:val="19DF4E04"/>
    <w:rsid w:val="1A054259"/>
    <w:rsid w:val="1A3B0845"/>
    <w:rsid w:val="1B2331C1"/>
    <w:rsid w:val="1B7F6005"/>
    <w:rsid w:val="1BD526F4"/>
    <w:rsid w:val="1BFB44B4"/>
    <w:rsid w:val="1C132CB9"/>
    <w:rsid w:val="1C13372C"/>
    <w:rsid w:val="1C1E70BE"/>
    <w:rsid w:val="1C763768"/>
    <w:rsid w:val="1C934719"/>
    <w:rsid w:val="1CCC26CA"/>
    <w:rsid w:val="1CE92DFC"/>
    <w:rsid w:val="1CEE6A28"/>
    <w:rsid w:val="1CF845A5"/>
    <w:rsid w:val="1D26282D"/>
    <w:rsid w:val="1D6A290D"/>
    <w:rsid w:val="1DF3228B"/>
    <w:rsid w:val="1E0514C7"/>
    <w:rsid w:val="1E242433"/>
    <w:rsid w:val="1E5C53C8"/>
    <w:rsid w:val="1E5C6052"/>
    <w:rsid w:val="1E9D6342"/>
    <w:rsid w:val="1EC54903"/>
    <w:rsid w:val="1EE5673A"/>
    <w:rsid w:val="1EFE66E5"/>
    <w:rsid w:val="1F173E8A"/>
    <w:rsid w:val="1F3B1D38"/>
    <w:rsid w:val="1F4E5E4B"/>
    <w:rsid w:val="1F5F13A4"/>
    <w:rsid w:val="1F6D560E"/>
    <w:rsid w:val="1F8D21CA"/>
    <w:rsid w:val="1FAD5BD5"/>
    <w:rsid w:val="1FC449FF"/>
    <w:rsid w:val="1FC44D16"/>
    <w:rsid w:val="201938A9"/>
    <w:rsid w:val="20225308"/>
    <w:rsid w:val="204D1A43"/>
    <w:rsid w:val="204E6676"/>
    <w:rsid w:val="209D7870"/>
    <w:rsid w:val="20AC742E"/>
    <w:rsid w:val="20AD35BB"/>
    <w:rsid w:val="20BE5025"/>
    <w:rsid w:val="20BE59F3"/>
    <w:rsid w:val="20D17C07"/>
    <w:rsid w:val="211B5750"/>
    <w:rsid w:val="2177546F"/>
    <w:rsid w:val="217B7129"/>
    <w:rsid w:val="219227C5"/>
    <w:rsid w:val="2195668B"/>
    <w:rsid w:val="219C76C7"/>
    <w:rsid w:val="21BE5AD4"/>
    <w:rsid w:val="22074498"/>
    <w:rsid w:val="220D383E"/>
    <w:rsid w:val="22230875"/>
    <w:rsid w:val="226F13F4"/>
    <w:rsid w:val="22D9260E"/>
    <w:rsid w:val="23081A49"/>
    <w:rsid w:val="2313505D"/>
    <w:rsid w:val="23230A4A"/>
    <w:rsid w:val="23341169"/>
    <w:rsid w:val="23582B3E"/>
    <w:rsid w:val="23680E06"/>
    <w:rsid w:val="23C517CB"/>
    <w:rsid w:val="23E061A6"/>
    <w:rsid w:val="24096A90"/>
    <w:rsid w:val="24152E76"/>
    <w:rsid w:val="24201B57"/>
    <w:rsid w:val="24251AB8"/>
    <w:rsid w:val="24515F39"/>
    <w:rsid w:val="245C52F8"/>
    <w:rsid w:val="2463385E"/>
    <w:rsid w:val="24784FCA"/>
    <w:rsid w:val="24B70897"/>
    <w:rsid w:val="250D568B"/>
    <w:rsid w:val="25134332"/>
    <w:rsid w:val="251D5B9F"/>
    <w:rsid w:val="257E508F"/>
    <w:rsid w:val="25832389"/>
    <w:rsid w:val="25C001F1"/>
    <w:rsid w:val="25C2246D"/>
    <w:rsid w:val="260F1B78"/>
    <w:rsid w:val="261209FE"/>
    <w:rsid w:val="26143442"/>
    <w:rsid w:val="26426B70"/>
    <w:rsid w:val="266C63C2"/>
    <w:rsid w:val="26B516E2"/>
    <w:rsid w:val="26BF5712"/>
    <w:rsid w:val="26CD3C7F"/>
    <w:rsid w:val="27141FDE"/>
    <w:rsid w:val="27283B85"/>
    <w:rsid w:val="276D5B40"/>
    <w:rsid w:val="27846DBB"/>
    <w:rsid w:val="278D0C2A"/>
    <w:rsid w:val="27924236"/>
    <w:rsid w:val="27AB7429"/>
    <w:rsid w:val="27BF0E67"/>
    <w:rsid w:val="280504DF"/>
    <w:rsid w:val="282506E1"/>
    <w:rsid w:val="28282C09"/>
    <w:rsid w:val="285C053E"/>
    <w:rsid w:val="286C084A"/>
    <w:rsid w:val="28E6746A"/>
    <w:rsid w:val="28F14F9A"/>
    <w:rsid w:val="29122F9C"/>
    <w:rsid w:val="292218B1"/>
    <w:rsid w:val="298647C3"/>
    <w:rsid w:val="29A628D4"/>
    <w:rsid w:val="29C9236C"/>
    <w:rsid w:val="29D02EC2"/>
    <w:rsid w:val="29FA7F26"/>
    <w:rsid w:val="2A070A01"/>
    <w:rsid w:val="2A214D95"/>
    <w:rsid w:val="2AB5253C"/>
    <w:rsid w:val="2AB84176"/>
    <w:rsid w:val="2AD91E71"/>
    <w:rsid w:val="2B774832"/>
    <w:rsid w:val="2B9D0B4F"/>
    <w:rsid w:val="2BB55C4A"/>
    <w:rsid w:val="2BE65015"/>
    <w:rsid w:val="2C260497"/>
    <w:rsid w:val="2C291E19"/>
    <w:rsid w:val="2C3A525F"/>
    <w:rsid w:val="2C5D1DD5"/>
    <w:rsid w:val="2CBC0DB9"/>
    <w:rsid w:val="2D1763F9"/>
    <w:rsid w:val="2D2C2C04"/>
    <w:rsid w:val="2D934EB0"/>
    <w:rsid w:val="2D9A0DF3"/>
    <w:rsid w:val="2DAC1D82"/>
    <w:rsid w:val="2DBF4E2E"/>
    <w:rsid w:val="2E2829EA"/>
    <w:rsid w:val="2E2F23FA"/>
    <w:rsid w:val="2E6F0CDF"/>
    <w:rsid w:val="2ECB5F7F"/>
    <w:rsid w:val="2EE452B4"/>
    <w:rsid w:val="2EEC4119"/>
    <w:rsid w:val="2F1251F2"/>
    <w:rsid w:val="2F3827FA"/>
    <w:rsid w:val="2F74651C"/>
    <w:rsid w:val="2F8475A2"/>
    <w:rsid w:val="2FB53C7C"/>
    <w:rsid w:val="2FCB5E8B"/>
    <w:rsid w:val="301D156D"/>
    <w:rsid w:val="302F5037"/>
    <w:rsid w:val="305348EB"/>
    <w:rsid w:val="30787670"/>
    <w:rsid w:val="30962F3E"/>
    <w:rsid w:val="30CE2275"/>
    <w:rsid w:val="30D17E68"/>
    <w:rsid w:val="30F5119C"/>
    <w:rsid w:val="30F948FD"/>
    <w:rsid w:val="30FE6128"/>
    <w:rsid w:val="30FF2795"/>
    <w:rsid w:val="310A5B23"/>
    <w:rsid w:val="3155220D"/>
    <w:rsid w:val="318F09A6"/>
    <w:rsid w:val="31BB7F6D"/>
    <w:rsid w:val="31D9656D"/>
    <w:rsid w:val="31FC7D6F"/>
    <w:rsid w:val="32052C35"/>
    <w:rsid w:val="32065A0C"/>
    <w:rsid w:val="323E2DB4"/>
    <w:rsid w:val="324C788F"/>
    <w:rsid w:val="3277746E"/>
    <w:rsid w:val="329A6ACE"/>
    <w:rsid w:val="32A51EFB"/>
    <w:rsid w:val="32C9731E"/>
    <w:rsid w:val="331407A6"/>
    <w:rsid w:val="333D28CF"/>
    <w:rsid w:val="335C481F"/>
    <w:rsid w:val="33810873"/>
    <w:rsid w:val="33B42DAB"/>
    <w:rsid w:val="33B51F14"/>
    <w:rsid w:val="33B64A28"/>
    <w:rsid w:val="340B5389"/>
    <w:rsid w:val="344D2D64"/>
    <w:rsid w:val="34595BED"/>
    <w:rsid w:val="349A6BFE"/>
    <w:rsid w:val="34C46B9F"/>
    <w:rsid w:val="34CE48D1"/>
    <w:rsid w:val="34E27DD8"/>
    <w:rsid w:val="34EC29DB"/>
    <w:rsid w:val="34FF7988"/>
    <w:rsid w:val="3513000F"/>
    <w:rsid w:val="35321D62"/>
    <w:rsid w:val="35A3161E"/>
    <w:rsid w:val="35EA1B1E"/>
    <w:rsid w:val="35EE4226"/>
    <w:rsid w:val="35EE6579"/>
    <w:rsid w:val="35FD7D3B"/>
    <w:rsid w:val="360B1D73"/>
    <w:rsid w:val="361F3323"/>
    <w:rsid w:val="3630540E"/>
    <w:rsid w:val="364C4C00"/>
    <w:rsid w:val="367732A3"/>
    <w:rsid w:val="36A612E3"/>
    <w:rsid w:val="36BA0EB6"/>
    <w:rsid w:val="36E93760"/>
    <w:rsid w:val="375C71EE"/>
    <w:rsid w:val="37702E5F"/>
    <w:rsid w:val="37827A41"/>
    <w:rsid w:val="3784394E"/>
    <w:rsid w:val="378B0F22"/>
    <w:rsid w:val="378C7664"/>
    <w:rsid w:val="37943D18"/>
    <w:rsid w:val="379B2EE1"/>
    <w:rsid w:val="37E84A7F"/>
    <w:rsid w:val="38237695"/>
    <w:rsid w:val="38431397"/>
    <w:rsid w:val="389C41AD"/>
    <w:rsid w:val="389C69ED"/>
    <w:rsid w:val="38AE3BB0"/>
    <w:rsid w:val="38C45180"/>
    <w:rsid w:val="392E468D"/>
    <w:rsid w:val="393047D7"/>
    <w:rsid w:val="395D08E6"/>
    <w:rsid w:val="396329BB"/>
    <w:rsid w:val="39B93682"/>
    <w:rsid w:val="39F113D0"/>
    <w:rsid w:val="3A2801A0"/>
    <w:rsid w:val="3A2C2BEF"/>
    <w:rsid w:val="3A4839FD"/>
    <w:rsid w:val="3A9111A2"/>
    <w:rsid w:val="3AB942DD"/>
    <w:rsid w:val="3AC53AB8"/>
    <w:rsid w:val="3ACB067D"/>
    <w:rsid w:val="3ACB5746"/>
    <w:rsid w:val="3AD454AE"/>
    <w:rsid w:val="3B1049F3"/>
    <w:rsid w:val="3B704103"/>
    <w:rsid w:val="3BB147B7"/>
    <w:rsid w:val="3BB20883"/>
    <w:rsid w:val="3BF31523"/>
    <w:rsid w:val="3C047C0A"/>
    <w:rsid w:val="3CA52C3E"/>
    <w:rsid w:val="3CEF1E10"/>
    <w:rsid w:val="3D04687C"/>
    <w:rsid w:val="3D092EDA"/>
    <w:rsid w:val="3D0B3138"/>
    <w:rsid w:val="3D57469A"/>
    <w:rsid w:val="3D6F2BCC"/>
    <w:rsid w:val="3D735F3C"/>
    <w:rsid w:val="3DA05B27"/>
    <w:rsid w:val="3DA8275C"/>
    <w:rsid w:val="3DC37AC9"/>
    <w:rsid w:val="3DD5785A"/>
    <w:rsid w:val="3DF02D81"/>
    <w:rsid w:val="3DFC788F"/>
    <w:rsid w:val="3E0375AE"/>
    <w:rsid w:val="3E044E79"/>
    <w:rsid w:val="3E1A3135"/>
    <w:rsid w:val="3E2276B0"/>
    <w:rsid w:val="3E381C12"/>
    <w:rsid w:val="3E441C7D"/>
    <w:rsid w:val="3EA31305"/>
    <w:rsid w:val="3EC41F35"/>
    <w:rsid w:val="3EE05745"/>
    <w:rsid w:val="3F0211CA"/>
    <w:rsid w:val="3F1B3E04"/>
    <w:rsid w:val="3F402548"/>
    <w:rsid w:val="3F4F48EF"/>
    <w:rsid w:val="3F815B8E"/>
    <w:rsid w:val="3FC956FF"/>
    <w:rsid w:val="3FEB7155"/>
    <w:rsid w:val="40395AFE"/>
    <w:rsid w:val="403B5463"/>
    <w:rsid w:val="40856077"/>
    <w:rsid w:val="40A36A71"/>
    <w:rsid w:val="40D44E3C"/>
    <w:rsid w:val="410E4736"/>
    <w:rsid w:val="41861910"/>
    <w:rsid w:val="41CC1B45"/>
    <w:rsid w:val="41D3631F"/>
    <w:rsid w:val="41D655BB"/>
    <w:rsid w:val="41F466FD"/>
    <w:rsid w:val="42087AAD"/>
    <w:rsid w:val="421C6FF2"/>
    <w:rsid w:val="42317AEC"/>
    <w:rsid w:val="427066E0"/>
    <w:rsid w:val="42781927"/>
    <w:rsid w:val="427F19C8"/>
    <w:rsid w:val="429775B5"/>
    <w:rsid w:val="42A67A24"/>
    <w:rsid w:val="42D846B9"/>
    <w:rsid w:val="430800FE"/>
    <w:rsid w:val="43663533"/>
    <w:rsid w:val="43770E3F"/>
    <w:rsid w:val="437E0352"/>
    <w:rsid w:val="438E2C29"/>
    <w:rsid w:val="43BE03EA"/>
    <w:rsid w:val="43D12C38"/>
    <w:rsid w:val="440D5045"/>
    <w:rsid w:val="44373272"/>
    <w:rsid w:val="449014A7"/>
    <w:rsid w:val="44AB028A"/>
    <w:rsid w:val="44AE1E2A"/>
    <w:rsid w:val="44B15843"/>
    <w:rsid w:val="44B54567"/>
    <w:rsid w:val="44CD3849"/>
    <w:rsid w:val="44E634BB"/>
    <w:rsid w:val="45233221"/>
    <w:rsid w:val="452C215A"/>
    <w:rsid w:val="454376C0"/>
    <w:rsid w:val="458D224B"/>
    <w:rsid w:val="45B4129F"/>
    <w:rsid w:val="45BE6191"/>
    <w:rsid w:val="460C5979"/>
    <w:rsid w:val="46133E75"/>
    <w:rsid w:val="4662221D"/>
    <w:rsid w:val="467B69FC"/>
    <w:rsid w:val="468002C1"/>
    <w:rsid w:val="468222DF"/>
    <w:rsid w:val="46B8112B"/>
    <w:rsid w:val="46BD6546"/>
    <w:rsid w:val="46D6412A"/>
    <w:rsid w:val="47171541"/>
    <w:rsid w:val="471F2A70"/>
    <w:rsid w:val="472A7F81"/>
    <w:rsid w:val="478F17DD"/>
    <w:rsid w:val="478F5975"/>
    <w:rsid w:val="47BB7751"/>
    <w:rsid w:val="47C01792"/>
    <w:rsid w:val="4808150F"/>
    <w:rsid w:val="48292A55"/>
    <w:rsid w:val="483C313D"/>
    <w:rsid w:val="48927530"/>
    <w:rsid w:val="489829A2"/>
    <w:rsid w:val="48A56E2B"/>
    <w:rsid w:val="48B33D8A"/>
    <w:rsid w:val="48F461D6"/>
    <w:rsid w:val="49144AAF"/>
    <w:rsid w:val="49176AE9"/>
    <w:rsid w:val="493B3FE1"/>
    <w:rsid w:val="495D1DE1"/>
    <w:rsid w:val="49763DBE"/>
    <w:rsid w:val="498959D4"/>
    <w:rsid w:val="498F541B"/>
    <w:rsid w:val="49C75B81"/>
    <w:rsid w:val="49E41558"/>
    <w:rsid w:val="49E9233D"/>
    <w:rsid w:val="49EF13AC"/>
    <w:rsid w:val="49F408E0"/>
    <w:rsid w:val="4A564DAC"/>
    <w:rsid w:val="4A6A6D91"/>
    <w:rsid w:val="4A711494"/>
    <w:rsid w:val="4A971C5B"/>
    <w:rsid w:val="4AA01480"/>
    <w:rsid w:val="4AAC2659"/>
    <w:rsid w:val="4AAD1944"/>
    <w:rsid w:val="4ABD2E51"/>
    <w:rsid w:val="4AC31003"/>
    <w:rsid w:val="4AD034DB"/>
    <w:rsid w:val="4AE93159"/>
    <w:rsid w:val="4B0B2EF3"/>
    <w:rsid w:val="4B19036B"/>
    <w:rsid w:val="4B291CE0"/>
    <w:rsid w:val="4B3536E9"/>
    <w:rsid w:val="4B39354D"/>
    <w:rsid w:val="4B430E34"/>
    <w:rsid w:val="4B89044D"/>
    <w:rsid w:val="4B9F42AC"/>
    <w:rsid w:val="4BBD6BDD"/>
    <w:rsid w:val="4BD0339A"/>
    <w:rsid w:val="4BDF742C"/>
    <w:rsid w:val="4BF357F1"/>
    <w:rsid w:val="4BFB1BF5"/>
    <w:rsid w:val="4C0F0773"/>
    <w:rsid w:val="4C7032E1"/>
    <w:rsid w:val="4CBE31C8"/>
    <w:rsid w:val="4CC30A92"/>
    <w:rsid w:val="4CDA3348"/>
    <w:rsid w:val="4CE26A81"/>
    <w:rsid w:val="4D1A6ED4"/>
    <w:rsid w:val="4D462159"/>
    <w:rsid w:val="4D57090F"/>
    <w:rsid w:val="4D5C5FAC"/>
    <w:rsid w:val="4D7600D9"/>
    <w:rsid w:val="4DBF4670"/>
    <w:rsid w:val="4DC46381"/>
    <w:rsid w:val="4DC605B6"/>
    <w:rsid w:val="4DE4209C"/>
    <w:rsid w:val="4DEC0985"/>
    <w:rsid w:val="4E0E0A97"/>
    <w:rsid w:val="4E1973EA"/>
    <w:rsid w:val="4E27683A"/>
    <w:rsid w:val="4F200971"/>
    <w:rsid w:val="4F2765B1"/>
    <w:rsid w:val="4F285975"/>
    <w:rsid w:val="4F506479"/>
    <w:rsid w:val="4F6407D6"/>
    <w:rsid w:val="4FB72F0B"/>
    <w:rsid w:val="4FC8613C"/>
    <w:rsid w:val="4FD03E61"/>
    <w:rsid w:val="4FF5001E"/>
    <w:rsid w:val="4FF60AFA"/>
    <w:rsid w:val="501256F3"/>
    <w:rsid w:val="501611B9"/>
    <w:rsid w:val="503F24F3"/>
    <w:rsid w:val="506C01AE"/>
    <w:rsid w:val="508E4065"/>
    <w:rsid w:val="50B33C96"/>
    <w:rsid w:val="50BC6B46"/>
    <w:rsid w:val="50DF1556"/>
    <w:rsid w:val="50FB0DEA"/>
    <w:rsid w:val="50FF585B"/>
    <w:rsid w:val="515155E8"/>
    <w:rsid w:val="515D75D2"/>
    <w:rsid w:val="51796EDE"/>
    <w:rsid w:val="517F0927"/>
    <w:rsid w:val="51867298"/>
    <w:rsid w:val="5191085A"/>
    <w:rsid w:val="51E65B18"/>
    <w:rsid w:val="52195EDF"/>
    <w:rsid w:val="52313387"/>
    <w:rsid w:val="523D6506"/>
    <w:rsid w:val="52681DAD"/>
    <w:rsid w:val="52B333EB"/>
    <w:rsid w:val="52BF3E2B"/>
    <w:rsid w:val="52E04D27"/>
    <w:rsid w:val="530A1D65"/>
    <w:rsid w:val="533A6381"/>
    <w:rsid w:val="534C57DF"/>
    <w:rsid w:val="53637893"/>
    <w:rsid w:val="53860FBE"/>
    <w:rsid w:val="539A390F"/>
    <w:rsid w:val="53AE4400"/>
    <w:rsid w:val="53D8049B"/>
    <w:rsid w:val="53DB3477"/>
    <w:rsid w:val="543465AE"/>
    <w:rsid w:val="54505076"/>
    <w:rsid w:val="5497019F"/>
    <w:rsid w:val="549E223E"/>
    <w:rsid w:val="54AF6B42"/>
    <w:rsid w:val="54B475DA"/>
    <w:rsid w:val="54E10806"/>
    <w:rsid w:val="54F2569C"/>
    <w:rsid w:val="550C6121"/>
    <w:rsid w:val="55860B6F"/>
    <w:rsid w:val="55B96E6E"/>
    <w:rsid w:val="55DD6F2A"/>
    <w:rsid w:val="561602A8"/>
    <w:rsid w:val="56217271"/>
    <w:rsid w:val="563D1F62"/>
    <w:rsid w:val="5642227E"/>
    <w:rsid w:val="565459DE"/>
    <w:rsid w:val="56786094"/>
    <w:rsid w:val="569D3C67"/>
    <w:rsid w:val="56D760ED"/>
    <w:rsid w:val="56E23970"/>
    <w:rsid w:val="56F406AB"/>
    <w:rsid w:val="570967C4"/>
    <w:rsid w:val="57120697"/>
    <w:rsid w:val="57247F51"/>
    <w:rsid w:val="572D49D5"/>
    <w:rsid w:val="574F41CD"/>
    <w:rsid w:val="577A3C7D"/>
    <w:rsid w:val="578F220A"/>
    <w:rsid w:val="57F65D7D"/>
    <w:rsid w:val="57FC07D9"/>
    <w:rsid w:val="582D6BCE"/>
    <w:rsid w:val="58500F22"/>
    <w:rsid w:val="58674D0C"/>
    <w:rsid w:val="58D31456"/>
    <w:rsid w:val="58E7271E"/>
    <w:rsid w:val="591C0009"/>
    <w:rsid w:val="591D54CB"/>
    <w:rsid w:val="594435EB"/>
    <w:rsid w:val="598E5CDA"/>
    <w:rsid w:val="599B3742"/>
    <w:rsid w:val="59AF0E71"/>
    <w:rsid w:val="59E554E4"/>
    <w:rsid w:val="59FA1F7C"/>
    <w:rsid w:val="59FC4D67"/>
    <w:rsid w:val="5A0F43C3"/>
    <w:rsid w:val="5A3B43BF"/>
    <w:rsid w:val="5A4443B8"/>
    <w:rsid w:val="5A711C87"/>
    <w:rsid w:val="5A82225B"/>
    <w:rsid w:val="5A8559F8"/>
    <w:rsid w:val="5A89690F"/>
    <w:rsid w:val="5A984346"/>
    <w:rsid w:val="5AC26D6E"/>
    <w:rsid w:val="5ACD4579"/>
    <w:rsid w:val="5ACF0F3A"/>
    <w:rsid w:val="5AFC07BF"/>
    <w:rsid w:val="5B14769F"/>
    <w:rsid w:val="5B2B2C67"/>
    <w:rsid w:val="5B3C59E9"/>
    <w:rsid w:val="5B4A3B5F"/>
    <w:rsid w:val="5BAC4C91"/>
    <w:rsid w:val="5C2B3F20"/>
    <w:rsid w:val="5C55571E"/>
    <w:rsid w:val="5C6B1600"/>
    <w:rsid w:val="5C796F45"/>
    <w:rsid w:val="5C886B2E"/>
    <w:rsid w:val="5C921AD0"/>
    <w:rsid w:val="5CCB188B"/>
    <w:rsid w:val="5CCF6928"/>
    <w:rsid w:val="5CD36DC5"/>
    <w:rsid w:val="5CDC16E8"/>
    <w:rsid w:val="5CE71263"/>
    <w:rsid w:val="5D084333"/>
    <w:rsid w:val="5D121B5C"/>
    <w:rsid w:val="5D2D1DFE"/>
    <w:rsid w:val="5D5B3F4F"/>
    <w:rsid w:val="5D705320"/>
    <w:rsid w:val="5D846759"/>
    <w:rsid w:val="5D887A55"/>
    <w:rsid w:val="5DE429A9"/>
    <w:rsid w:val="5DFD202E"/>
    <w:rsid w:val="5DFD51DB"/>
    <w:rsid w:val="5E0D36E5"/>
    <w:rsid w:val="5E1B762C"/>
    <w:rsid w:val="5E200EF3"/>
    <w:rsid w:val="5E347975"/>
    <w:rsid w:val="5E6D7BF2"/>
    <w:rsid w:val="5EFB5175"/>
    <w:rsid w:val="5F0F4E29"/>
    <w:rsid w:val="5F17351A"/>
    <w:rsid w:val="5F3C455C"/>
    <w:rsid w:val="5F413A83"/>
    <w:rsid w:val="5F424784"/>
    <w:rsid w:val="5F65279C"/>
    <w:rsid w:val="5FB11622"/>
    <w:rsid w:val="5FEF518A"/>
    <w:rsid w:val="60616B89"/>
    <w:rsid w:val="606E4DA2"/>
    <w:rsid w:val="6076076B"/>
    <w:rsid w:val="607C3753"/>
    <w:rsid w:val="6080449B"/>
    <w:rsid w:val="60A723B4"/>
    <w:rsid w:val="60C30855"/>
    <w:rsid w:val="60C327A4"/>
    <w:rsid w:val="61421EFD"/>
    <w:rsid w:val="614503F4"/>
    <w:rsid w:val="615C5041"/>
    <w:rsid w:val="61681398"/>
    <w:rsid w:val="6169496A"/>
    <w:rsid w:val="618018FB"/>
    <w:rsid w:val="61917BAF"/>
    <w:rsid w:val="61EA7003"/>
    <w:rsid w:val="61F97887"/>
    <w:rsid w:val="624C1192"/>
    <w:rsid w:val="627D4D10"/>
    <w:rsid w:val="628E2E38"/>
    <w:rsid w:val="62BA57D6"/>
    <w:rsid w:val="63215B9F"/>
    <w:rsid w:val="63C765F9"/>
    <w:rsid w:val="640A2CED"/>
    <w:rsid w:val="6421496D"/>
    <w:rsid w:val="64682278"/>
    <w:rsid w:val="64EC71B7"/>
    <w:rsid w:val="655C4AF0"/>
    <w:rsid w:val="656376D4"/>
    <w:rsid w:val="65C11D37"/>
    <w:rsid w:val="65E92F46"/>
    <w:rsid w:val="65F56C74"/>
    <w:rsid w:val="66123ACB"/>
    <w:rsid w:val="662C08CC"/>
    <w:rsid w:val="664805B8"/>
    <w:rsid w:val="6656016F"/>
    <w:rsid w:val="66743944"/>
    <w:rsid w:val="66846366"/>
    <w:rsid w:val="66935ED5"/>
    <w:rsid w:val="66CD5BDE"/>
    <w:rsid w:val="66E51A67"/>
    <w:rsid w:val="66E942E3"/>
    <w:rsid w:val="67030B74"/>
    <w:rsid w:val="671D7775"/>
    <w:rsid w:val="675315B0"/>
    <w:rsid w:val="676755A9"/>
    <w:rsid w:val="67A64851"/>
    <w:rsid w:val="67B24783"/>
    <w:rsid w:val="67BE404C"/>
    <w:rsid w:val="67FC6782"/>
    <w:rsid w:val="6856430E"/>
    <w:rsid w:val="68AB4D84"/>
    <w:rsid w:val="68F232E6"/>
    <w:rsid w:val="68FA7F00"/>
    <w:rsid w:val="68FC1743"/>
    <w:rsid w:val="690F418B"/>
    <w:rsid w:val="691A7C99"/>
    <w:rsid w:val="69871C6A"/>
    <w:rsid w:val="698B42A2"/>
    <w:rsid w:val="69A14988"/>
    <w:rsid w:val="69F13EF5"/>
    <w:rsid w:val="6A6744B3"/>
    <w:rsid w:val="6A68125A"/>
    <w:rsid w:val="6A7A2736"/>
    <w:rsid w:val="6A7B4B9C"/>
    <w:rsid w:val="6A8E14C0"/>
    <w:rsid w:val="6B076D05"/>
    <w:rsid w:val="6B2A7004"/>
    <w:rsid w:val="6B425287"/>
    <w:rsid w:val="6B765151"/>
    <w:rsid w:val="6B953839"/>
    <w:rsid w:val="6BB76A3F"/>
    <w:rsid w:val="6BBF3649"/>
    <w:rsid w:val="6BD70393"/>
    <w:rsid w:val="6C89456C"/>
    <w:rsid w:val="6CC229B3"/>
    <w:rsid w:val="6D173BCE"/>
    <w:rsid w:val="6D2B1649"/>
    <w:rsid w:val="6D443C8C"/>
    <w:rsid w:val="6D580891"/>
    <w:rsid w:val="6D5908C4"/>
    <w:rsid w:val="6D943CDE"/>
    <w:rsid w:val="6DB9004A"/>
    <w:rsid w:val="6DC70069"/>
    <w:rsid w:val="6DEA3DBA"/>
    <w:rsid w:val="6E4A6987"/>
    <w:rsid w:val="6E61143F"/>
    <w:rsid w:val="6E9D763F"/>
    <w:rsid w:val="6EBB59FA"/>
    <w:rsid w:val="6EBC032C"/>
    <w:rsid w:val="6ED50966"/>
    <w:rsid w:val="6EF90A33"/>
    <w:rsid w:val="6F104429"/>
    <w:rsid w:val="6F2F2BF8"/>
    <w:rsid w:val="6F436111"/>
    <w:rsid w:val="6F901B66"/>
    <w:rsid w:val="6F913D90"/>
    <w:rsid w:val="6FA629D4"/>
    <w:rsid w:val="6FB82AD7"/>
    <w:rsid w:val="6FD10552"/>
    <w:rsid w:val="70117DB1"/>
    <w:rsid w:val="70190657"/>
    <w:rsid w:val="701B0C65"/>
    <w:rsid w:val="701B60EC"/>
    <w:rsid w:val="7023711B"/>
    <w:rsid w:val="70265C80"/>
    <w:rsid w:val="70491FB7"/>
    <w:rsid w:val="70BB2EF0"/>
    <w:rsid w:val="71887BF6"/>
    <w:rsid w:val="71EB4B86"/>
    <w:rsid w:val="724C3308"/>
    <w:rsid w:val="725F3A29"/>
    <w:rsid w:val="72B863AA"/>
    <w:rsid w:val="73057EB2"/>
    <w:rsid w:val="73196496"/>
    <w:rsid w:val="73455C21"/>
    <w:rsid w:val="73532F63"/>
    <w:rsid w:val="73BF0554"/>
    <w:rsid w:val="73D425F7"/>
    <w:rsid w:val="73EA3653"/>
    <w:rsid w:val="74023B47"/>
    <w:rsid w:val="74114D6A"/>
    <w:rsid w:val="74513F96"/>
    <w:rsid w:val="74BF7DDA"/>
    <w:rsid w:val="74E72931"/>
    <w:rsid w:val="750401D7"/>
    <w:rsid w:val="750A2023"/>
    <w:rsid w:val="75496258"/>
    <w:rsid w:val="75AD1F9D"/>
    <w:rsid w:val="75D20330"/>
    <w:rsid w:val="76130D59"/>
    <w:rsid w:val="76322058"/>
    <w:rsid w:val="76504024"/>
    <w:rsid w:val="7676736A"/>
    <w:rsid w:val="768D67B9"/>
    <w:rsid w:val="76933951"/>
    <w:rsid w:val="76973AA0"/>
    <w:rsid w:val="76AC48B2"/>
    <w:rsid w:val="76C916A0"/>
    <w:rsid w:val="76F50188"/>
    <w:rsid w:val="771D661B"/>
    <w:rsid w:val="771F7714"/>
    <w:rsid w:val="775F4452"/>
    <w:rsid w:val="77744B18"/>
    <w:rsid w:val="77CF72C7"/>
    <w:rsid w:val="77E2668D"/>
    <w:rsid w:val="77FA7CE5"/>
    <w:rsid w:val="77FC7830"/>
    <w:rsid w:val="782521C7"/>
    <w:rsid w:val="784F25E7"/>
    <w:rsid w:val="785730B1"/>
    <w:rsid w:val="78782A0D"/>
    <w:rsid w:val="7920331D"/>
    <w:rsid w:val="7926639E"/>
    <w:rsid w:val="793C5329"/>
    <w:rsid w:val="795C4B0C"/>
    <w:rsid w:val="79A2171F"/>
    <w:rsid w:val="79A252FF"/>
    <w:rsid w:val="79C72732"/>
    <w:rsid w:val="79CF7354"/>
    <w:rsid w:val="79D0457F"/>
    <w:rsid w:val="79D33056"/>
    <w:rsid w:val="79E82FBB"/>
    <w:rsid w:val="79FD3C0A"/>
    <w:rsid w:val="7A1C4501"/>
    <w:rsid w:val="7A243348"/>
    <w:rsid w:val="7A3A6D55"/>
    <w:rsid w:val="7A4729D1"/>
    <w:rsid w:val="7A8C6422"/>
    <w:rsid w:val="7A8F4A07"/>
    <w:rsid w:val="7ABD60EE"/>
    <w:rsid w:val="7B391216"/>
    <w:rsid w:val="7B3A536D"/>
    <w:rsid w:val="7B4563E4"/>
    <w:rsid w:val="7BFF3CA5"/>
    <w:rsid w:val="7C26369C"/>
    <w:rsid w:val="7C28669E"/>
    <w:rsid w:val="7C747251"/>
    <w:rsid w:val="7C88376A"/>
    <w:rsid w:val="7C9E5A24"/>
    <w:rsid w:val="7CA72230"/>
    <w:rsid w:val="7CAC00CB"/>
    <w:rsid w:val="7D071FBC"/>
    <w:rsid w:val="7D575412"/>
    <w:rsid w:val="7D62117D"/>
    <w:rsid w:val="7DB54254"/>
    <w:rsid w:val="7DB7403F"/>
    <w:rsid w:val="7DF91DE8"/>
    <w:rsid w:val="7E3E1EF2"/>
    <w:rsid w:val="7E4C25A4"/>
    <w:rsid w:val="7E5A7176"/>
    <w:rsid w:val="7E856829"/>
    <w:rsid w:val="7E951513"/>
    <w:rsid w:val="7EA10E2B"/>
    <w:rsid w:val="7ED61414"/>
    <w:rsid w:val="7EDC7C61"/>
    <w:rsid w:val="7EF74FC9"/>
    <w:rsid w:val="7F2A2D3E"/>
    <w:rsid w:val="7F33337C"/>
    <w:rsid w:val="7F4A1468"/>
    <w:rsid w:val="7F5235AE"/>
    <w:rsid w:val="7FBB247C"/>
    <w:rsid w:val="7FD3333C"/>
    <w:rsid w:val="7FE930CD"/>
    <w:rsid w:val="7FF552D5"/>
    <w:rsid w:val="7FF9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iPriority="99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cs="Times New Roman" w:eastAsiaTheme="minorEastAsia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link w:val="58"/>
    <w:qFormat/>
    <w:uiPriority w:val="0"/>
    <w:pPr>
      <w:keepNext/>
      <w:keepLines/>
      <w:tabs>
        <w:tab w:val="left" w:pos="1008"/>
      </w:tabs>
      <w:overflowPunct w:val="0"/>
      <w:autoSpaceDE w:val="0"/>
      <w:autoSpaceDN w:val="0"/>
      <w:adjustRightInd w:val="0"/>
      <w:spacing w:beforeLines="0" w:afterLines="0"/>
      <w:ind w:left="1008" w:hanging="1008"/>
      <w:jc w:val="left"/>
      <w:textAlignment w:val="baseline"/>
      <w:outlineLvl w:val="4"/>
    </w:pPr>
    <w:rPr>
      <w:rFonts w:ascii="Arial" w:hAnsi="Arial" w:eastAsia="MS Mincho"/>
      <w:b/>
      <w:kern w:val="0"/>
      <w:sz w:val="22"/>
      <w:lang w:eastAsia="en-US"/>
    </w:rPr>
  </w:style>
  <w:style w:type="paragraph" w:styleId="7">
    <w:name w:val="heading 6"/>
    <w:basedOn w:val="1"/>
    <w:next w:val="1"/>
    <w:link w:val="59"/>
    <w:qFormat/>
    <w:uiPriority w:val="0"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Lines="0" w:afterLines="0"/>
      <w:ind w:left="1152" w:hanging="1152"/>
      <w:jc w:val="left"/>
      <w:textAlignment w:val="baseline"/>
      <w:outlineLvl w:val="5"/>
    </w:pPr>
    <w:rPr>
      <w:rFonts w:ascii="Arial" w:hAnsi="Arial" w:eastAsia="MS Mincho"/>
      <w:b/>
      <w:kern w:val="0"/>
      <w:sz w:val="20"/>
      <w:lang w:eastAsia="en-US"/>
    </w:rPr>
  </w:style>
  <w:style w:type="paragraph" w:styleId="8">
    <w:name w:val="heading 7"/>
    <w:basedOn w:val="7"/>
    <w:next w:val="1"/>
    <w:link w:val="60"/>
    <w:qFormat/>
    <w:uiPriority w:val="0"/>
    <w:pPr>
      <w:tabs>
        <w:tab w:val="left" w:pos="1296"/>
        <w:tab w:val="clear" w:pos="1152"/>
      </w:tabs>
      <w:ind w:left="1296" w:hanging="1296"/>
      <w:outlineLvl w:val="6"/>
    </w:pPr>
  </w:style>
  <w:style w:type="paragraph" w:styleId="9">
    <w:name w:val="heading 8"/>
    <w:basedOn w:val="2"/>
    <w:next w:val="1"/>
    <w:link w:val="61"/>
    <w:qFormat/>
    <w:uiPriority w:val="0"/>
    <w:pPr>
      <w:numPr>
        <w:numId w:val="0"/>
      </w:numPr>
      <w:pBdr>
        <w:top w:val="none" w:color="auto" w:sz="0" w:space="0"/>
      </w:pBdr>
      <w:tabs>
        <w:tab w:val="left" w:pos="1440"/>
      </w:tabs>
      <w:overflowPunct w:val="0"/>
      <w:autoSpaceDE w:val="0"/>
      <w:autoSpaceDN w:val="0"/>
      <w:adjustRightInd w:val="0"/>
      <w:spacing w:beforeLines="0" w:afterLines="0"/>
      <w:ind w:left="1440" w:hanging="1440"/>
      <w:jc w:val="left"/>
      <w:textAlignment w:val="baseline"/>
      <w:outlineLvl w:val="7"/>
    </w:pPr>
    <w:rPr>
      <w:kern w:val="0"/>
      <w:sz w:val="36"/>
      <w:lang w:eastAsia="en-US"/>
    </w:rPr>
  </w:style>
  <w:style w:type="paragraph" w:styleId="10">
    <w:name w:val="heading 9"/>
    <w:basedOn w:val="9"/>
    <w:next w:val="1"/>
    <w:link w:val="6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2">
    <w:name w:val="Document Map"/>
    <w:basedOn w:val="1"/>
    <w:link w:val="51"/>
    <w:semiHidden/>
    <w:unhideWhenUsed/>
    <w:qFormat/>
    <w:uiPriority w:val="99"/>
    <w:rPr>
      <w:rFonts w:ascii="宋体"/>
      <w:sz w:val="18"/>
      <w:szCs w:val="18"/>
    </w:rPr>
  </w:style>
  <w:style w:type="paragraph" w:styleId="13">
    <w:name w:val="annotation text"/>
    <w:basedOn w:val="1"/>
    <w:link w:val="55"/>
    <w:qFormat/>
    <w:uiPriority w:val="99"/>
  </w:style>
  <w:style w:type="paragraph" w:styleId="14">
    <w:name w:val="Body Text"/>
    <w:basedOn w:val="1"/>
    <w:qFormat/>
    <w:uiPriority w:val="0"/>
    <w:pPr>
      <w:spacing w:after="120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8">
    <w:name w:val="Balloon Text"/>
    <w:basedOn w:val="1"/>
    <w:link w:val="50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52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3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5">
    <w:name w:val="annotation subject"/>
    <w:basedOn w:val="13"/>
    <w:next w:val="13"/>
    <w:link w:val="57"/>
    <w:semiHidden/>
    <w:unhideWhenUsed/>
    <w:qFormat/>
    <w:uiPriority w:val="99"/>
    <w:pPr>
      <w:jc w:val="left"/>
    </w:pPr>
    <w:rPr>
      <w:b/>
      <w:bCs/>
    </w:rPr>
  </w:style>
  <w:style w:type="table" w:styleId="27">
    <w:name w:val="Table Grid"/>
    <w:basedOn w:val="2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Emphasis"/>
    <w:basedOn w:val="28"/>
    <w:semiHidden/>
    <w:unhideWhenUsed/>
    <w:qFormat/>
    <w:uiPriority w:val="99"/>
    <w:rPr>
      <w:i/>
    </w:rPr>
  </w:style>
  <w:style w:type="character" w:styleId="30">
    <w:name w:val="Hyperlink"/>
    <w:basedOn w:val="28"/>
    <w:unhideWhenUsed/>
    <w:qFormat/>
    <w:uiPriority w:val="99"/>
    <w:rPr>
      <w:color w:val="0000FF" w:themeColor="hyperlink"/>
      <w:u w:val="single"/>
    </w:rPr>
  </w:style>
  <w:style w:type="character" w:styleId="31">
    <w:name w:val="annotation reference"/>
    <w:qFormat/>
    <w:uiPriority w:val="99"/>
    <w:rPr>
      <w:sz w:val="16"/>
    </w:rPr>
  </w:style>
  <w:style w:type="paragraph" w:customStyle="1" w:styleId="32">
    <w:name w:val="YJ-Observation"/>
    <w:basedOn w:val="33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3"/>
      </w:numPr>
      <w:jc w:val="left"/>
    </w:pPr>
    <w:rPr>
      <w:b/>
      <w:bCs/>
      <w:i/>
      <w:iCs/>
      <w:sz w:val="20"/>
      <w:lang w:val="en-GB" w:eastAsia="en-US"/>
    </w:rPr>
  </w:style>
  <w:style w:type="paragraph" w:customStyle="1" w:styleId="34">
    <w:name w:val="sub-proposal"/>
    <w:basedOn w:val="33"/>
    <w:next w:val="1"/>
    <w:qFormat/>
    <w:uiPriority w:val="0"/>
    <w:pPr>
      <w:numPr>
        <w:numId w:val="4"/>
      </w:numPr>
      <w:tabs>
        <w:tab w:val="left" w:pos="420"/>
        <w:tab w:val="left" w:pos="807"/>
      </w:tabs>
    </w:pPr>
  </w:style>
  <w:style w:type="paragraph" w:customStyle="1" w:styleId="35">
    <w:name w:val="sub-observation"/>
    <w:basedOn w:val="34"/>
    <w:next w:val="1"/>
    <w:qFormat/>
    <w:uiPriority w:val="0"/>
  </w:style>
  <w:style w:type="paragraph" w:customStyle="1" w:styleId="36">
    <w:name w:val="3rd level proposal"/>
    <w:basedOn w:val="34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9">
    <w:name w:val="List Paragraph"/>
    <w:basedOn w:val="1"/>
    <w:link w:val="56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paragraph" w:customStyle="1" w:styleId="42">
    <w:name w:val="B2"/>
    <w:basedOn w:val="15"/>
    <w:qFormat/>
    <w:uiPriority w:val="0"/>
    <w:rPr>
      <w:lang w:val="zh-CN"/>
    </w:rPr>
  </w:style>
  <w:style w:type="paragraph" w:customStyle="1" w:styleId="43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44">
    <w:name w:val="B1"/>
    <w:basedOn w:val="16"/>
    <w:qFormat/>
    <w:uiPriority w:val="0"/>
    <w:rPr>
      <w:lang w:val="zh-CN"/>
    </w:rPr>
  </w:style>
  <w:style w:type="paragraph" w:customStyle="1" w:styleId="4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8"/>
    <w:qFormat/>
    <w:uiPriority w:val="0"/>
    <w:pPr>
      <w:jc w:val="center"/>
    </w:p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50">
    <w:name w:val="批注框文本 Char"/>
    <w:basedOn w:val="28"/>
    <w:link w:val="18"/>
    <w:semiHidden/>
    <w:qFormat/>
    <w:uiPriority w:val="99"/>
    <w:rPr>
      <w:kern w:val="2"/>
      <w:sz w:val="18"/>
      <w:szCs w:val="18"/>
    </w:rPr>
  </w:style>
  <w:style w:type="character" w:customStyle="1" w:styleId="51">
    <w:name w:val="文档结构图 Char"/>
    <w:basedOn w:val="28"/>
    <w:link w:val="1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52">
    <w:name w:val="页眉 Char"/>
    <w:basedOn w:val="28"/>
    <w:link w:val="20"/>
    <w:semiHidden/>
    <w:qFormat/>
    <w:uiPriority w:val="0"/>
    <w:rPr>
      <w:kern w:val="2"/>
      <w:sz w:val="18"/>
      <w:szCs w:val="18"/>
    </w:rPr>
  </w:style>
  <w:style w:type="paragraph" w:customStyle="1" w:styleId="53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54">
    <w:name w:val="x_apple-converted-space"/>
    <w:basedOn w:val="28"/>
    <w:qFormat/>
    <w:uiPriority w:val="0"/>
  </w:style>
  <w:style w:type="character" w:customStyle="1" w:styleId="55">
    <w:name w:val="批注文字 Char"/>
    <w:basedOn w:val="28"/>
    <w:link w:val="13"/>
    <w:qFormat/>
    <w:uiPriority w:val="99"/>
    <w:rPr>
      <w:kern w:val="2"/>
      <w:sz w:val="21"/>
    </w:rPr>
  </w:style>
  <w:style w:type="character" w:customStyle="1" w:styleId="56">
    <w:name w:val="列出段落 Char"/>
    <w:link w:val="39"/>
    <w:qFormat/>
    <w:uiPriority w:val="34"/>
    <w:rPr>
      <w:rFonts w:eastAsia="Times New Roman"/>
      <w:kern w:val="2"/>
      <w:sz w:val="24"/>
      <w:szCs w:val="24"/>
    </w:rPr>
  </w:style>
  <w:style w:type="character" w:customStyle="1" w:styleId="57">
    <w:name w:val="批注主题 Char"/>
    <w:basedOn w:val="55"/>
    <w:link w:val="25"/>
    <w:semiHidden/>
    <w:qFormat/>
    <w:uiPriority w:val="99"/>
    <w:rPr>
      <w:b/>
      <w:bCs/>
      <w:kern w:val="2"/>
      <w:sz w:val="21"/>
    </w:rPr>
  </w:style>
  <w:style w:type="character" w:customStyle="1" w:styleId="58">
    <w:name w:val="标题 5 Char"/>
    <w:basedOn w:val="28"/>
    <w:link w:val="6"/>
    <w:qFormat/>
    <w:uiPriority w:val="0"/>
    <w:rPr>
      <w:rFonts w:ascii="Arial" w:hAnsi="Arial" w:eastAsia="MS Mincho"/>
      <w:b/>
      <w:sz w:val="22"/>
      <w:lang w:eastAsia="en-US"/>
    </w:rPr>
  </w:style>
  <w:style w:type="character" w:customStyle="1" w:styleId="59">
    <w:name w:val="标题 6 Char"/>
    <w:basedOn w:val="28"/>
    <w:link w:val="7"/>
    <w:qFormat/>
    <w:uiPriority w:val="0"/>
    <w:rPr>
      <w:rFonts w:ascii="Arial" w:hAnsi="Arial" w:eastAsia="MS Mincho"/>
      <w:b/>
      <w:lang w:eastAsia="en-US"/>
    </w:rPr>
  </w:style>
  <w:style w:type="character" w:customStyle="1" w:styleId="60">
    <w:name w:val="标题 7 Char"/>
    <w:basedOn w:val="28"/>
    <w:link w:val="8"/>
    <w:qFormat/>
    <w:uiPriority w:val="0"/>
    <w:rPr>
      <w:rFonts w:ascii="Arial" w:hAnsi="Arial" w:eastAsia="MS Mincho"/>
      <w:b/>
      <w:lang w:eastAsia="en-US"/>
    </w:rPr>
  </w:style>
  <w:style w:type="character" w:customStyle="1" w:styleId="61">
    <w:name w:val="标题 8 Char"/>
    <w:basedOn w:val="28"/>
    <w:link w:val="9"/>
    <w:qFormat/>
    <w:uiPriority w:val="0"/>
    <w:rPr>
      <w:rFonts w:ascii="Arial" w:hAnsi="Arial" w:eastAsia="MS Mincho"/>
      <w:sz w:val="36"/>
      <w:lang w:eastAsia="en-US"/>
    </w:rPr>
  </w:style>
  <w:style w:type="character" w:customStyle="1" w:styleId="62">
    <w:name w:val="标题 9 Char"/>
    <w:basedOn w:val="28"/>
    <w:link w:val="10"/>
    <w:qFormat/>
    <w:uiPriority w:val="0"/>
    <w:rPr>
      <w:rFonts w:ascii="Arial" w:hAnsi="Arial" w:eastAsia="MS Mincho"/>
      <w:sz w:val="36"/>
      <w:lang w:eastAsia="en-US"/>
    </w:rPr>
  </w:style>
  <w:style w:type="paragraph" w:customStyle="1" w:styleId="63">
    <w:name w:val="修订1"/>
    <w:hidden/>
    <w:unhideWhenUsed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kern w:val="2"/>
      <w:sz w:val="21"/>
      <w:lang w:val="en-US" w:eastAsia="zh-CN" w:bidi="ar-SA"/>
    </w:rPr>
  </w:style>
  <w:style w:type="table" w:customStyle="1" w:styleId="64">
    <w:name w:val="网格型浅色1"/>
    <w:basedOn w:val="26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5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Lines="0" w:beforeAutospacing="1" w:afterLines="0" w:line="240" w:lineRule="auto"/>
      <w:ind w:left="720"/>
      <w:contextualSpacing/>
      <w:jc w:val="left"/>
      <w:textAlignment w:val="baseline"/>
    </w:pPr>
    <w:rPr>
      <w:rFonts w:eastAsia="宋体"/>
      <w:kern w:val="0"/>
      <w:sz w:val="24"/>
      <w:szCs w:val="24"/>
    </w:rPr>
  </w:style>
  <w:style w:type="paragraph" w:customStyle="1" w:styleId="66">
    <w:name w:val="xmsonormal"/>
    <w:basedOn w:val="1"/>
    <w:qFormat/>
    <w:uiPriority w:val="0"/>
    <w:pPr>
      <w:spacing w:beforeLines="0" w:beforeAutospacing="1" w:afterLines="0" w:afterAutospacing="1" w:line="240" w:lineRule="auto"/>
      <w:jc w:val="left"/>
    </w:pPr>
    <w:rPr>
      <w:rFonts w:eastAsia="宋体"/>
      <w:kern w:val="0"/>
      <w:sz w:val="24"/>
      <w:szCs w:val="24"/>
    </w:rPr>
  </w:style>
  <w:style w:type="character" w:customStyle="1" w:styleId="67">
    <w:name w:val="16"/>
    <w:basedOn w:val="28"/>
    <w:qFormat/>
    <w:uiPriority w:val="0"/>
    <w:rPr>
      <w:rFonts w:hint="default" w:ascii="Times New Roman" w:hAnsi="Times New Roman" w:cs="Times New Roman"/>
    </w:rPr>
  </w:style>
  <w:style w:type="character" w:customStyle="1" w:styleId="68">
    <w:name w:val="列出段落 Char1"/>
    <w:qFormat/>
    <w:uiPriority w:val="34"/>
    <w:rPr>
      <w:rFonts w:eastAsia="宋体"/>
      <w:lang w:eastAsia="ja-JP"/>
    </w:rPr>
  </w:style>
  <w:style w:type="character" w:customStyle="1" w:styleId="69">
    <w:name w:val="apple-converted-space"/>
    <w:qFormat/>
    <w:uiPriority w:val="0"/>
  </w:style>
  <w:style w:type="paragraph" w:customStyle="1" w:styleId="70">
    <w:name w:val="xa0"/>
    <w:basedOn w:val="1"/>
    <w:qFormat/>
    <w:uiPriority w:val="0"/>
    <w:pPr>
      <w:spacing w:beforeLines="0" w:beforeAutospacing="1" w:afterLines="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1">
    <w:name w:val="subullet"/>
    <w:basedOn w:val="1"/>
    <w:qFormat/>
    <w:uiPriority w:val="0"/>
    <w:pPr>
      <w:tabs>
        <w:tab w:val="left" w:pos="840"/>
      </w:tabs>
      <w:spacing w:after="180"/>
      <w:ind w:left="840" w:hanging="420"/>
    </w:pPr>
    <w:rPr>
      <w:rFonts w:hint="eastAsia"/>
      <w:b/>
      <w:bCs/>
      <w:i/>
      <w:iCs/>
      <w:sz w:val="20"/>
    </w:rPr>
  </w:style>
  <w:style w:type="paragraph" w:customStyle="1" w:styleId="72">
    <w:name w:val="subsub"/>
    <w:basedOn w:val="1"/>
    <w:qFormat/>
    <w:uiPriority w:val="0"/>
    <w:pPr>
      <w:tabs>
        <w:tab w:val="left" w:pos="0"/>
        <w:tab w:val="left" w:pos="1260"/>
      </w:tabs>
      <w:spacing w:after="180"/>
      <w:ind w:left="1260" w:hanging="420"/>
    </w:pPr>
    <w:rPr>
      <w:rFonts w:hint="eastAsia"/>
      <w:b/>
      <w:bCs/>
      <w:i/>
      <w:iCs/>
      <w:sz w:val="20"/>
    </w:rPr>
  </w:style>
  <w:style w:type="character" w:styleId="73">
    <w:name w:val="Placeholder Text"/>
    <w:basedOn w:val="28"/>
    <w:semiHidden/>
    <w:qFormat/>
    <w:uiPriority w:val="99"/>
    <w:rPr>
      <w:color w:val="808080"/>
    </w:rPr>
  </w:style>
  <w:style w:type="paragraph" w:customStyle="1" w:styleId="74">
    <w:name w:val="Body Text (first graph)"/>
    <w:basedOn w:val="14"/>
    <w:next w:val="14"/>
    <w:qFormat/>
    <w:uiPriority w:val="0"/>
    <w:pPr>
      <w:tabs>
        <w:tab w:val="left" w:pos="360"/>
      </w:tabs>
      <w:spacing w:before="30" w:after="30"/>
    </w:pPr>
    <w:rPr>
      <w:rFonts w:eastAsia="Batang"/>
    </w:rPr>
  </w:style>
  <w:style w:type="paragraph" w:customStyle="1" w:styleId="75">
    <w:name w:val="05_reference"/>
    <w:basedOn w:val="1"/>
    <w:qFormat/>
    <w:uiPriority w:val="0"/>
    <w:pPr>
      <w:tabs>
        <w:tab w:val="left" w:pos="567"/>
      </w:tabs>
      <w:spacing w:line="288" w:lineRule="auto"/>
      <w:ind w:left="562" w:hanging="562"/>
    </w:pPr>
  </w:style>
  <w:style w:type="paragraph" w:customStyle="1" w:styleId="7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2C9DCD-C00D-4A90-B8B4-43D82E18A7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1871</Words>
  <Characters>10665</Characters>
  <Lines>88</Lines>
  <Paragraphs>25</Paragraphs>
  <TotalTime>30</TotalTime>
  <ScaleCrop>false</ScaleCrop>
  <LinksUpToDate>false</LinksUpToDate>
  <CharactersWithSpaces>12511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2021-08-03T08:07:00Z</dcterms:created>
  <dc:creator>ZTE</dc:creator>
  <cp:lastModifiedBy>ZTE-Xu.jiajun</cp:lastModifiedBy>
  <dcterms:modified xsi:type="dcterms:W3CDTF">2021-09-30T07:36:13Z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