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hint="eastAsia" w:ascii="Arial" w:hAnsi="Arial" w:cs="Arial"/>
          <w:b/>
          <w:bCs/>
          <w:sz w:val="22"/>
          <w:szCs w:val="22"/>
        </w:rPr>
        <w:t>#106bis</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R1-21088</w:t>
      </w:r>
      <w:r>
        <w:rPr>
          <w:rFonts w:ascii="Arial" w:hAnsi="Arial" w:cs="Arial"/>
          <w:b/>
          <w:bCs/>
          <w:sz w:val="22"/>
          <w:szCs w:val="22"/>
        </w:rPr>
        <w:t>89</w:t>
      </w:r>
    </w:p>
    <w:p>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hint="eastAsia" w:ascii="Arial" w:hAnsi="Arial" w:cs="Arial"/>
          <w:b/>
          <w:bCs/>
          <w:sz w:val="22"/>
          <w:szCs w:val="22"/>
        </w:rPr>
        <w:t>, October 11</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hint="eastAsia" w:ascii="Arial" w:hAnsi="Arial" w:cs="Arial"/>
          <w:b/>
          <w:bCs/>
          <w:sz w:val="22"/>
          <w:szCs w:val="22"/>
        </w:rPr>
        <w:t>19</w:t>
      </w:r>
      <w:r>
        <w:rPr>
          <w:rFonts w:ascii="Arial" w:hAnsi="Arial" w:cs="Arial"/>
          <w:b/>
          <w:bCs/>
          <w:sz w:val="22"/>
          <w:szCs w:val="22"/>
          <w:vertAlign w:val="superscript"/>
          <w:lang w:eastAsia="ja-JP"/>
        </w:rPr>
        <w:t>th</w:t>
      </w:r>
      <w:r>
        <w:rPr>
          <w:rFonts w:ascii="Arial" w:hAnsi="Arial" w:cs="Arial"/>
          <w:b/>
          <w:bCs/>
          <w:sz w:val="22"/>
          <w:szCs w:val="22"/>
          <w:lang w:eastAsia="ja-JP"/>
        </w:rPr>
        <w:t>, 2021</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Performance Evaluation Results for XR</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Sanechips</w:t>
      </w:r>
    </w:p>
    <w:p>
      <w:pPr>
        <w:tabs>
          <w:tab w:val="left" w:pos="1985"/>
        </w:tabs>
        <w:spacing w:before="120" w:after="120"/>
        <w:rPr>
          <w:b/>
          <w:sz w:val="20"/>
          <w:szCs w:val="22"/>
          <w:highlight w:val="yellow"/>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8.14.1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pPr>
      <w:r>
        <w:rPr>
          <w:rFonts w:hint="eastAsia"/>
        </w:rPr>
        <w:t>In 3GPP TSG RAN1#106-e meeting, initial conclusions for XR evaluation results are given in [1].</w:t>
      </w:r>
    </w:p>
    <w:p>
      <w:pPr>
        <w:spacing w:before="120" w:after="120"/>
        <w:rPr>
          <w:strike/>
        </w:rPr>
      </w:pPr>
      <w:r>
        <w:rPr>
          <w:rFonts w:hint="eastAsia"/>
        </w:rPr>
        <w:t>In this paper, based on [1], for capacity performance analysis, baseline results with some supplements have been provided firstly. Moreover, the impacts due to data rate, PER, PDB and multiple stream</w:t>
      </w:r>
      <w:r>
        <w:t>s</w:t>
      </w:r>
      <w:r>
        <w:rPr>
          <w:rFonts w:hint="eastAsia"/>
        </w:rPr>
        <w:t xml:space="preserve"> have been discussed. Last but not least, evaluation results for potential enhancement scheme, e.g. finer preemption indication for XR coexistence are further provided. For power performance, evaluation results of eCDRX for both joint UL&amp;DL and DL only are provided. </w:t>
      </w:r>
    </w:p>
    <w:p>
      <w:pPr>
        <w:pStyle w:val="2"/>
        <w:spacing w:before="120" w:after="120"/>
        <w:ind w:left="0"/>
      </w:pPr>
      <w:r>
        <w:rPr>
          <w:rFonts w:hint="eastAsia" w:eastAsia="宋体"/>
        </w:rPr>
        <w:t>Capacity</w:t>
      </w:r>
    </w:p>
    <w:p>
      <w:pPr>
        <w:pStyle w:val="3"/>
        <w:spacing w:before="120" w:after="120"/>
        <w:ind w:left="991" w:right="210" w:hanging="991" w:hangingChars="354"/>
      </w:pPr>
      <w:r>
        <w:rPr>
          <w:rFonts w:hint="eastAsia" w:eastAsia="宋体"/>
          <w:szCs w:val="22"/>
        </w:rPr>
        <w:t>Baseline capacity performance</w:t>
      </w:r>
    </w:p>
    <w:p>
      <w:pPr>
        <w:spacing w:before="120" w:after="120"/>
        <w:rPr>
          <w:szCs w:val="22"/>
        </w:rPr>
      </w:pPr>
      <w:r>
        <w:rPr>
          <w:rFonts w:hint="eastAsia"/>
        </w:rPr>
        <w:t xml:space="preserve">In RAN1#106-e meeting, we provided evaluation results for baseline traffic model, e.g. including {AR/VR, 30Mbps} and {CG, 30Mbps}. In order to enrich the simulation results, we have supplied evaluation results for optional traffic model, e.g. {AR/VR, 45Mbps}. The simulation parameters for FR1 DL are listed in </w:t>
      </w:r>
      <w:r>
        <w:rPr>
          <w:rFonts w:hint="eastAsia"/>
          <w:b/>
          <w:bCs/>
        </w:rPr>
        <w:t>Table A.1</w:t>
      </w:r>
      <w:r>
        <w:rPr>
          <w:rFonts w:hint="eastAsia"/>
        </w:rPr>
        <w:t xml:space="preserve">, simulation parameters for FR1 UL are listed in </w:t>
      </w:r>
      <w:r>
        <w:rPr>
          <w:rFonts w:hint="eastAsia"/>
          <w:b/>
          <w:bCs/>
        </w:rPr>
        <w:t>Table A.2</w:t>
      </w:r>
      <w:r>
        <w:rPr>
          <w:rFonts w:hint="eastAsia"/>
        </w:rPr>
        <w:t xml:space="preserve">, while simulation parameters for FR2 DL are listed in </w:t>
      </w:r>
      <w:r>
        <w:rPr>
          <w:rFonts w:hint="eastAsia"/>
          <w:b/>
          <w:bCs/>
        </w:rPr>
        <w:t>Table A.3</w:t>
      </w:r>
      <w:r>
        <w:rPr>
          <w:rFonts w:hint="eastAsia"/>
        </w:rPr>
        <w:t xml:space="preserve">. </w:t>
      </w:r>
    </w:p>
    <w:p>
      <w:pPr>
        <w:pStyle w:val="4"/>
        <w:spacing w:after="120"/>
        <w:ind w:right="210"/>
      </w:pPr>
      <w:r>
        <w:rPr>
          <w:rFonts w:hint="eastAsia"/>
        </w:rPr>
        <w:t>FR1 InH DL</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0"/>
                          <pic:cNvPicPr>
                            <a:picLocks noChangeAspect="1"/>
                          </pic:cNvPicPr>
                        </pic:nvPicPr>
                        <pic:blipFill>
                          <a:blip r:embed="rId10" cstate="print"/>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1"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numPr>
                <w:ilvl w:val="0"/>
                <w:numId w:val="4"/>
              </w:numPr>
              <w:spacing w:after="120" w:line="276" w:lineRule="auto"/>
              <w:ind w:left="714" w:hanging="357"/>
              <w:jc w:val="center"/>
              <w:rPr>
                <w:kern w:val="0"/>
                <w:sz w:val="21"/>
                <w:szCs w:val="21"/>
                <w:lang w:val="en-GB" w:eastAsia="en-US"/>
              </w:rPr>
            </w:pPr>
            <w:r>
              <w:rPr>
                <w:kern w:val="0"/>
                <w:sz w:val="21"/>
                <w:szCs w:val="21"/>
                <w:lang w:val="en-GB" w:eastAsia="en-US"/>
              </w:rPr>
              <w:t>Capacity</w:t>
            </w:r>
          </w:p>
        </w:tc>
        <w:tc>
          <w:tcPr>
            <w:tcW w:w="4643" w:type="dxa"/>
          </w:tcPr>
          <w:p>
            <w:pPr>
              <w:pStyle w:val="29"/>
              <w:numPr>
                <w:ilvl w:val="0"/>
                <w:numId w:val="4"/>
              </w:numPr>
              <w:spacing w:after="120" w:line="276" w:lineRule="auto"/>
              <w:ind w:left="714" w:hanging="357"/>
              <w:jc w:val="center"/>
              <w:rPr>
                <w:kern w:val="0"/>
                <w:sz w:val="21"/>
                <w:szCs w:val="21"/>
                <w:lang w:val="en-GB" w:eastAsia="en-US"/>
              </w:rPr>
            </w:pPr>
            <w:r>
              <w:rPr>
                <w:kern w:val="0"/>
                <w:sz w:val="21"/>
                <w:szCs w:val="21"/>
                <w:lang w:val="en-GB" w:eastAsia="en-US"/>
              </w:rPr>
              <w:t>RU</w:t>
            </w:r>
          </w:p>
        </w:tc>
      </w:tr>
    </w:tbl>
    <w:p>
      <w:pPr>
        <w:spacing w:before="120" w:after="120"/>
        <w:jc w:val="center"/>
        <w:rPr>
          <w:i/>
          <w:iCs/>
        </w:rPr>
      </w:pPr>
      <w:r>
        <w:rPr>
          <w:rFonts w:hint="eastAsia"/>
          <w:i/>
          <w:iCs/>
        </w:rPr>
        <w:t>Figure 1 Capacity simulation results in indoor Hotspots scenario ([10.5, 150, 50]%).</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1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6"/>
                          <pic:cNvPicPr>
                            <a:picLocks noChangeAspect="1"/>
                          </pic:cNvPicPr>
                        </pic:nvPicPr>
                        <pic:blipFill>
                          <a:blip r:embed="rId12" cstate="print"/>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1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7"/>
                          <pic:cNvPicPr>
                            <a:picLocks noChangeAspect="1"/>
                          </pic:cNvPicPr>
                        </pic:nvPicPr>
                        <pic:blipFill>
                          <a:blip r:embed="rId13"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pStyle w:val="29"/>
              <w:spacing w:after="120" w:line="276" w:lineRule="auto"/>
              <w:ind w:left="357"/>
              <w:jc w:val="center"/>
              <w:rPr>
                <w:kern w:val="0"/>
                <w:sz w:val="21"/>
                <w:szCs w:val="21"/>
                <w:lang w:val="en-GB" w:eastAsia="en-US"/>
              </w:rPr>
            </w:pPr>
            <w:r>
              <w:rPr>
                <w:rFonts w:hint="eastAsia" w:eastAsia="宋体"/>
                <w:kern w:val="0"/>
                <w:sz w:val="21"/>
                <w:szCs w:val="21"/>
              </w:rPr>
              <w:t>(a)</w:t>
            </w:r>
            <w:r>
              <w:rPr>
                <w:kern w:val="0"/>
                <w:sz w:val="21"/>
                <w:szCs w:val="21"/>
                <w:lang w:val="en-GB" w:eastAsia="en-US"/>
              </w:rPr>
              <w:t>Capacity</w:t>
            </w:r>
          </w:p>
        </w:tc>
        <w:tc>
          <w:tcPr>
            <w:tcW w:w="4643" w:type="dxa"/>
          </w:tcPr>
          <w:p>
            <w:pPr>
              <w:pStyle w:val="29"/>
              <w:spacing w:after="120" w:line="276" w:lineRule="auto"/>
              <w:ind w:left="357"/>
              <w:jc w:val="center"/>
              <w:rPr>
                <w:kern w:val="0"/>
                <w:sz w:val="21"/>
                <w:szCs w:val="21"/>
                <w:lang w:val="en-GB" w:eastAsia="en-US"/>
              </w:rPr>
            </w:pPr>
            <w:r>
              <w:rPr>
                <w:rFonts w:hint="eastAsia" w:eastAsia="宋体"/>
                <w:kern w:val="0"/>
                <w:sz w:val="21"/>
                <w:szCs w:val="21"/>
              </w:rPr>
              <w:t>(b)</w:t>
            </w:r>
            <w:r>
              <w:rPr>
                <w:kern w:val="0"/>
                <w:sz w:val="21"/>
                <w:szCs w:val="21"/>
                <w:lang w:val="en-GB" w:eastAsia="en-US"/>
              </w:rPr>
              <w:t>RU</w:t>
            </w:r>
          </w:p>
        </w:tc>
      </w:tr>
    </w:tbl>
    <w:p>
      <w:pPr>
        <w:spacing w:before="120" w:after="120"/>
        <w:jc w:val="center"/>
        <w:rPr>
          <w:i/>
          <w:iCs/>
        </w:rPr>
      </w:pPr>
      <w:r>
        <w:rPr>
          <w:rFonts w:hint="eastAsia"/>
          <w:i/>
          <w:iCs/>
        </w:rPr>
        <w:t>Figure 2 Capacity simulation results in indoor Hotspots scenario ([3, 109, 91]%).</w:t>
      </w:r>
    </w:p>
    <w:p>
      <w:pPr>
        <w:spacing w:before="120" w:after="120"/>
      </w:pPr>
      <w:r>
        <w:rPr>
          <w:rFonts w:hint="eastAsia"/>
        </w:rPr>
        <w:t xml:space="preserve">According to </w:t>
      </w:r>
      <w:r>
        <w:rPr>
          <w:rFonts w:hint="eastAsia"/>
          <w:b/>
          <w:bCs/>
        </w:rPr>
        <w:t>Figure 1</w:t>
      </w:r>
      <w:r>
        <w:rPr>
          <w:rFonts w:hint="eastAsia"/>
        </w:rPr>
        <w:t xml:space="preserve">, with MU-MIMO and the traffic model for [10.5, 150, 50]% relationship, the capacity performance for {AR/VR, 30Mbps}, {CG, 30Mbps} and {AR/VR, 45Mbps} in Indoor Hotspot scenario are 11.4, 12.9 and 7.2, respectively. </w:t>
      </w:r>
    </w:p>
    <w:p>
      <w:pPr>
        <w:spacing w:before="120" w:after="120"/>
      </w:pPr>
      <w:r>
        <w:rPr>
          <w:rFonts w:hint="eastAsia"/>
        </w:rPr>
        <w:t xml:space="preserve">According to </w:t>
      </w:r>
      <w:r>
        <w:rPr>
          <w:rFonts w:hint="eastAsia"/>
          <w:b/>
          <w:bCs/>
        </w:rPr>
        <w:t>Figure 2</w:t>
      </w:r>
      <w:r>
        <w:rPr>
          <w:rFonts w:hint="eastAsia"/>
        </w:rPr>
        <w:t xml:space="preserve">, with MU-MIMO and the traffic model for [3, 109, 91]% relationship, the capacity performance for {AR/VR, 30Mbps}, {CG, 30Mbps} and {AR/VR, 45Mbps} in Indoor Hotspot scenario are 11.8, 13.3 and 7.3, respectively. </w:t>
      </w:r>
    </w:p>
    <w:p>
      <w:pPr>
        <w:pStyle w:val="4"/>
        <w:spacing w:after="120"/>
        <w:ind w:right="210"/>
      </w:pPr>
      <w:r>
        <w:rPr>
          <w:rFonts w:hint="eastAsia"/>
        </w:rPr>
        <w:t>FR1 DU DL</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2"/>
                          <pic:cNvPicPr>
                            <a:picLocks noChangeAspect="1"/>
                          </pic:cNvPicPr>
                        </pic:nvPicPr>
                        <pic:blipFill>
                          <a:blip r:embed="rId14" cstate="print"/>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3"/>
                          <pic:cNvPicPr>
                            <a:picLocks noChangeAspect="1"/>
                          </pic:cNvPicPr>
                        </pic:nvPicPr>
                        <pic:blipFill>
                          <a:blip r:embed="rId15"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numPr>
                <w:ilvl w:val="0"/>
                <w:numId w:val="5"/>
              </w:numPr>
              <w:spacing w:after="120" w:line="276" w:lineRule="auto"/>
              <w:ind w:left="357"/>
              <w:jc w:val="center"/>
              <w:rPr>
                <w:kern w:val="0"/>
                <w:sz w:val="21"/>
                <w:szCs w:val="21"/>
                <w:lang w:val="en-GB" w:eastAsia="en-US"/>
              </w:rPr>
            </w:pPr>
            <w:r>
              <w:rPr>
                <w:kern w:val="0"/>
                <w:sz w:val="21"/>
                <w:szCs w:val="21"/>
                <w:lang w:val="en-GB" w:eastAsia="en-US"/>
              </w:rPr>
              <w:t>Capacity</w:t>
            </w:r>
          </w:p>
        </w:tc>
        <w:tc>
          <w:tcPr>
            <w:tcW w:w="4643" w:type="dxa"/>
          </w:tcPr>
          <w:p>
            <w:pPr>
              <w:pStyle w:val="29"/>
              <w:numPr>
                <w:ilvl w:val="0"/>
                <w:numId w:val="5"/>
              </w:numPr>
              <w:spacing w:after="120" w:line="276" w:lineRule="auto"/>
              <w:ind w:left="357"/>
              <w:jc w:val="center"/>
              <w:rPr>
                <w:kern w:val="0"/>
                <w:sz w:val="21"/>
                <w:szCs w:val="21"/>
                <w:lang w:val="en-GB" w:eastAsia="en-US"/>
              </w:rPr>
            </w:pPr>
            <w:r>
              <w:rPr>
                <w:kern w:val="0"/>
                <w:sz w:val="21"/>
                <w:szCs w:val="21"/>
                <w:lang w:val="en-GB" w:eastAsia="en-US"/>
              </w:rPr>
              <w:t>RU</w:t>
            </w:r>
          </w:p>
        </w:tc>
      </w:tr>
    </w:tbl>
    <w:p>
      <w:pPr>
        <w:spacing w:before="120" w:after="120"/>
        <w:jc w:val="center"/>
        <w:rPr>
          <w:i/>
          <w:iCs/>
        </w:rPr>
      </w:pPr>
      <w:r>
        <w:rPr>
          <w:rFonts w:hint="eastAsia"/>
          <w:i/>
          <w:iCs/>
        </w:rPr>
        <w:t>Figure 3 Capacity simulation results in Dense Urban scenario ([10.5, 150, 50]%).</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spacing w:before="120" w:after="120" w:line="276" w:lineRule="auto"/>
              <w:rPr>
                <w:lang w:val="fr-FR"/>
              </w:rPr>
            </w:pPr>
            <w:r>
              <w:drawing>
                <wp:inline distT="0" distB="0" distL="114300" distR="114300">
                  <wp:extent cx="2880360" cy="2160270"/>
                  <wp:effectExtent l="0" t="0" r="0" b="11430"/>
                  <wp:docPr id="1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8"/>
                          <pic:cNvPicPr>
                            <a:picLocks noChangeAspect="1"/>
                          </pic:cNvPicPr>
                        </pic:nvPicPr>
                        <pic:blipFill>
                          <a:blip r:embed="rId16" cstate="print"/>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1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9"/>
                          <pic:cNvPicPr>
                            <a:picLocks noChangeAspect="1"/>
                          </pic:cNvPicPr>
                        </pic:nvPicPr>
                        <pic:blipFill>
                          <a:blip r:embed="rId17"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pStyle w:val="29"/>
              <w:spacing w:after="120" w:line="276" w:lineRule="auto"/>
              <w:ind w:left="0"/>
              <w:jc w:val="center"/>
              <w:rPr>
                <w:kern w:val="0"/>
                <w:sz w:val="21"/>
                <w:szCs w:val="21"/>
                <w:lang w:val="en-GB" w:eastAsia="en-US"/>
              </w:rPr>
            </w:pPr>
            <w:r>
              <w:rPr>
                <w:rFonts w:hint="eastAsia" w:eastAsia="宋体"/>
                <w:kern w:val="0"/>
                <w:sz w:val="21"/>
                <w:szCs w:val="21"/>
              </w:rPr>
              <w:t>(a)</w:t>
            </w:r>
            <w:r>
              <w:rPr>
                <w:kern w:val="0"/>
                <w:sz w:val="21"/>
                <w:szCs w:val="21"/>
                <w:lang w:val="en-GB" w:eastAsia="en-US"/>
              </w:rPr>
              <w:t>Capacity</w:t>
            </w:r>
          </w:p>
        </w:tc>
        <w:tc>
          <w:tcPr>
            <w:tcW w:w="4643" w:type="dxa"/>
          </w:tcPr>
          <w:p>
            <w:pPr>
              <w:pStyle w:val="29"/>
              <w:spacing w:after="120" w:line="276" w:lineRule="auto"/>
              <w:ind w:left="357"/>
              <w:jc w:val="center"/>
              <w:rPr>
                <w:kern w:val="0"/>
                <w:sz w:val="21"/>
                <w:szCs w:val="21"/>
                <w:lang w:val="en-GB" w:eastAsia="en-US"/>
              </w:rPr>
            </w:pPr>
            <w:r>
              <w:rPr>
                <w:rFonts w:hint="eastAsia" w:eastAsia="宋体"/>
                <w:kern w:val="0"/>
                <w:sz w:val="21"/>
                <w:szCs w:val="21"/>
              </w:rPr>
              <w:t xml:space="preserve">(b) </w:t>
            </w:r>
            <w:r>
              <w:rPr>
                <w:kern w:val="0"/>
                <w:sz w:val="21"/>
                <w:szCs w:val="21"/>
                <w:lang w:val="en-GB" w:eastAsia="en-US"/>
              </w:rPr>
              <w:t>RU</w:t>
            </w:r>
          </w:p>
        </w:tc>
      </w:tr>
    </w:tbl>
    <w:p>
      <w:pPr>
        <w:spacing w:before="120" w:after="120"/>
        <w:jc w:val="center"/>
        <w:rPr>
          <w:i/>
          <w:iCs/>
        </w:rPr>
      </w:pPr>
      <w:r>
        <w:rPr>
          <w:rFonts w:hint="eastAsia"/>
          <w:i/>
          <w:iCs/>
        </w:rPr>
        <w:t>Figure 4 Capacity simulation results in Dense Urban scenario ([3, 109, 91]%).</w:t>
      </w:r>
    </w:p>
    <w:p>
      <w:pPr>
        <w:spacing w:before="120" w:after="120"/>
      </w:pPr>
      <w:r>
        <w:rPr>
          <w:rFonts w:hint="eastAsia"/>
        </w:rPr>
        <w:t xml:space="preserve">According to </w:t>
      </w:r>
      <w:r>
        <w:rPr>
          <w:rFonts w:hint="eastAsia"/>
          <w:b/>
          <w:bCs/>
        </w:rPr>
        <w:t>Figure 3</w:t>
      </w:r>
      <w:r>
        <w:rPr>
          <w:rFonts w:hint="eastAsia"/>
        </w:rPr>
        <w:t xml:space="preserve">, with MU-MIMO and the traffic model for [10.5, 150, 50]% relationship, the capacity performance for {AR/VR, 30Mbps}, {CG, 30Mbps} and {AR/VR, 45Mbps} in Dense Urban scenario are 12.5, 14.7 and 7.8, respectively. </w:t>
      </w:r>
    </w:p>
    <w:p>
      <w:pPr>
        <w:spacing w:before="120" w:after="120"/>
      </w:pPr>
      <w:r>
        <w:rPr>
          <w:rFonts w:hint="eastAsia"/>
        </w:rPr>
        <w:t>According to</w:t>
      </w:r>
      <w:r>
        <w:rPr>
          <w:rFonts w:hint="eastAsia"/>
          <w:b/>
          <w:bCs/>
        </w:rPr>
        <w:t xml:space="preserve"> Figure 4,</w:t>
      </w:r>
      <w:r>
        <w:rPr>
          <w:rFonts w:hint="eastAsia"/>
        </w:rPr>
        <w:t xml:space="preserve"> with MU-MIMO and the traffic model for [3, 109, 91]% relationship, the capacity performance for {AR/VR, 30Mbps}, {CG, 30Mbps} and {AR/VR, 45Mbps} in Dense Urban scenario are 13.2, 14.8 and 7.9, respectively. </w:t>
      </w:r>
    </w:p>
    <w:p>
      <w:pPr>
        <w:pStyle w:val="4"/>
        <w:spacing w:after="120"/>
        <w:ind w:right="210"/>
      </w:pPr>
      <w:r>
        <w:rPr>
          <w:rFonts w:hint="eastAsia"/>
        </w:rPr>
        <w:t>FR1 Uma DL</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pic:cNvPicPr>
                            <a:picLocks noChangeAspect="1"/>
                          </pic:cNvPicPr>
                        </pic:nvPicPr>
                        <pic:blipFill>
                          <a:blip r:embed="rId18" cstate="print"/>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9"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numPr>
                <w:ilvl w:val="0"/>
                <w:numId w:val="6"/>
              </w:numPr>
              <w:spacing w:before="120" w:after="120" w:line="276" w:lineRule="auto"/>
              <w:jc w:val="center"/>
              <w:rPr>
                <w:rFonts w:eastAsiaTheme="minorEastAsia"/>
              </w:rPr>
            </w:pPr>
            <w:r>
              <w:rPr>
                <w:rFonts w:hint="eastAsia" w:eastAsiaTheme="minorEastAsia"/>
              </w:rPr>
              <w:t>Capacity</w:t>
            </w:r>
          </w:p>
        </w:tc>
        <w:tc>
          <w:tcPr>
            <w:tcW w:w="4643" w:type="dxa"/>
          </w:tcPr>
          <w:p>
            <w:pPr>
              <w:numPr>
                <w:ilvl w:val="0"/>
                <w:numId w:val="6"/>
              </w:numPr>
              <w:spacing w:before="120" w:after="120" w:line="276" w:lineRule="auto"/>
              <w:jc w:val="center"/>
              <w:rPr>
                <w:rFonts w:eastAsiaTheme="minorEastAsia"/>
              </w:rPr>
            </w:pPr>
            <w:r>
              <w:rPr>
                <w:rFonts w:hint="eastAsia" w:eastAsiaTheme="minorEastAsia"/>
              </w:rPr>
              <w:t>RU</w:t>
            </w:r>
          </w:p>
        </w:tc>
      </w:tr>
    </w:tbl>
    <w:p>
      <w:pPr>
        <w:spacing w:before="120" w:after="120"/>
        <w:jc w:val="center"/>
        <w:rPr>
          <w:i/>
          <w:iCs/>
        </w:rPr>
      </w:pPr>
      <w:r>
        <w:rPr>
          <w:rFonts w:hint="eastAsia"/>
          <w:i/>
          <w:iCs/>
        </w:rPr>
        <w:t>Figure 5 Capacity simulation results in Urban Marco scenario ([10.5, 150, 50]%).</w:t>
      </w:r>
    </w:p>
    <w:p>
      <w:pPr>
        <w:spacing w:before="120" w:after="120"/>
      </w:pPr>
      <w:r>
        <w:rPr>
          <w:rFonts w:hint="eastAsia"/>
        </w:rPr>
        <w:t xml:space="preserve">According to </w:t>
      </w:r>
      <w:r>
        <w:rPr>
          <w:rFonts w:hint="eastAsia"/>
          <w:b/>
          <w:bCs/>
        </w:rPr>
        <w:t>Figure 5</w:t>
      </w:r>
      <w:r>
        <w:rPr>
          <w:rFonts w:hint="eastAsia"/>
        </w:rPr>
        <w:t xml:space="preserve">, with MU-MIMO and the traffic model for [10.5, 150, 50]% relationship, the capacity performance for {AR/VR, 30Mbps}, {CG, 30Mbps} and {AR/VR, 45Mbps} in Urban Macro scenario are 10.0, 11.6 and 6.0, respectively. </w:t>
      </w:r>
    </w:p>
    <w:p>
      <w:pPr>
        <w:pStyle w:val="4"/>
        <w:spacing w:after="120"/>
        <w:ind w:right="210"/>
      </w:pPr>
      <w:r>
        <w:rPr>
          <w:rFonts w:hint="eastAsia"/>
        </w:rPr>
        <w:t>FR1 InH UL</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bookmarkStart w:id="0" w:name="_Ref17297"/>
            <w:r>
              <w:drawing>
                <wp:inline distT="0" distB="0" distL="114300" distR="114300">
                  <wp:extent cx="3600450" cy="2700020"/>
                  <wp:effectExtent l="0" t="0" r="0" b="5080"/>
                  <wp:docPr id="6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58"/>
                          <pic:cNvPicPr>
                            <a:picLocks noChangeAspect="1"/>
                          </pic:cNvPicPr>
                        </pic:nvPicPr>
                        <pic:blipFill>
                          <a:blip r:embed="rId20" cstate="print"/>
                          <a:stretch>
                            <a:fillRect/>
                          </a:stretch>
                        </pic:blipFill>
                        <pic:spPr>
                          <a:xfrm>
                            <a:off x="0" y="0"/>
                            <a:ext cx="3600450" cy="2700020"/>
                          </a:xfrm>
                          <a:prstGeom prst="rect">
                            <a:avLst/>
                          </a:prstGeom>
                          <a:noFill/>
                          <a:ln>
                            <a:noFill/>
                          </a:ln>
                        </pic:spPr>
                      </pic:pic>
                    </a:graphicData>
                  </a:graphic>
                </wp:inline>
              </w:drawing>
            </w:r>
          </w:p>
        </w:tc>
      </w:tr>
    </w:tbl>
    <w:p>
      <w:pPr>
        <w:spacing w:before="120" w:after="120"/>
        <w:jc w:val="center"/>
        <w:rPr>
          <w:i/>
          <w:iCs/>
        </w:rPr>
      </w:pPr>
      <w:r>
        <w:rPr>
          <w:rFonts w:hint="eastAsia"/>
          <w:i/>
          <w:iCs/>
        </w:rPr>
        <w:t>Figure 6 Capacity simulation results of pose/control traffic model in UL Indoor Hotspot scenario</w:t>
      </w:r>
    </w:p>
    <w:bookmarkEnd w:id="0"/>
    <w:p>
      <w:pPr>
        <w:spacing w:before="120" w:after="120"/>
      </w:pPr>
      <w:r>
        <w:rPr>
          <w:rFonts w:hint="eastAsia"/>
        </w:rPr>
        <w:t xml:space="preserve">According to </w:t>
      </w:r>
      <w:r>
        <w:rPr>
          <w:rFonts w:hint="eastAsia"/>
          <w:b/>
          <w:bCs/>
        </w:rPr>
        <w:t>Figure 6</w:t>
      </w:r>
      <w:r>
        <w:rPr>
          <w:rFonts w:hint="eastAsia"/>
        </w:rPr>
        <w:t>, with MU-MIMO, the capacity performance for {pose/control, fixed 100Bytes} in Indoor Hotspot scenario is larger than 40.</w:t>
      </w:r>
    </w:p>
    <w:p>
      <w:pPr>
        <w:pStyle w:val="4"/>
        <w:spacing w:after="120"/>
        <w:ind w:right="210"/>
      </w:pPr>
      <w:r>
        <w:rPr>
          <w:rFonts w:hint="eastAsia"/>
        </w:rPr>
        <w:t>FR1 DU UL</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580765" cy="2685415"/>
                  <wp:effectExtent l="0" t="0" r="0" b="635"/>
                  <wp:docPr id="1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0"/>
                          <pic:cNvPicPr>
                            <a:picLocks noChangeAspect="1"/>
                          </pic:cNvPicPr>
                        </pic:nvPicPr>
                        <pic:blipFill>
                          <a:blip r:embed="rId21" cstate="print"/>
                          <a:stretch>
                            <a:fillRect/>
                          </a:stretch>
                        </pic:blipFill>
                        <pic:spPr>
                          <a:xfrm>
                            <a:off x="0" y="0"/>
                            <a:ext cx="3580765" cy="2685415"/>
                          </a:xfrm>
                          <a:prstGeom prst="rect">
                            <a:avLst/>
                          </a:prstGeom>
                          <a:noFill/>
                          <a:ln>
                            <a:noFill/>
                          </a:ln>
                        </pic:spPr>
                      </pic:pic>
                    </a:graphicData>
                  </a:graphic>
                </wp:inline>
              </w:drawing>
            </w:r>
          </w:p>
        </w:tc>
      </w:tr>
    </w:tbl>
    <w:p>
      <w:pPr>
        <w:spacing w:before="120" w:after="120"/>
        <w:jc w:val="center"/>
        <w:rPr>
          <w:i/>
          <w:iCs/>
        </w:rPr>
      </w:pPr>
      <w:r>
        <w:rPr>
          <w:rFonts w:hint="eastAsia"/>
          <w:i/>
          <w:iCs/>
        </w:rPr>
        <w:t xml:space="preserve">Figure 7 Capacity simulation results </w:t>
      </w:r>
      <w:r>
        <w:rPr>
          <w:rFonts w:hint="eastAsia"/>
          <w:i/>
          <w:iCs/>
          <w:lang w:val="en-US" w:eastAsia="zh-CN"/>
        </w:rPr>
        <w:t xml:space="preserve">of </w:t>
      </w:r>
      <w:r>
        <w:rPr>
          <w:rFonts w:hint="eastAsia"/>
          <w:i/>
          <w:iCs/>
        </w:rPr>
        <w:t>{AR, 10Mbps}</w:t>
      </w:r>
      <w:r>
        <w:rPr>
          <w:rFonts w:hint="eastAsia"/>
          <w:i/>
          <w:iCs/>
        </w:rPr>
        <w:t xml:space="preserve"> in UL Dense Urban scenario</w:t>
      </w:r>
    </w:p>
    <w:p>
      <w:pPr>
        <w:spacing w:before="120" w:after="120"/>
      </w:pPr>
      <w:r>
        <w:rPr>
          <w:rFonts w:hint="eastAsia"/>
        </w:rPr>
        <w:t xml:space="preserve">According to </w:t>
      </w:r>
      <w:r>
        <w:rPr>
          <w:rFonts w:hint="eastAsia"/>
          <w:b/>
          <w:bCs/>
        </w:rPr>
        <w:t>Figure 7</w:t>
      </w:r>
      <w:r>
        <w:rPr>
          <w:rFonts w:hint="eastAsia"/>
        </w:rPr>
        <w:t>, with MU-MIMO, the capacity performance for {AR, 10Mbps} in Dense Urban scenario is 10.9.</w:t>
      </w:r>
    </w:p>
    <w:p>
      <w:pPr>
        <w:pStyle w:val="4"/>
        <w:spacing w:after="120"/>
        <w:ind w:right="210"/>
      </w:pPr>
      <w:r>
        <w:rPr>
          <w:rFonts w:hint="eastAsia"/>
        </w:rPr>
        <w:t>FR2 InH DL</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600450" cy="2700020"/>
                  <wp:effectExtent l="0" t="0" r="0" b="5080"/>
                  <wp:docPr id="1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0"/>
                          <pic:cNvPicPr>
                            <a:picLocks noChangeAspect="1"/>
                          </pic:cNvPicPr>
                        </pic:nvPicPr>
                        <pic:blipFill>
                          <a:blip r:embed="rId22" cstate="print"/>
                          <a:stretch>
                            <a:fillRect/>
                          </a:stretch>
                        </pic:blipFill>
                        <pic:spPr>
                          <a:xfrm>
                            <a:off x="0" y="0"/>
                            <a:ext cx="3600450" cy="2700020"/>
                          </a:xfrm>
                          <a:prstGeom prst="rect">
                            <a:avLst/>
                          </a:prstGeom>
                          <a:noFill/>
                          <a:ln>
                            <a:noFill/>
                          </a:ln>
                        </pic:spPr>
                      </pic:pic>
                    </a:graphicData>
                  </a:graphic>
                </wp:inline>
              </w:drawing>
            </w:r>
          </w:p>
        </w:tc>
      </w:tr>
    </w:tbl>
    <w:p>
      <w:pPr>
        <w:spacing w:before="120" w:after="120"/>
        <w:jc w:val="center"/>
        <w:rPr>
          <w:i/>
          <w:iCs/>
        </w:rPr>
      </w:pPr>
      <w:r>
        <w:rPr>
          <w:i/>
          <w:iCs/>
        </w:rPr>
        <w:t xml:space="preserve">Figure </w:t>
      </w:r>
      <w:r>
        <w:rPr>
          <w:rFonts w:hint="eastAsia"/>
          <w:i/>
          <w:iCs/>
        </w:rPr>
        <w:t>8 Capacity simulation results in indoor Hotspots scenario</w:t>
      </w:r>
    </w:p>
    <w:p>
      <w:pPr>
        <w:spacing w:before="120" w:after="120"/>
      </w:pPr>
      <w:r>
        <w:rPr>
          <w:rFonts w:hint="eastAsia"/>
        </w:rPr>
        <w:t xml:space="preserve">According to </w:t>
      </w:r>
      <w:r>
        <w:rPr>
          <w:rFonts w:hint="eastAsia"/>
          <w:b/>
          <w:bCs/>
        </w:rPr>
        <w:t>Figure 8</w:t>
      </w:r>
      <w:r>
        <w:rPr>
          <w:rFonts w:hint="eastAsia"/>
        </w:rPr>
        <w:t>, with SU-MIMO, the capacity performance for {AR/VR, 30Mbps} and {CG, 30Mbps} in Indoor Hotspot scenario are 7.8 and 9.9, respectively.</w:t>
      </w:r>
    </w:p>
    <w:p>
      <w:pPr>
        <w:pStyle w:val="4"/>
        <w:spacing w:after="120"/>
        <w:ind w:right="210"/>
      </w:pPr>
      <w:r>
        <w:rPr>
          <w:rFonts w:hint="eastAsia"/>
        </w:rPr>
        <w:t>Summary</w:t>
      </w:r>
    </w:p>
    <w:p>
      <w:pPr>
        <w:spacing w:before="120" w:after="120"/>
      </w:pPr>
      <w:r>
        <w:rPr>
          <w:rFonts w:hint="eastAsia"/>
        </w:rPr>
        <w:t>In summary, the baseline FR1 DL capacity performances for our evaluated traffic model and simulation scenario are listed as follows.</w:t>
      </w:r>
    </w:p>
    <w:p>
      <w:pPr>
        <w:spacing w:before="120" w:after="120"/>
        <w:jc w:val="center"/>
      </w:pPr>
      <w:r>
        <w:rPr>
          <w:rFonts w:hint="eastAsia"/>
        </w:rPr>
        <w:t>Table 1 Baseline capacity performance for FR1 DL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1392"/>
        <w:gridCol w:w="1392"/>
        <w:gridCol w:w="1392"/>
        <w:gridCol w:w="1392"/>
        <w:gridCol w:w="1392"/>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523" w:type="dxa"/>
            <w:vMerge w:val="restart"/>
            <w:vAlign w:val="center"/>
          </w:tcPr>
          <w:p>
            <w:pPr>
              <w:snapToGrid w:val="0"/>
              <w:spacing w:before="120" w:after="120"/>
              <w:jc w:val="center"/>
              <w:rPr>
                <w:b/>
                <w:bCs/>
              </w:rPr>
            </w:pPr>
            <w:r>
              <w:rPr>
                <w:rFonts w:hint="eastAsia"/>
                <w:b/>
                <w:bCs/>
              </w:rPr>
              <w:t>Scenario</w:t>
            </w:r>
          </w:p>
          <w:p>
            <w:pPr>
              <w:snapToGrid w:val="0"/>
              <w:spacing w:before="120" w:after="120"/>
              <w:jc w:val="center"/>
              <w:rPr>
                <w:b/>
                <w:bCs/>
              </w:rPr>
            </w:pPr>
          </w:p>
          <w:p>
            <w:pPr>
              <w:spacing w:before="120" w:after="120"/>
              <w:jc w:val="center"/>
              <w:rPr>
                <w:b/>
                <w:bCs/>
              </w:rPr>
            </w:pPr>
            <w:r>
              <w:rPr>
                <w:rFonts w:hint="eastAsia"/>
                <w:b/>
                <w:bCs/>
              </w:rPr>
              <w:t>Traffic</w:t>
            </w:r>
          </w:p>
        </w:tc>
        <w:tc>
          <w:tcPr>
            <w:tcW w:w="2784" w:type="dxa"/>
            <w:gridSpan w:val="2"/>
            <w:vAlign w:val="center"/>
          </w:tcPr>
          <w:p>
            <w:pPr>
              <w:spacing w:before="120" w:after="120"/>
              <w:jc w:val="center"/>
              <w:rPr>
                <w:b/>
                <w:bCs/>
              </w:rPr>
            </w:pPr>
            <w:r>
              <w:rPr>
                <w:rFonts w:hint="eastAsia"/>
                <w:b/>
                <w:bCs/>
              </w:rPr>
              <w:t>AR/VR, 30Mbps</w:t>
            </w:r>
          </w:p>
        </w:tc>
        <w:tc>
          <w:tcPr>
            <w:tcW w:w="2784" w:type="dxa"/>
            <w:gridSpan w:val="2"/>
            <w:vAlign w:val="center"/>
          </w:tcPr>
          <w:p>
            <w:pPr>
              <w:spacing w:before="120" w:after="120"/>
              <w:jc w:val="center"/>
              <w:rPr>
                <w:b/>
                <w:bCs/>
              </w:rPr>
            </w:pPr>
            <w:r>
              <w:rPr>
                <w:rFonts w:hint="eastAsia"/>
                <w:b/>
                <w:bCs/>
              </w:rPr>
              <w:t>CG, 30Mbps</w:t>
            </w:r>
          </w:p>
        </w:tc>
        <w:tc>
          <w:tcPr>
            <w:tcW w:w="2785" w:type="dxa"/>
            <w:gridSpan w:val="2"/>
            <w:vAlign w:val="center"/>
          </w:tcPr>
          <w:p>
            <w:pPr>
              <w:spacing w:before="120" w:after="120"/>
              <w:jc w:val="center"/>
              <w:rPr>
                <w:b/>
                <w:bCs/>
              </w:rPr>
            </w:pPr>
            <w:r>
              <w:rPr>
                <w:rFonts w:hint="eastAsia"/>
                <w:b/>
                <w:bCs/>
              </w:rPr>
              <w:t>AR/VR, 45Mbps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Merge w:val="continue"/>
            <w:vAlign w:val="center"/>
          </w:tcPr>
          <w:p>
            <w:pPr>
              <w:spacing w:before="120" w:after="120"/>
              <w:jc w:val="center"/>
              <w:rPr>
                <w:b/>
                <w:bCs/>
              </w:rPr>
            </w:pPr>
          </w:p>
        </w:tc>
        <w:tc>
          <w:tcPr>
            <w:tcW w:w="1392" w:type="dxa"/>
            <w:vAlign w:val="center"/>
          </w:tcPr>
          <w:p>
            <w:pPr>
              <w:spacing w:before="120" w:after="120"/>
              <w:jc w:val="center"/>
              <w:rPr>
                <w:b/>
                <w:bCs/>
              </w:rPr>
            </w:pPr>
            <w:r>
              <w:rPr>
                <w:rFonts w:hint="eastAsia"/>
                <w:b/>
                <w:bCs/>
              </w:rPr>
              <w:t>[10.5,150,50]</w:t>
            </w:r>
          </w:p>
        </w:tc>
        <w:tc>
          <w:tcPr>
            <w:tcW w:w="1392" w:type="dxa"/>
            <w:vAlign w:val="center"/>
          </w:tcPr>
          <w:p>
            <w:pPr>
              <w:spacing w:before="120" w:after="120"/>
              <w:jc w:val="center"/>
              <w:rPr>
                <w:b/>
                <w:bCs/>
              </w:rPr>
            </w:pPr>
            <w:r>
              <w:rPr>
                <w:rFonts w:hint="eastAsia"/>
                <w:b/>
                <w:bCs/>
              </w:rPr>
              <w:t>[3,109,91]</w:t>
            </w:r>
          </w:p>
        </w:tc>
        <w:tc>
          <w:tcPr>
            <w:tcW w:w="1392" w:type="dxa"/>
            <w:vAlign w:val="center"/>
          </w:tcPr>
          <w:p>
            <w:pPr>
              <w:spacing w:before="120" w:after="120"/>
              <w:jc w:val="center"/>
              <w:rPr>
                <w:b/>
                <w:bCs/>
              </w:rPr>
            </w:pPr>
            <w:r>
              <w:rPr>
                <w:rFonts w:hint="eastAsia"/>
                <w:b/>
                <w:bCs/>
              </w:rPr>
              <w:t>[10.5,150,50]</w:t>
            </w:r>
          </w:p>
        </w:tc>
        <w:tc>
          <w:tcPr>
            <w:tcW w:w="1392" w:type="dxa"/>
            <w:vAlign w:val="center"/>
          </w:tcPr>
          <w:p>
            <w:pPr>
              <w:spacing w:before="120" w:after="120"/>
              <w:jc w:val="center"/>
              <w:rPr>
                <w:b/>
                <w:bCs/>
              </w:rPr>
            </w:pPr>
            <w:r>
              <w:rPr>
                <w:rFonts w:hint="eastAsia"/>
                <w:b/>
                <w:bCs/>
              </w:rPr>
              <w:t>[3,109,91]</w:t>
            </w:r>
          </w:p>
        </w:tc>
        <w:tc>
          <w:tcPr>
            <w:tcW w:w="1392" w:type="dxa"/>
            <w:vAlign w:val="center"/>
          </w:tcPr>
          <w:p>
            <w:pPr>
              <w:spacing w:before="120" w:after="120"/>
              <w:jc w:val="center"/>
              <w:rPr>
                <w:b/>
                <w:bCs/>
              </w:rPr>
            </w:pPr>
            <w:r>
              <w:rPr>
                <w:rFonts w:hint="eastAsia"/>
                <w:b/>
                <w:bCs/>
              </w:rPr>
              <w:t>[10.5,150,50]</w:t>
            </w:r>
          </w:p>
        </w:tc>
        <w:tc>
          <w:tcPr>
            <w:tcW w:w="1393" w:type="dxa"/>
            <w:vAlign w:val="center"/>
          </w:tcPr>
          <w:p>
            <w:pPr>
              <w:spacing w:before="120" w:after="120"/>
              <w:jc w:val="center"/>
              <w:rPr>
                <w:b/>
                <w:bCs/>
              </w:rPr>
            </w:pPr>
            <w:r>
              <w:rPr>
                <w:rFonts w:hint="eastAsia"/>
                <w:b/>
                <w:bCs/>
              </w:rPr>
              <w:t>[3,109,91]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pPr>
            <w:r>
              <w:rPr>
                <w:rFonts w:hint="eastAsia"/>
              </w:rPr>
              <w:t>Indoor Hotspot</w:t>
            </w:r>
          </w:p>
        </w:tc>
        <w:tc>
          <w:tcPr>
            <w:tcW w:w="1392" w:type="dxa"/>
            <w:vAlign w:val="center"/>
          </w:tcPr>
          <w:p>
            <w:pPr>
              <w:spacing w:before="120" w:after="120"/>
              <w:jc w:val="center"/>
            </w:pPr>
            <w:r>
              <w:rPr>
                <w:rFonts w:hint="eastAsia"/>
              </w:rPr>
              <w:t>11.4</w:t>
            </w:r>
          </w:p>
        </w:tc>
        <w:tc>
          <w:tcPr>
            <w:tcW w:w="1392" w:type="dxa"/>
            <w:vAlign w:val="center"/>
          </w:tcPr>
          <w:p>
            <w:pPr>
              <w:spacing w:before="120" w:after="120"/>
              <w:jc w:val="center"/>
            </w:pPr>
            <w:r>
              <w:rPr>
                <w:rFonts w:hint="eastAsia"/>
              </w:rPr>
              <w:t>11.7</w:t>
            </w:r>
          </w:p>
        </w:tc>
        <w:tc>
          <w:tcPr>
            <w:tcW w:w="1392" w:type="dxa"/>
            <w:vAlign w:val="center"/>
          </w:tcPr>
          <w:p>
            <w:pPr>
              <w:spacing w:before="120" w:after="120"/>
              <w:jc w:val="center"/>
            </w:pPr>
            <w:r>
              <w:rPr>
                <w:rFonts w:hint="eastAsia"/>
              </w:rPr>
              <w:t>12.9</w:t>
            </w:r>
          </w:p>
        </w:tc>
        <w:tc>
          <w:tcPr>
            <w:tcW w:w="1392" w:type="dxa"/>
            <w:vAlign w:val="center"/>
          </w:tcPr>
          <w:p>
            <w:pPr>
              <w:spacing w:before="120" w:after="120"/>
              <w:jc w:val="center"/>
            </w:pPr>
            <w:r>
              <w:rPr>
                <w:rFonts w:hint="eastAsia"/>
              </w:rPr>
              <w:t>13.3</w:t>
            </w:r>
          </w:p>
        </w:tc>
        <w:tc>
          <w:tcPr>
            <w:tcW w:w="1392" w:type="dxa"/>
            <w:vAlign w:val="center"/>
          </w:tcPr>
          <w:p>
            <w:pPr>
              <w:spacing w:before="120" w:after="120"/>
              <w:jc w:val="center"/>
            </w:pPr>
            <w:r>
              <w:rPr>
                <w:rFonts w:hint="eastAsia"/>
              </w:rPr>
              <w:t>7.2</w:t>
            </w:r>
          </w:p>
        </w:tc>
        <w:tc>
          <w:tcPr>
            <w:tcW w:w="1393" w:type="dxa"/>
            <w:vAlign w:val="center"/>
          </w:tcPr>
          <w:p>
            <w:pPr>
              <w:spacing w:before="120" w:after="120"/>
              <w:jc w:val="center"/>
            </w:pPr>
            <w:r>
              <w:rPr>
                <w:rFonts w:hint="eastAsia"/>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pPr>
            <w:r>
              <w:rPr>
                <w:rFonts w:hint="eastAsia"/>
              </w:rPr>
              <w:t>Dense Urban</w:t>
            </w:r>
          </w:p>
        </w:tc>
        <w:tc>
          <w:tcPr>
            <w:tcW w:w="1392" w:type="dxa"/>
            <w:vAlign w:val="center"/>
          </w:tcPr>
          <w:p>
            <w:pPr>
              <w:spacing w:before="120" w:after="120"/>
              <w:jc w:val="center"/>
            </w:pPr>
            <w:r>
              <w:rPr>
                <w:rFonts w:hint="eastAsia"/>
              </w:rPr>
              <w:t>12.5</w:t>
            </w:r>
          </w:p>
        </w:tc>
        <w:tc>
          <w:tcPr>
            <w:tcW w:w="1392" w:type="dxa"/>
            <w:vAlign w:val="center"/>
          </w:tcPr>
          <w:p>
            <w:pPr>
              <w:spacing w:before="120" w:after="120"/>
              <w:jc w:val="center"/>
            </w:pPr>
            <w:r>
              <w:rPr>
                <w:rFonts w:hint="eastAsia"/>
              </w:rPr>
              <w:t>13.2</w:t>
            </w:r>
          </w:p>
        </w:tc>
        <w:tc>
          <w:tcPr>
            <w:tcW w:w="1392" w:type="dxa"/>
            <w:vAlign w:val="center"/>
          </w:tcPr>
          <w:p>
            <w:pPr>
              <w:spacing w:before="120" w:after="120"/>
              <w:jc w:val="center"/>
            </w:pPr>
            <w:r>
              <w:rPr>
                <w:rFonts w:hint="eastAsia"/>
              </w:rPr>
              <w:t>14.7</w:t>
            </w:r>
          </w:p>
        </w:tc>
        <w:tc>
          <w:tcPr>
            <w:tcW w:w="1392" w:type="dxa"/>
            <w:vAlign w:val="center"/>
          </w:tcPr>
          <w:p>
            <w:pPr>
              <w:spacing w:before="120" w:after="120"/>
              <w:jc w:val="center"/>
            </w:pPr>
            <w:r>
              <w:rPr>
                <w:rFonts w:hint="eastAsia"/>
              </w:rPr>
              <w:t>14.8</w:t>
            </w:r>
          </w:p>
        </w:tc>
        <w:tc>
          <w:tcPr>
            <w:tcW w:w="1392" w:type="dxa"/>
            <w:vAlign w:val="center"/>
          </w:tcPr>
          <w:p>
            <w:pPr>
              <w:spacing w:before="120" w:after="120"/>
              <w:jc w:val="center"/>
            </w:pPr>
            <w:r>
              <w:rPr>
                <w:rFonts w:hint="eastAsia"/>
              </w:rPr>
              <w:t>7.8</w:t>
            </w:r>
          </w:p>
        </w:tc>
        <w:tc>
          <w:tcPr>
            <w:tcW w:w="1393" w:type="dxa"/>
            <w:vAlign w:val="center"/>
          </w:tcPr>
          <w:p>
            <w:pPr>
              <w:spacing w:before="120" w:after="120"/>
              <w:jc w:val="center"/>
            </w:pPr>
            <w:r>
              <w:rPr>
                <w:rFonts w:hint="eastAsia"/>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pPr>
            <w:r>
              <w:rPr>
                <w:rFonts w:hint="eastAsia"/>
              </w:rPr>
              <w:t>Urban Marco</w:t>
            </w:r>
          </w:p>
        </w:tc>
        <w:tc>
          <w:tcPr>
            <w:tcW w:w="1392" w:type="dxa"/>
            <w:vAlign w:val="center"/>
          </w:tcPr>
          <w:p>
            <w:pPr>
              <w:spacing w:before="120" w:after="120"/>
              <w:jc w:val="center"/>
            </w:pPr>
            <w:r>
              <w:rPr>
                <w:rFonts w:hint="eastAsia"/>
              </w:rPr>
              <w:t>10.0</w:t>
            </w:r>
          </w:p>
        </w:tc>
        <w:tc>
          <w:tcPr>
            <w:tcW w:w="1392" w:type="dxa"/>
            <w:vAlign w:val="center"/>
          </w:tcPr>
          <w:p>
            <w:pPr>
              <w:spacing w:before="120" w:after="120"/>
              <w:jc w:val="center"/>
            </w:pPr>
            <w:r>
              <w:rPr>
                <w:rFonts w:hint="eastAsia"/>
              </w:rPr>
              <w:t>-</w:t>
            </w:r>
          </w:p>
        </w:tc>
        <w:tc>
          <w:tcPr>
            <w:tcW w:w="1392" w:type="dxa"/>
            <w:vAlign w:val="center"/>
          </w:tcPr>
          <w:p>
            <w:pPr>
              <w:spacing w:before="120" w:after="120"/>
              <w:jc w:val="center"/>
            </w:pPr>
            <w:r>
              <w:rPr>
                <w:rFonts w:hint="eastAsia"/>
              </w:rPr>
              <w:t>11.6</w:t>
            </w:r>
          </w:p>
        </w:tc>
        <w:tc>
          <w:tcPr>
            <w:tcW w:w="1392" w:type="dxa"/>
            <w:vAlign w:val="center"/>
          </w:tcPr>
          <w:p>
            <w:pPr>
              <w:spacing w:before="120" w:after="120"/>
              <w:jc w:val="center"/>
            </w:pPr>
            <w:r>
              <w:rPr>
                <w:rFonts w:hint="eastAsia"/>
              </w:rPr>
              <w:t>-</w:t>
            </w:r>
          </w:p>
        </w:tc>
        <w:tc>
          <w:tcPr>
            <w:tcW w:w="1392" w:type="dxa"/>
            <w:vAlign w:val="center"/>
          </w:tcPr>
          <w:p>
            <w:pPr>
              <w:spacing w:before="120" w:after="120"/>
              <w:jc w:val="center"/>
            </w:pPr>
            <w:r>
              <w:rPr>
                <w:rFonts w:hint="eastAsia"/>
              </w:rPr>
              <w:t>6.0</w:t>
            </w:r>
          </w:p>
        </w:tc>
        <w:tc>
          <w:tcPr>
            <w:tcW w:w="1393" w:type="dxa"/>
            <w:vAlign w:val="center"/>
          </w:tcPr>
          <w:p>
            <w:pPr>
              <w:spacing w:before="120" w:after="120"/>
              <w:jc w:val="center"/>
            </w:pPr>
            <w:r>
              <w:rPr>
                <w:rFonts w:hint="eastAsia"/>
              </w:rPr>
              <w:t>-</w:t>
            </w:r>
          </w:p>
        </w:tc>
      </w:tr>
    </w:tbl>
    <w:p>
      <w:pPr>
        <w:pStyle w:val="50"/>
        <w:spacing w:before="120" w:after="120"/>
        <w:rPr>
          <w:rFonts w:eastAsia="宋体"/>
          <w:lang w:val="en-US" w:eastAsia="zh-CN"/>
        </w:rPr>
      </w:pPr>
      <w:bookmarkStart w:id="1" w:name="_Toc31718"/>
      <w:bookmarkStart w:id="2" w:name="_Toc11715"/>
      <w:r>
        <w:rPr>
          <w:rFonts w:hint="eastAsia" w:eastAsia="宋体"/>
          <w:lang w:val="en-US" w:eastAsia="zh-CN"/>
        </w:rPr>
        <w:t>For FR1 DL transmission with 99% reliability requirement, the capacity results can be summarized as follows.</w:t>
      </w:r>
      <w:bookmarkEnd w:id="1"/>
      <w:bookmarkEnd w:id="2"/>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1392"/>
        <w:gridCol w:w="1392"/>
        <w:gridCol w:w="1392"/>
        <w:gridCol w:w="1392"/>
        <w:gridCol w:w="1392"/>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523" w:type="dxa"/>
            <w:vMerge w:val="restart"/>
            <w:vAlign w:val="center"/>
          </w:tcPr>
          <w:p>
            <w:pPr>
              <w:snapToGrid w:val="0"/>
              <w:spacing w:before="120" w:after="120"/>
              <w:jc w:val="center"/>
              <w:rPr>
                <w:b/>
                <w:bCs/>
                <w:i/>
                <w:iCs/>
                <w:sz w:val="20"/>
              </w:rPr>
            </w:pPr>
            <w:r>
              <w:rPr>
                <w:rFonts w:hint="eastAsia"/>
                <w:b/>
                <w:bCs/>
                <w:i/>
                <w:iCs/>
                <w:sz w:val="20"/>
              </w:rPr>
              <w:t>Scenario</w:t>
            </w:r>
          </w:p>
          <w:p>
            <w:pPr>
              <w:snapToGrid w:val="0"/>
              <w:spacing w:before="120" w:after="120"/>
              <w:jc w:val="center"/>
              <w:rPr>
                <w:b/>
                <w:bCs/>
                <w:i/>
                <w:iCs/>
                <w:sz w:val="20"/>
              </w:rPr>
            </w:pPr>
          </w:p>
          <w:p>
            <w:pPr>
              <w:spacing w:before="120" w:after="120"/>
              <w:jc w:val="center"/>
              <w:rPr>
                <w:b/>
                <w:bCs/>
                <w:i/>
                <w:iCs/>
                <w:sz w:val="20"/>
              </w:rPr>
            </w:pPr>
            <w:r>
              <w:rPr>
                <w:rFonts w:hint="eastAsia"/>
                <w:b/>
                <w:bCs/>
                <w:i/>
                <w:iCs/>
                <w:sz w:val="20"/>
              </w:rPr>
              <w:t>Traffic</w:t>
            </w:r>
          </w:p>
        </w:tc>
        <w:tc>
          <w:tcPr>
            <w:tcW w:w="2784" w:type="dxa"/>
            <w:gridSpan w:val="2"/>
            <w:vAlign w:val="center"/>
          </w:tcPr>
          <w:p>
            <w:pPr>
              <w:spacing w:before="120" w:after="120"/>
              <w:jc w:val="center"/>
              <w:rPr>
                <w:b/>
                <w:bCs/>
                <w:i/>
                <w:iCs/>
                <w:sz w:val="20"/>
              </w:rPr>
            </w:pPr>
            <w:r>
              <w:rPr>
                <w:rFonts w:hint="eastAsia"/>
                <w:b/>
                <w:bCs/>
                <w:i/>
                <w:iCs/>
                <w:sz w:val="20"/>
              </w:rPr>
              <w:t>AR/VR, 30Mbps</w:t>
            </w:r>
          </w:p>
        </w:tc>
        <w:tc>
          <w:tcPr>
            <w:tcW w:w="2784" w:type="dxa"/>
            <w:gridSpan w:val="2"/>
            <w:vAlign w:val="center"/>
          </w:tcPr>
          <w:p>
            <w:pPr>
              <w:spacing w:before="120" w:after="120"/>
              <w:jc w:val="center"/>
              <w:rPr>
                <w:b/>
                <w:bCs/>
                <w:i/>
                <w:iCs/>
                <w:sz w:val="20"/>
              </w:rPr>
            </w:pPr>
            <w:r>
              <w:rPr>
                <w:rFonts w:hint="eastAsia"/>
                <w:b/>
                <w:bCs/>
                <w:i/>
                <w:iCs/>
                <w:sz w:val="20"/>
              </w:rPr>
              <w:t>CG, 30Mbps</w:t>
            </w:r>
          </w:p>
        </w:tc>
        <w:tc>
          <w:tcPr>
            <w:tcW w:w="2785" w:type="dxa"/>
            <w:gridSpan w:val="2"/>
            <w:vAlign w:val="center"/>
          </w:tcPr>
          <w:p>
            <w:pPr>
              <w:spacing w:before="120" w:after="120"/>
              <w:jc w:val="center"/>
              <w:rPr>
                <w:b/>
                <w:bCs/>
                <w:i/>
                <w:iCs/>
                <w:sz w:val="20"/>
              </w:rPr>
            </w:pPr>
            <w:r>
              <w:rPr>
                <w:rFonts w:hint="eastAsia"/>
                <w:b/>
                <w:bCs/>
                <w:i/>
                <w:iCs/>
                <w:sz w:val="20"/>
              </w:rPr>
              <w:t>AR/VR, 45Mbps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Merge w:val="continue"/>
            <w:vAlign w:val="center"/>
          </w:tcPr>
          <w:p>
            <w:pPr>
              <w:spacing w:before="120" w:after="120"/>
              <w:jc w:val="center"/>
              <w:rPr>
                <w:b/>
                <w:bCs/>
                <w:i/>
                <w:iCs/>
                <w:sz w:val="20"/>
              </w:rPr>
            </w:pPr>
          </w:p>
        </w:tc>
        <w:tc>
          <w:tcPr>
            <w:tcW w:w="1392" w:type="dxa"/>
            <w:vAlign w:val="center"/>
          </w:tcPr>
          <w:p>
            <w:pPr>
              <w:spacing w:before="120" w:after="120"/>
              <w:jc w:val="center"/>
              <w:rPr>
                <w:b/>
                <w:bCs/>
                <w:i/>
                <w:iCs/>
                <w:sz w:val="20"/>
              </w:rPr>
            </w:pPr>
            <w:r>
              <w:rPr>
                <w:rFonts w:hint="eastAsia"/>
                <w:b/>
                <w:bCs/>
                <w:i/>
                <w:iCs/>
                <w:sz w:val="20"/>
              </w:rPr>
              <w:t>[10.5,150,50]</w:t>
            </w:r>
          </w:p>
        </w:tc>
        <w:tc>
          <w:tcPr>
            <w:tcW w:w="1392" w:type="dxa"/>
            <w:vAlign w:val="center"/>
          </w:tcPr>
          <w:p>
            <w:pPr>
              <w:spacing w:before="120" w:after="120"/>
              <w:jc w:val="center"/>
              <w:rPr>
                <w:b/>
                <w:bCs/>
                <w:i/>
                <w:iCs/>
                <w:sz w:val="20"/>
              </w:rPr>
            </w:pPr>
            <w:r>
              <w:rPr>
                <w:rFonts w:hint="eastAsia"/>
                <w:b/>
                <w:bCs/>
                <w:i/>
                <w:iCs/>
                <w:sz w:val="20"/>
              </w:rPr>
              <w:t>[3,109,91]</w:t>
            </w:r>
          </w:p>
        </w:tc>
        <w:tc>
          <w:tcPr>
            <w:tcW w:w="1392" w:type="dxa"/>
            <w:vAlign w:val="center"/>
          </w:tcPr>
          <w:p>
            <w:pPr>
              <w:spacing w:before="120" w:after="120"/>
              <w:jc w:val="center"/>
              <w:rPr>
                <w:b/>
                <w:bCs/>
                <w:i/>
                <w:iCs/>
                <w:sz w:val="20"/>
              </w:rPr>
            </w:pPr>
            <w:r>
              <w:rPr>
                <w:rFonts w:hint="eastAsia"/>
                <w:b/>
                <w:bCs/>
                <w:i/>
                <w:iCs/>
                <w:sz w:val="20"/>
              </w:rPr>
              <w:t>[10.5,150,50]</w:t>
            </w:r>
          </w:p>
        </w:tc>
        <w:tc>
          <w:tcPr>
            <w:tcW w:w="1392" w:type="dxa"/>
            <w:vAlign w:val="center"/>
          </w:tcPr>
          <w:p>
            <w:pPr>
              <w:spacing w:before="120" w:after="120"/>
              <w:jc w:val="center"/>
              <w:rPr>
                <w:b/>
                <w:bCs/>
                <w:i/>
                <w:iCs/>
                <w:sz w:val="20"/>
              </w:rPr>
            </w:pPr>
            <w:r>
              <w:rPr>
                <w:rFonts w:hint="eastAsia"/>
                <w:b/>
                <w:bCs/>
                <w:i/>
                <w:iCs/>
                <w:sz w:val="20"/>
              </w:rPr>
              <w:t>[3,109,91]</w:t>
            </w:r>
          </w:p>
        </w:tc>
        <w:tc>
          <w:tcPr>
            <w:tcW w:w="1392" w:type="dxa"/>
            <w:vAlign w:val="center"/>
          </w:tcPr>
          <w:p>
            <w:pPr>
              <w:spacing w:before="120" w:after="120"/>
              <w:jc w:val="center"/>
              <w:rPr>
                <w:b/>
                <w:bCs/>
                <w:i/>
                <w:iCs/>
                <w:sz w:val="20"/>
              </w:rPr>
            </w:pPr>
            <w:r>
              <w:rPr>
                <w:rFonts w:hint="eastAsia"/>
                <w:b/>
                <w:bCs/>
                <w:i/>
                <w:iCs/>
                <w:sz w:val="20"/>
              </w:rPr>
              <w:t>[10.5,150,50]</w:t>
            </w:r>
          </w:p>
        </w:tc>
        <w:tc>
          <w:tcPr>
            <w:tcW w:w="1393" w:type="dxa"/>
            <w:vAlign w:val="center"/>
          </w:tcPr>
          <w:p>
            <w:pPr>
              <w:spacing w:before="120" w:after="120"/>
              <w:jc w:val="center"/>
              <w:rPr>
                <w:b/>
                <w:bCs/>
                <w:i/>
                <w:iCs/>
                <w:sz w:val="20"/>
              </w:rPr>
            </w:pPr>
            <w:r>
              <w:rPr>
                <w:rFonts w:hint="eastAsia"/>
                <w:b/>
                <w:bCs/>
                <w:i/>
                <w:iCs/>
                <w:sz w:val="20"/>
              </w:rPr>
              <w:t>[3,109,91]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rPr>
                <w:b/>
                <w:bCs/>
                <w:i/>
                <w:iCs/>
                <w:sz w:val="20"/>
              </w:rPr>
            </w:pPr>
            <w:r>
              <w:rPr>
                <w:rFonts w:hint="eastAsia"/>
                <w:b/>
                <w:bCs/>
                <w:i/>
                <w:iCs/>
                <w:sz w:val="20"/>
              </w:rPr>
              <w:t>Indoor Hotspot</w:t>
            </w:r>
          </w:p>
        </w:tc>
        <w:tc>
          <w:tcPr>
            <w:tcW w:w="1392" w:type="dxa"/>
            <w:vAlign w:val="center"/>
          </w:tcPr>
          <w:p>
            <w:pPr>
              <w:spacing w:before="120" w:after="120"/>
              <w:jc w:val="center"/>
              <w:rPr>
                <w:b/>
                <w:bCs/>
                <w:i/>
                <w:iCs/>
                <w:sz w:val="20"/>
              </w:rPr>
            </w:pPr>
            <w:r>
              <w:rPr>
                <w:rFonts w:hint="eastAsia"/>
                <w:b/>
                <w:bCs/>
                <w:i/>
                <w:iCs/>
                <w:sz w:val="20"/>
              </w:rPr>
              <w:t>11.4</w:t>
            </w:r>
          </w:p>
        </w:tc>
        <w:tc>
          <w:tcPr>
            <w:tcW w:w="1392" w:type="dxa"/>
            <w:vAlign w:val="center"/>
          </w:tcPr>
          <w:p>
            <w:pPr>
              <w:spacing w:before="120" w:after="120"/>
              <w:jc w:val="center"/>
              <w:rPr>
                <w:b/>
                <w:bCs/>
                <w:i/>
                <w:iCs/>
                <w:sz w:val="20"/>
              </w:rPr>
            </w:pPr>
            <w:r>
              <w:rPr>
                <w:rFonts w:hint="eastAsia"/>
                <w:b/>
                <w:bCs/>
                <w:i/>
                <w:iCs/>
                <w:sz w:val="20"/>
              </w:rPr>
              <w:t>11.7</w:t>
            </w:r>
          </w:p>
        </w:tc>
        <w:tc>
          <w:tcPr>
            <w:tcW w:w="1392" w:type="dxa"/>
            <w:vAlign w:val="center"/>
          </w:tcPr>
          <w:p>
            <w:pPr>
              <w:spacing w:before="120" w:after="120"/>
              <w:jc w:val="center"/>
              <w:rPr>
                <w:b/>
                <w:bCs/>
                <w:i/>
                <w:iCs/>
                <w:sz w:val="20"/>
              </w:rPr>
            </w:pPr>
            <w:r>
              <w:rPr>
                <w:rFonts w:hint="eastAsia"/>
                <w:b/>
                <w:bCs/>
                <w:i/>
                <w:iCs/>
                <w:sz w:val="20"/>
              </w:rPr>
              <w:t>12.9</w:t>
            </w:r>
          </w:p>
        </w:tc>
        <w:tc>
          <w:tcPr>
            <w:tcW w:w="1392" w:type="dxa"/>
            <w:vAlign w:val="center"/>
          </w:tcPr>
          <w:p>
            <w:pPr>
              <w:spacing w:before="120" w:after="120"/>
              <w:jc w:val="center"/>
              <w:rPr>
                <w:b/>
                <w:bCs/>
                <w:i/>
                <w:iCs/>
                <w:sz w:val="20"/>
              </w:rPr>
            </w:pPr>
            <w:r>
              <w:rPr>
                <w:rFonts w:hint="eastAsia"/>
                <w:b/>
                <w:bCs/>
                <w:i/>
                <w:iCs/>
                <w:sz w:val="20"/>
              </w:rPr>
              <w:t>13.3</w:t>
            </w:r>
          </w:p>
        </w:tc>
        <w:tc>
          <w:tcPr>
            <w:tcW w:w="1392" w:type="dxa"/>
            <w:vAlign w:val="center"/>
          </w:tcPr>
          <w:p>
            <w:pPr>
              <w:spacing w:before="120" w:after="120"/>
              <w:jc w:val="center"/>
              <w:rPr>
                <w:b/>
                <w:bCs/>
                <w:i/>
                <w:iCs/>
                <w:sz w:val="20"/>
              </w:rPr>
            </w:pPr>
            <w:r>
              <w:rPr>
                <w:rFonts w:hint="eastAsia"/>
                <w:b/>
                <w:bCs/>
                <w:i/>
                <w:iCs/>
                <w:sz w:val="20"/>
              </w:rPr>
              <w:t>7.2</w:t>
            </w:r>
          </w:p>
        </w:tc>
        <w:tc>
          <w:tcPr>
            <w:tcW w:w="1393" w:type="dxa"/>
            <w:vAlign w:val="center"/>
          </w:tcPr>
          <w:p>
            <w:pPr>
              <w:spacing w:before="120" w:after="120"/>
              <w:jc w:val="center"/>
              <w:rPr>
                <w:b/>
                <w:bCs/>
                <w:i/>
                <w:iCs/>
                <w:sz w:val="20"/>
              </w:rPr>
            </w:pPr>
            <w:r>
              <w:rPr>
                <w:rFonts w:hint="eastAsia"/>
                <w:b/>
                <w:bCs/>
                <w:i/>
                <w:iCs/>
                <w:sz w:val="20"/>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rPr>
                <w:b/>
                <w:bCs/>
                <w:i/>
                <w:iCs/>
                <w:sz w:val="20"/>
              </w:rPr>
            </w:pPr>
            <w:r>
              <w:rPr>
                <w:rFonts w:hint="eastAsia"/>
                <w:b/>
                <w:bCs/>
                <w:i/>
                <w:iCs/>
                <w:sz w:val="20"/>
              </w:rPr>
              <w:t>Dense Urban</w:t>
            </w:r>
          </w:p>
        </w:tc>
        <w:tc>
          <w:tcPr>
            <w:tcW w:w="1392" w:type="dxa"/>
            <w:vAlign w:val="center"/>
          </w:tcPr>
          <w:p>
            <w:pPr>
              <w:spacing w:before="120" w:after="120"/>
              <w:jc w:val="center"/>
              <w:rPr>
                <w:b/>
                <w:bCs/>
                <w:i/>
                <w:iCs/>
                <w:sz w:val="20"/>
              </w:rPr>
            </w:pPr>
            <w:r>
              <w:rPr>
                <w:rFonts w:hint="eastAsia"/>
                <w:b/>
                <w:bCs/>
                <w:i/>
                <w:iCs/>
                <w:sz w:val="20"/>
              </w:rPr>
              <w:t>12.5</w:t>
            </w:r>
          </w:p>
        </w:tc>
        <w:tc>
          <w:tcPr>
            <w:tcW w:w="1392" w:type="dxa"/>
            <w:vAlign w:val="center"/>
          </w:tcPr>
          <w:p>
            <w:pPr>
              <w:spacing w:before="120" w:after="120"/>
              <w:jc w:val="center"/>
              <w:rPr>
                <w:b/>
                <w:bCs/>
                <w:i/>
                <w:iCs/>
                <w:sz w:val="20"/>
              </w:rPr>
            </w:pPr>
            <w:r>
              <w:rPr>
                <w:rFonts w:hint="eastAsia"/>
                <w:b/>
                <w:bCs/>
                <w:i/>
                <w:iCs/>
                <w:sz w:val="20"/>
              </w:rPr>
              <w:t>13.2</w:t>
            </w:r>
          </w:p>
        </w:tc>
        <w:tc>
          <w:tcPr>
            <w:tcW w:w="1392" w:type="dxa"/>
            <w:vAlign w:val="center"/>
          </w:tcPr>
          <w:p>
            <w:pPr>
              <w:spacing w:before="120" w:after="120"/>
              <w:jc w:val="center"/>
              <w:rPr>
                <w:b/>
                <w:bCs/>
                <w:i/>
                <w:iCs/>
                <w:sz w:val="20"/>
              </w:rPr>
            </w:pPr>
            <w:r>
              <w:rPr>
                <w:rFonts w:hint="eastAsia"/>
                <w:b/>
                <w:bCs/>
                <w:i/>
                <w:iCs/>
                <w:sz w:val="20"/>
              </w:rPr>
              <w:t>14.7</w:t>
            </w:r>
          </w:p>
        </w:tc>
        <w:tc>
          <w:tcPr>
            <w:tcW w:w="1392" w:type="dxa"/>
            <w:vAlign w:val="center"/>
          </w:tcPr>
          <w:p>
            <w:pPr>
              <w:spacing w:before="120" w:after="120"/>
              <w:jc w:val="center"/>
              <w:rPr>
                <w:b/>
                <w:bCs/>
                <w:i/>
                <w:iCs/>
                <w:sz w:val="20"/>
              </w:rPr>
            </w:pPr>
            <w:r>
              <w:rPr>
                <w:rFonts w:hint="eastAsia"/>
                <w:b/>
                <w:bCs/>
                <w:i/>
                <w:iCs/>
                <w:sz w:val="20"/>
              </w:rPr>
              <w:t>14.8</w:t>
            </w:r>
          </w:p>
        </w:tc>
        <w:tc>
          <w:tcPr>
            <w:tcW w:w="1392" w:type="dxa"/>
            <w:vAlign w:val="center"/>
          </w:tcPr>
          <w:p>
            <w:pPr>
              <w:spacing w:before="120" w:after="120"/>
              <w:jc w:val="center"/>
              <w:rPr>
                <w:b/>
                <w:bCs/>
                <w:i/>
                <w:iCs/>
                <w:sz w:val="20"/>
              </w:rPr>
            </w:pPr>
            <w:r>
              <w:rPr>
                <w:rFonts w:hint="eastAsia"/>
                <w:b/>
                <w:bCs/>
                <w:i/>
                <w:iCs/>
                <w:sz w:val="20"/>
              </w:rPr>
              <w:t>7.8</w:t>
            </w:r>
          </w:p>
        </w:tc>
        <w:tc>
          <w:tcPr>
            <w:tcW w:w="1393" w:type="dxa"/>
            <w:vAlign w:val="center"/>
          </w:tcPr>
          <w:p>
            <w:pPr>
              <w:spacing w:before="120" w:after="120"/>
              <w:jc w:val="center"/>
              <w:rPr>
                <w:b/>
                <w:bCs/>
                <w:i/>
                <w:iCs/>
                <w:sz w:val="20"/>
              </w:rPr>
            </w:pPr>
            <w:r>
              <w:rPr>
                <w:rFonts w:hint="eastAsia"/>
                <w:b/>
                <w:bCs/>
                <w:i/>
                <w:iCs/>
                <w:sz w:val="20"/>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rPr>
                <w:b/>
                <w:bCs/>
                <w:i/>
                <w:iCs/>
                <w:sz w:val="20"/>
              </w:rPr>
            </w:pPr>
            <w:r>
              <w:rPr>
                <w:rFonts w:hint="eastAsia"/>
                <w:b/>
                <w:bCs/>
                <w:i/>
                <w:iCs/>
                <w:sz w:val="20"/>
              </w:rPr>
              <w:t>Urban Marco</w:t>
            </w:r>
          </w:p>
        </w:tc>
        <w:tc>
          <w:tcPr>
            <w:tcW w:w="1392" w:type="dxa"/>
            <w:vAlign w:val="center"/>
          </w:tcPr>
          <w:p>
            <w:pPr>
              <w:spacing w:before="120" w:after="120"/>
              <w:jc w:val="center"/>
              <w:rPr>
                <w:b/>
                <w:bCs/>
                <w:i/>
                <w:iCs/>
                <w:sz w:val="20"/>
              </w:rPr>
            </w:pPr>
            <w:r>
              <w:rPr>
                <w:rFonts w:hint="eastAsia"/>
                <w:b/>
                <w:bCs/>
                <w:i/>
                <w:iCs/>
                <w:sz w:val="20"/>
              </w:rPr>
              <w:t>10.0</w:t>
            </w:r>
          </w:p>
        </w:tc>
        <w:tc>
          <w:tcPr>
            <w:tcW w:w="1392" w:type="dxa"/>
            <w:vAlign w:val="center"/>
          </w:tcPr>
          <w:p>
            <w:pPr>
              <w:spacing w:before="120" w:after="120"/>
              <w:jc w:val="center"/>
              <w:rPr>
                <w:b/>
                <w:bCs/>
                <w:i/>
                <w:iCs/>
                <w:sz w:val="20"/>
              </w:rPr>
            </w:pPr>
            <w:r>
              <w:rPr>
                <w:rFonts w:hint="eastAsia"/>
                <w:b/>
                <w:bCs/>
                <w:i/>
                <w:iCs/>
                <w:sz w:val="20"/>
              </w:rPr>
              <w:t>-</w:t>
            </w:r>
          </w:p>
        </w:tc>
        <w:tc>
          <w:tcPr>
            <w:tcW w:w="1392" w:type="dxa"/>
            <w:vAlign w:val="center"/>
          </w:tcPr>
          <w:p>
            <w:pPr>
              <w:spacing w:before="120" w:after="120"/>
              <w:jc w:val="center"/>
              <w:rPr>
                <w:b/>
                <w:bCs/>
                <w:i/>
                <w:iCs/>
                <w:sz w:val="20"/>
              </w:rPr>
            </w:pPr>
            <w:r>
              <w:rPr>
                <w:rFonts w:hint="eastAsia"/>
                <w:b/>
                <w:bCs/>
                <w:i/>
                <w:iCs/>
                <w:sz w:val="20"/>
              </w:rPr>
              <w:t>11.6</w:t>
            </w:r>
          </w:p>
        </w:tc>
        <w:tc>
          <w:tcPr>
            <w:tcW w:w="1392" w:type="dxa"/>
            <w:vAlign w:val="center"/>
          </w:tcPr>
          <w:p>
            <w:pPr>
              <w:spacing w:before="120" w:after="120"/>
              <w:jc w:val="center"/>
              <w:rPr>
                <w:b/>
                <w:bCs/>
                <w:i/>
                <w:iCs/>
                <w:sz w:val="20"/>
              </w:rPr>
            </w:pPr>
            <w:r>
              <w:rPr>
                <w:rFonts w:hint="eastAsia"/>
                <w:b/>
                <w:bCs/>
                <w:i/>
                <w:iCs/>
                <w:sz w:val="20"/>
              </w:rPr>
              <w:t>-</w:t>
            </w:r>
          </w:p>
        </w:tc>
        <w:tc>
          <w:tcPr>
            <w:tcW w:w="1392" w:type="dxa"/>
            <w:vAlign w:val="center"/>
          </w:tcPr>
          <w:p>
            <w:pPr>
              <w:spacing w:before="120" w:after="120"/>
              <w:jc w:val="center"/>
              <w:rPr>
                <w:b/>
                <w:bCs/>
                <w:i/>
                <w:iCs/>
                <w:sz w:val="20"/>
              </w:rPr>
            </w:pPr>
            <w:r>
              <w:rPr>
                <w:rFonts w:hint="eastAsia"/>
                <w:b/>
                <w:bCs/>
                <w:i/>
                <w:iCs/>
                <w:sz w:val="20"/>
              </w:rPr>
              <w:t>6.0</w:t>
            </w:r>
          </w:p>
        </w:tc>
        <w:tc>
          <w:tcPr>
            <w:tcW w:w="1393" w:type="dxa"/>
            <w:vAlign w:val="center"/>
          </w:tcPr>
          <w:p>
            <w:pPr>
              <w:spacing w:before="120" w:after="120"/>
              <w:jc w:val="center"/>
              <w:rPr>
                <w:b/>
                <w:bCs/>
                <w:i/>
                <w:iCs/>
                <w:sz w:val="20"/>
              </w:rPr>
            </w:pPr>
            <w:r>
              <w:rPr>
                <w:rFonts w:hint="eastAsia"/>
                <w:b/>
                <w:bCs/>
                <w:i/>
                <w:iCs/>
                <w:sz w:val="20"/>
              </w:rPr>
              <w:t>-</w:t>
            </w:r>
          </w:p>
        </w:tc>
      </w:tr>
    </w:tbl>
    <w:p>
      <w:pPr>
        <w:pStyle w:val="50"/>
        <w:spacing w:before="120" w:after="120"/>
        <w:jc w:val="both"/>
        <w:rPr>
          <w:rFonts w:eastAsia="宋体"/>
          <w:lang w:val="en-US" w:eastAsia="zh-CN"/>
        </w:rPr>
      </w:pPr>
      <w:bookmarkStart w:id="3" w:name="_Toc9362"/>
      <w:bookmarkStart w:id="4" w:name="_Toc31810"/>
      <w:r>
        <w:rPr>
          <w:rFonts w:hint="eastAsia" w:eastAsia="宋体"/>
          <w:lang w:val="en-US" w:eastAsia="zh-CN"/>
        </w:rPr>
        <w:t>Some performance difference can be observed under different traffic model ratios.</w:t>
      </w:r>
      <w:bookmarkEnd w:id="3"/>
      <w:bookmarkEnd w:id="4"/>
    </w:p>
    <w:p>
      <w:pPr>
        <w:spacing w:before="120" w:after="120"/>
      </w:pPr>
      <w:r>
        <w:rPr>
          <w:rFonts w:hint="eastAsia"/>
        </w:rPr>
        <w:t>The baseline FR1 UL capacity performances for our evaluated traffic models and simulation scenarios are listed as follows.</w:t>
      </w:r>
    </w:p>
    <w:p>
      <w:pPr>
        <w:spacing w:before="120" w:after="120"/>
        <w:jc w:val="center"/>
      </w:pPr>
      <w:r>
        <w:rPr>
          <w:rFonts w:hint="eastAsia"/>
        </w:rPr>
        <w:t>Table 2 Baseline capacity performance for FR1 UL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278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523" w:type="dxa"/>
            <w:vAlign w:val="center"/>
          </w:tcPr>
          <w:p>
            <w:pPr>
              <w:snapToGrid w:val="0"/>
              <w:spacing w:before="120" w:after="120"/>
              <w:jc w:val="center"/>
              <w:rPr>
                <w:b/>
                <w:bCs/>
              </w:rPr>
            </w:pPr>
            <w:r>
              <w:rPr>
                <w:rFonts w:hint="eastAsia"/>
                <w:b/>
                <w:bCs/>
              </w:rPr>
              <w:t>Scenario</w:t>
            </w:r>
          </w:p>
          <w:p>
            <w:pPr>
              <w:snapToGrid w:val="0"/>
              <w:spacing w:before="120" w:after="120"/>
              <w:jc w:val="center"/>
              <w:rPr>
                <w:b/>
                <w:bCs/>
              </w:rPr>
            </w:pPr>
          </w:p>
          <w:p>
            <w:pPr>
              <w:spacing w:before="120" w:after="120"/>
              <w:jc w:val="center"/>
              <w:rPr>
                <w:b/>
                <w:bCs/>
              </w:rPr>
            </w:pPr>
            <w:r>
              <w:rPr>
                <w:rFonts w:hint="eastAsia"/>
                <w:b/>
                <w:bCs/>
              </w:rPr>
              <w:t>Traffic</w:t>
            </w:r>
          </w:p>
        </w:tc>
        <w:tc>
          <w:tcPr>
            <w:tcW w:w="2784" w:type="dxa"/>
            <w:vAlign w:val="center"/>
          </w:tcPr>
          <w:p>
            <w:pPr>
              <w:spacing w:before="120" w:after="120"/>
              <w:jc w:val="center"/>
              <w:rPr>
                <w:b/>
                <w:bCs/>
              </w:rPr>
            </w:pPr>
            <w:r>
              <w:rPr>
                <w:rFonts w:hint="eastAsia"/>
                <w:b/>
                <w:bCs/>
              </w:rPr>
              <w:t>Pose/Control Fixed 100 Byte</w:t>
            </w:r>
          </w:p>
        </w:tc>
        <w:tc>
          <w:tcPr>
            <w:tcW w:w="2784" w:type="dxa"/>
            <w:vAlign w:val="center"/>
          </w:tcPr>
          <w:p>
            <w:pPr>
              <w:spacing w:before="120" w:after="120"/>
              <w:jc w:val="center"/>
              <w:rPr>
                <w:b/>
                <w:bCs/>
              </w:rPr>
            </w:pPr>
            <w:r>
              <w:rPr>
                <w:rFonts w:hint="eastAsia"/>
                <w:b/>
                <w:bCs/>
              </w:rPr>
              <w:t>AR, 10Mbps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pPr>
            <w:r>
              <w:rPr>
                <w:rFonts w:hint="eastAsia"/>
              </w:rPr>
              <w:t>Indoor Hotspot</w:t>
            </w:r>
          </w:p>
        </w:tc>
        <w:tc>
          <w:tcPr>
            <w:tcW w:w="2784" w:type="dxa"/>
            <w:vAlign w:val="center"/>
          </w:tcPr>
          <w:p>
            <w:pPr>
              <w:spacing w:before="120" w:after="120"/>
              <w:jc w:val="center"/>
            </w:pPr>
            <w:r>
              <w:rPr>
                <w:rFonts w:hint="eastAsia"/>
              </w:rPr>
              <w:t>&gt;40</w:t>
            </w:r>
          </w:p>
        </w:tc>
        <w:tc>
          <w:tcPr>
            <w:tcW w:w="2784" w:type="dxa"/>
            <w:vAlign w:val="center"/>
          </w:tcPr>
          <w:p>
            <w:pPr>
              <w:spacing w:before="120" w:after="120"/>
              <w:jc w:val="cente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pPr>
            <w:r>
              <w:rPr>
                <w:rFonts w:hint="eastAsia"/>
              </w:rPr>
              <w:t>Dense Urban</w:t>
            </w:r>
          </w:p>
        </w:tc>
        <w:tc>
          <w:tcPr>
            <w:tcW w:w="2784" w:type="dxa"/>
            <w:vAlign w:val="center"/>
          </w:tcPr>
          <w:p>
            <w:pPr>
              <w:spacing w:before="120" w:after="120"/>
              <w:jc w:val="center"/>
            </w:pPr>
            <w:r>
              <w:rPr>
                <w:rFonts w:hint="eastAsia"/>
              </w:rPr>
              <w:t>-</w:t>
            </w:r>
          </w:p>
        </w:tc>
        <w:tc>
          <w:tcPr>
            <w:tcW w:w="2784" w:type="dxa"/>
            <w:vAlign w:val="center"/>
          </w:tcPr>
          <w:p>
            <w:pPr>
              <w:spacing w:before="120" w:after="120"/>
              <w:jc w:val="center"/>
            </w:pPr>
            <w:r>
              <w:rPr>
                <w:rFonts w:hint="eastAsia"/>
              </w:rPr>
              <w:t>10.9</w:t>
            </w:r>
          </w:p>
        </w:tc>
      </w:tr>
    </w:tbl>
    <w:p>
      <w:pPr>
        <w:pStyle w:val="50"/>
        <w:spacing w:before="120" w:after="120"/>
        <w:jc w:val="both"/>
        <w:rPr>
          <w:rFonts w:eastAsia="宋体"/>
          <w:lang w:val="en-US" w:eastAsia="zh-CN"/>
        </w:rPr>
      </w:pPr>
      <w:bookmarkStart w:id="5" w:name="_Toc18722"/>
      <w:bookmarkStart w:id="6" w:name="_Toc25373"/>
      <w:r>
        <w:rPr>
          <w:rFonts w:hint="eastAsia" w:eastAsia="宋体"/>
          <w:lang w:val="en-US" w:eastAsia="zh-CN"/>
        </w:rPr>
        <w:t>For FR1 UL transmission with 99% reliability, the capacity results can be summarized as follows.</w:t>
      </w:r>
      <w:bookmarkEnd w:id="5"/>
      <w:bookmarkEnd w:id="6"/>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278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523" w:type="dxa"/>
            <w:vAlign w:val="center"/>
          </w:tcPr>
          <w:p>
            <w:pPr>
              <w:snapToGrid w:val="0"/>
              <w:spacing w:before="120" w:after="120"/>
              <w:jc w:val="center"/>
              <w:rPr>
                <w:b/>
                <w:bCs/>
                <w:i/>
                <w:iCs/>
              </w:rPr>
            </w:pPr>
            <w:r>
              <w:rPr>
                <w:rFonts w:hint="eastAsia"/>
                <w:b/>
                <w:bCs/>
                <w:i/>
                <w:iCs/>
              </w:rPr>
              <w:t>Scenario</w:t>
            </w:r>
          </w:p>
          <w:p>
            <w:pPr>
              <w:snapToGrid w:val="0"/>
              <w:spacing w:before="120" w:after="120"/>
              <w:jc w:val="center"/>
              <w:rPr>
                <w:b/>
                <w:bCs/>
                <w:i/>
                <w:iCs/>
              </w:rPr>
            </w:pPr>
          </w:p>
          <w:p>
            <w:pPr>
              <w:spacing w:before="120" w:after="120"/>
              <w:jc w:val="center"/>
              <w:rPr>
                <w:b/>
                <w:bCs/>
                <w:i/>
                <w:iCs/>
              </w:rPr>
            </w:pPr>
            <w:r>
              <w:rPr>
                <w:rFonts w:hint="eastAsia"/>
                <w:b/>
                <w:bCs/>
                <w:i/>
                <w:iCs/>
              </w:rPr>
              <w:t>Traffic</w:t>
            </w:r>
          </w:p>
        </w:tc>
        <w:tc>
          <w:tcPr>
            <w:tcW w:w="2784" w:type="dxa"/>
            <w:vAlign w:val="center"/>
          </w:tcPr>
          <w:p>
            <w:pPr>
              <w:spacing w:before="120" w:after="120"/>
              <w:jc w:val="center"/>
              <w:rPr>
                <w:b/>
                <w:bCs/>
                <w:i/>
                <w:iCs/>
              </w:rPr>
            </w:pPr>
            <w:r>
              <w:rPr>
                <w:rFonts w:hint="eastAsia"/>
                <w:b/>
                <w:bCs/>
                <w:i/>
                <w:iCs/>
              </w:rPr>
              <w:t>Pose/Control Fixed 100 Byte</w:t>
            </w:r>
          </w:p>
        </w:tc>
        <w:tc>
          <w:tcPr>
            <w:tcW w:w="2784" w:type="dxa"/>
            <w:vAlign w:val="center"/>
          </w:tcPr>
          <w:p>
            <w:pPr>
              <w:spacing w:before="120" w:after="120"/>
              <w:jc w:val="center"/>
              <w:rPr>
                <w:b/>
                <w:bCs/>
                <w:i/>
                <w:iCs/>
              </w:rPr>
            </w:pPr>
            <w:r>
              <w:rPr>
                <w:rFonts w:hint="eastAsia"/>
                <w:b/>
                <w:bCs/>
                <w:i/>
                <w:iCs/>
              </w:rPr>
              <w:t>AR, 10Mbps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rPr>
                <w:b/>
                <w:bCs/>
                <w:i/>
                <w:iCs/>
              </w:rPr>
            </w:pPr>
            <w:r>
              <w:rPr>
                <w:rFonts w:hint="eastAsia"/>
                <w:b/>
                <w:bCs/>
                <w:i/>
                <w:iCs/>
              </w:rPr>
              <w:t>Indoor Hotspot</w:t>
            </w:r>
          </w:p>
        </w:tc>
        <w:tc>
          <w:tcPr>
            <w:tcW w:w="2784" w:type="dxa"/>
            <w:vAlign w:val="center"/>
          </w:tcPr>
          <w:p>
            <w:pPr>
              <w:spacing w:before="120" w:after="120"/>
              <w:jc w:val="center"/>
              <w:rPr>
                <w:b/>
                <w:bCs/>
                <w:i/>
                <w:iCs/>
              </w:rPr>
            </w:pPr>
            <w:r>
              <w:rPr>
                <w:rFonts w:hint="eastAsia"/>
                <w:b/>
                <w:bCs/>
                <w:i/>
                <w:iCs/>
              </w:rPr>
              <w:t>&gt;40</w:t>
            </w:r>
          </w:p>
        </w:tc>
        <w:tc>
          <w:tcPr>
            <w:tcW w:w="2784" w:type="dxa"/>
            <w:vAlign w:val="center"/>
          </w:tcPr>
          <w:p>
            <w:pPr>
              <w:spacing w:before="120" w:after="120"/>
              <w:jc w:val="center"/>
              <w:rPr>
                <w:b/>
                <w:bCs/>
                <w:i/>
                <w:iCs/>
              </w:rPr>
            </w:pPr>
            <w:r>
              <w:rPr>
                <w:rFonts w:hint="eastAsia"/>
                <w:b/>
                <w:bCs/>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rPr>
                <w:b/>
                <w:bCs/>
                <w:i/>
                <w:iCs/>
              </w:rPr>
            </w:pPr>
            <w:r>
              <w:rPr>
                <w:rFonts w:hint="eastAsia"/>
                <w:b/>
                <w:bCs/>
                <w:i/>
                <w:iCs/>
              </w:rPr>
              <w:t>Dense Urban</w:t>
            </w:r>
          </w:p>
        </w:tc>
        <w:tc>
          <w:tcPr>
            <w:tcW w:w="2784" w:type="dxa"/>
            <w:vAlign w:val="center"/>
          </w:tcPr>
          <w:p>
            <w:pPr>
              <w:spacing w:before="120" w:after="120"/>
              <w:jc w:val="center"/>
              <w:rPr>
                <w:b/>
                <w:bCs/>
                <w:i/>
                <w:iCs/>
              </w:rPr>
            </w:pPr>
            <w:r>
              <w:rPr>
                <w:rFonts w:hint="eastAsia"/>
                <w:b/>
                <w:bCs/>
                <w:i/>
                <w:iCs/>
              </w:rPr>
              <w:t>-</w:t>
            </w:r>
          </w:p>
        </w:tc>
        <w:tc>
          <w:tcPr>
            <w:tcW w:w="2784" w:type="dxa"/>
            <w:vAlign w:val="center"/>
          </w:tcPr>
          <w:p>
            <w:pPr>
              <w:spacing w:before="120" w:after="120"/>
              <w:jc w:val="center"/>
              <w:rPr>
                <w:b/>
                <w:bCs/>
                <w:i/>
                <w:iCs/>
              </w:rPr>
            </w:pPr>
            <w:r>
              <w:rPr>
                <w:rFonts w:hint="eastAsia"/>
                <w:b/>
                <w:bCs/>
                <w:i/>
                <w:iCs/>
              </w:rPr>
              <w:t>10.9</w:t>
            </w:r>
          </w:p>
        </w:tc>
      </w:tr>
    </w:tbl>
    <w:p>
      <w:pPr>
        <w:spacing w:before="120" w:after="120"/>
      </w:pPr>
      <w:r>
        <w:rPr>
          <w:rFonts w:hint="eastAsia"/>
        </w:rPr>
        <w:t xml:space="preserve">The baseline FR2 DL capacity performances for our evaluated traffic models and simulation scenarios are listed as follows. </w:t>
      </w:r>
    </w:p>
    <w:p>
      <w:pPr>
        <w:spacing w:before="120" w:after="120"/>
        <w:jc w:val="center"/>
      </w:pPr>
      <w:r>
        <w:rPr>
          <w:rFonts w:hint="eastAsia"/>
        </w:rPr>
        <w:t>Table 3 Baseline capacity performance for FR2 DL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278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523" w:type="dxa"/>
            <w:vAlign w:val="center"/>
          </w:tcPr>
          <w:p>
            <w:pPr>
              <w:snapToGrid w:val="0"/>
              <w:spacing w:before="120" w:after="120"/>
              <w:jc w:val="center"/>
              <w:rPr>
                <w:b/>
                <w:bCs/>
              </w:rPr>
            </w:pPr>
            <w:r>
              <w:rPr>
                <w:rFonts w:hint="eastAsia"/>
                <w:b/>
                <w:bCs/>
              </w:rPr>
              <w:t>Scenario</w:t>
            </w:r>
          </w:p>
          <w:p>
            <w:pPr>
              <w:snapToGrid w:val="0"/>
              <w:spacing w:before="120" w:after="120"/>
              <w:jc w:val="center"/>
              <w:rPr>
                <w:b/>
                <w:bCs/>
              </w:rPr>
            </w:pPr>
          </w:p>
          <w:p>
            <w:pPr>
              <w:spacing w:before="120" w:after="120"/>
              <w:jc w:val="center"/>
              <w:rPr>
                <w:b/>
                <w:bCs/>
              </w:rPr>
            </w:pPr>
            <w:r>
              <w:rPr>
                <w:rFonts w:hint="eastAsia"/>
                <w:b/>
                <w:bCs/>
              </w:rPr>
              <w:t>Traffic</w:t>
            </w:r>
          </w:p>
        </w:tc>
        <w:tc>
          <w:tcPr>
            <w:tcW w:w="2784" w:type="dxa"/>
            <w:vAlign w:val="center"/>
          </w:tcPr>
          <w:p>
            <w:pPr>
              <w:spacing w:before="120" w:after="120"/>
              <w:jc w:val="center"/>
              <w:rPr>
                <w:b/>
                <w:bCs/>
              </w:rPr>
            </w:pPr>
            <w:r>
              <w:rPr>
                <w:rFonts w:hint="eastAsia"/>
                <w:b/>
                <w:bCs/>
              </w:rPr>
              <w:t>AR/VR, 30Mbps</w:t>
            </w:r>
          </w:p>
        </w:tc>
        <w:tc>
          <w:tcPr>
            <w:tcW w:w="2784" w:type="dxa"/>
            <w:vAlign w:val="center"/>
          </w:tcPr>
          <w:p>
            <w:pPr>
              <w:spacing w:before="120" w:after="120"/>
              <w:jc w:val="center"/>
              <w:rPr>
                <w:b/>
                <w:bCs/>
              </w:rPr>
            </w:pPr>
            <w:r>
              <w:rPr>
                <w:rFonts w:hint="eastAsia"/>
                <w:b/>
                <w:bCs/>
              </w:rPr>
              <w:t>CG, 30Mbps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pPr>
            <w:r>
              <w:rPr>
                <w:rFonts w:hint="eastAsia"/>
              </w:rPr>
              <w:t>Indoor Hotspot</w:t>
            </w:r>
          </w:p>
        </w:tc>
        <w:tc>
          <w:tcPr>
            <w:tcW w:w="2784" w:type="dxa"/>
            <w:vAlign w:val="center"/>
          </w:tcPr>
          <w:p>
            <w:pPr>
              <w:spacing w:before="120" w:after="120"/>
              <w:jc w:val="center"/>
            </w:pPr>
            <w:r>
              <w:rPr>
                <w:rFonts w:hint="eastAsia"/>
              </w:rPr>
              <w:t>7.8</w:t>
            </w:r>
          </w:p>
        </w:tc>
        <w:tc>
          <w:tcPr>
            <w:tcW w:w="2784" w:type="dxa"/>
            <w:vAlign w:val="center"/>
          </w:tcPr>
          <w:p>
            <w:pPr>
              <w:spacing w:before="120" w:after="120"/>
              <w:jc w:val="center"/>
            </w:pPr>
            <w:r>
              <w:rPr>
                <w:rFonts w:hint="eastAsia"/>
              </w:rPr>
              <w:t>9.9</w:t>
            </w:r>
          </w:p>
        </w:tc>
      </w:tr>
    </w:tbl>
    <w:p>
      <w:pPr>
        <w:pStyle w:val="50"/>
        <w:spacing w:before="120" w:after="120"/>
        <w:rPr>
          <w:rFonts w:eastAsia="宋体"/>
          <w:lang w:val="en-US" w:eastAsia="zh-CN"/>
        </w:rPr>
      </w:pPr>
      <w:bookmarkStart w:id="7" w:name="_Toc15805"/>
      <w:bookmarkStart w:id="8" w:name="_Toc26009"/>
      <w:r>
        <w:rPr>
          <w:rFonts w:hint="eastAsia" w:eastAsia="宋体"/>
          <w:lang w:val="en-US" w:eastAsia="zh-CN"/>
        </w:rPr>
        <w:t>For FR2 DL transmission with 99% reliability, the capacity results can be summarized as follows.</w:t>
      </w:r>
      <w:bookmarkEnd w:id="7"/>
      <w:bookmarkEnd w:id="8"/>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278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523" w:type="dxa"/>
            <w:vAlign w:val="center"/>
          </w:tcPr>
          <w:p>
            <w:pPr>
              <w:snapToGrid w:val="0"/>
              <w:spacing w:before="120" w:after="120"/>
              <w:jc w:val="center"/>
              <w:rPr>
                <w:b/>
                <w:bCs/>
                <w:i/>
                <w:iCs/>
              </w:rPr>
            </w:pPr>
            <w:r>
              <w:rPr>
                <w:rFonts w:hint="eastAsia"/>
                <w:b/>
                <w:bCs/>
                <w:i/>
                <w:iCs/>
              </w:rPr>
              <w:t>Scenario</w:t>
            </w:r>
          </w:p>
          <w:p>
            <w:pPr>
              <w:snapToGrid w:val="0"/>
              <w:spacing w:before="120" w:after="120"/>
              <w:jc w:val="center"/>
              <w:rPr>
                <w:b/>
                <w:bCs/>
                <w:i/>
                <w:iCs/>
              </w:rPr>
            </w:pPr>
          </w:p>
          <w:p>
            <w:pPr>
              <w:spacing w:before="120" w:after="120"/>
              <w:jc w:val="center"/>
              <w:rPr>
                <w:b/>
                <w:bCs/>
                <w:i/>
                <w:iCs/>
              </w:rPr>
            </w:pPr>
            <w:r>
              <w:rPr>
                <w:rFonts w:hint="eastAsia"/>
                <w:b/>
                <w:bCs/>
                <w:i/>
                <w:iCs/>
              </w:rPr>
              <w:t>Traffic</w:t>
            </w:r>
          </w:p>
        </w:tc>
        <w:tc>
          <w:tcPr>
            <w:tcW w:w="2784" w:type="dxa"/>
            <w:vAlign w:val="center"/>
          </w:tcPr>
          <w:p>
            <w:pPr>
              <w:spacing w:before="120" w:after="120"/>
              <w:jc w:val="center"/>
              <w:rPr>
                <w:b/>
                <w:bCs/>
                <w:i/>
                <w:iCs/>
              </w:rPr>
            </w:pPr>
            <w:r>
              <w:rPr>
                <w:rFonts w:hint="eastAsia"/>
                <w:b/>
                <w:bCs/>
                <w:i/>
                <w:iCs/>
              </w:rPr>
              <w:t>AR/VR, 30Mbps</w:t>
            </w:r>
          </w:p>
        </w:tc>
        <w:tc>
          <w:tcPr>
            <w:tcW w:w="2784" w:type="dxa"/>
            <w:vAlign w:val="center"/>
          </w:tcPr>
          <w:p>
            <w:pPr>
              <w:spacing w:before="120" w:after="120"/>
              <w:jc w:val="center"/>
              <w:rPr>
                <w:b/>
                <w:bCs/>
                <w:i/>
                <w:iCs/>
              </w:rPr>
            </w:pPr>
            <w:r>
              <w:rPr>
                <w:rFonts w:hint="eastAsia"/>
                <w:b/>
                <w:bCs/>
                <w:i/>
                <w:iCs/>
              </w:rPr>
              <w:t>CG, 30Mbps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rPr>
                <w:b/>
                <w:bCs/>
                <w:i/>
                <w:iCs/>
              </w:rPr>
            </w:pPr>
            <w:r>
              <w:rPr>
                <w:rFonts w:hint="eastAsia"/>
                <w:b/>
                <w:bCs/>
                <w:i/>
                <w:iCs/>
              </w:rPr>
              <w:t>Indoor Hotspot</w:t>
            </w:r>
          </w:p>
        </w:tc>
        <w:tc>
          <w:tcPr>
            <w:tcW w:w="2784" w:type="dxa"/>
            <w:vAlign w:val="center"/>
          </w:tcPr>
          <w:p>
            <w:pPr>
              <w:spacing w:before="120" w:after="120"/>
              <w:jc w:val="center"/>
              <w:rPr>
                <w:b/>
                <w:bCs/>
                <w:i/>
                <w:iCs/>
              </w:rPr>
            </w:pPr>
            <w:r>
              <w:rPr>
                <w:rFonts w:hint="eastAsia"/>
                <w:b/>
                <w:bCs/>
                <w:i/>
                <w:iCs/>
              </w:rPr>
              <w:t>7.8</w:t>
            </w:r>
          </w:p>
        </w:tc>
        <w:tc>
          <w:tcPr>
            <w:tcW w:w="2784" w:type="dxa"/>
            <w:vAlign w:val="center"/>
          </w:tcPr>
          <w:p>
            <w:pPr>
              <w:spacing w:before="120" w:after="120"/>
              <w:jc w:val="center"/>
              <w:rPr>
                <w:b/>
                <w:bCs/>
                <w:i/>
                <w:iCs/>
              </w:rPr>
            </w:pPr>
            <w:r>
              <w:rPr>
                <w:rFonts w:hint="eastAsia"/>
                <w:b/>
                <w:bCs/>
                <w:i/>
                <w:iCs/>
              </w:rPr>
              <w:t>9.9</w:t>
            </w:r>
          </w:p>
        </w:tc>
      </w:tr>
    </w:tbl>
    <w:p>
      <w:pPr>
        <w:spacing w:before="120" w:after="120"/>
      </w:pPr>
    </w:p>
    <w:p>
      <w:pPr>
        <w:pStyle w:val="3"/>
        <w:spacing w:before="120" w:after="120"/>
        <w:ind w:left="991" w:right="210" w:hanging="991" w:hangingChars="354"/>
        <w:rPr>
          <w:rFonts w:eastAsia="宋体"/>
          <w:szCs w:val="22"/>
        </w:rPr>
      </w:pPr>
      <w:r>
        <w:rPr>
          <w:rFonts w:hint="eastAsia" w:eastAsia="宋体"/>
          <w:szCs w:val="22"/>
        </w:rPr>
        <w:t>Impacts on capacity performance</w:t>
      </w:r>
    </w:p>
    <w:p>
      <w:pPr>
        <w:pStyle w:val="4"/>
        <w:spacing w:after="120"/>
        <w:ind w:right="210"/>
      </w:pPr>
      <w:r>
        <w:rPr>
          <w:rFonts w:hint="eastAsia"/>
        </w:rPr>
        <w:t>Impact of data rate</w:t>
      </w:r>
    </w:p>
    <w:p>
      <w:pPr>
        <w:spacing w:before="120" w:after="120"/>
      </w:pPr>
      <w:r>
        <w:rPr>
          <w:rFonts w:hint="eastAsia"/>
        </w:rPr>
        <w:t xml:space="preserve">The impact of data rate on capacity performance is presented in </w:t>
      </w:r>
      <w:r>
        <w:rPr>
          <w:rFonts w:hint="eastAsia"/>
          <w:b/>
          <w:bCs/>
        </w:rPr>
        <w:t>Figure 9</w:t>
      </w:r>
      <w:r>
        <w:rPr>
          <w:rFonts w:hint="eastAsia"/>
        </w:rPr>
        <w:t>. The simulation is performed for 8Mbps, 30Mbps and 45Mbps traffic models, with the same periodicity and packet delay budget. As expected, increasing the data rate may reduce system capacity owing to the increas</w:t>
      </w:r>
      <w:r>
        <w:t>ed</w:t>
      </w:r>
      <w:r>
        <w:rPr>
          <w:rFonts w:hint="eastAsia"/>
        </w:rPr>
        <w:t xml:space="preserve"> packet/frame size but limited bandwidth. For instance, the capacity for {8Mbps, 10ms} traffic model is larger than 15 UEs, while the capacity for {30Mbps, 10ms} traffic model is reduced to 12.4 UEs. When data rate increases to 45Mbps, the capacity is further reduced to 7.8 UEs.</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600450" cy="2700020"/>
                  <wp:effectExtent l="0" t="0" r="0" b="5080"/>
                  <wp:docPr id="2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3"/>
                          <pic:cNvPicPr>
                            <a:picLocks noChangeAspect="1"/>
                          </pic:cNvPicPr>
                        </pic:nvPicPr>
                        <pic:blipFill>
                          <a:blip r:embed="rId23" cstate="print"/>
                          <a:stretch>
                            <a:fillRect/>
                          </a:stretch>
                        </pic:blipFill>
                        <pic:spPr>
                          <a:xfrm>
                            <a:off x="0" y="0"/>
                            <a:ext cx="3600450" cy="2700020"/>
                          </a:xfrm>
                          <a:prstGeom prst="rect">
                            <a:avLst/>
                          </a:prstGeom>
                          <a:noFill/>
                          <a:ln>
                            <a:noFill/>
                          </a:ln>
                        </pic:spPr>
                      </pic:pic>
                    </a:graphicData>
                  </a:graphic>
                </wp:inline>
              </w:drawing>
            </w:r>
          </w:p>
        </w:tc>
      </w:tr>
    </w:tbl>
    <w:p>
      <w:pPr>
        <w:spacing w:before="120" w:after="120"/>
        <w:jc w:val="center"/>
        <w:rPr>
          <w:i/>
          <w:iCs/>
        </w:rPr>
      </w:pPr>
      <w:r>
        <w:rPr>
          <w:rFonts w:hint="eastAsia"/>
          <w:i/>
          <w:iCs/>
        </w:rPr>
        <w:t>Figure 9 Capacity performance comparison among traffic models with different data rates</w:t>
      </w:r>
    </w:p>
    <w:p>
      <w:pPr>
        <w:pStyle w:val="50"/>
        <w:spacing w:before="120" w:after="120"/>
        <w:rPr>
          <w:rFonts w:eastAsia="宋体"/>
          <w:lang w:val="en-US" w:eastAsia="zh-CN"/>
        </w:rPr>
      </w:pPr>
      <w:r>
        <w:rPr>
          <w:rFonts w:hint="eastAsia" w:eastAsia="宋体"/>
          <w:lang w:val="en-US" w:eastAsia="zh-CN"/>
        </w:rPr>
        <w:t xml:space="preserve"> </w:t>
      </w:r>
      <w:bookmarkStart w:id="9" w:name="_Toc27460"/>
      <w:bookmarkStart w:id="10" w:name="_Toc16987"/>
      <w:r>
        <w:rPr>
          <w:rFonts w:hint="eastAsia" w:eastAsia="宋体"/>
          <w:lang w:val="en-US" w:eastAsia="zh-CN"/>
        </w:rPr>
        <w:t>Reducing the data rate requirement can increase system capacity.</w:t>
      </w:r>
      <w:bookmarkEnd w:id="9"/>
      <w:bookmarkEnd w:id="10"/>
    </w:p>
    <w:p>
      <w:pPr>
        <w:pStyle w:val="4"/>
        <w:spacing w:after="120"/>
        <w:ind w:right="210"/>
      </w:pPr>
      <w:r>
        <w:rPr>
          <w:rFonts w:hint="eastAsia"/>
        </w:rPr>
        <w:t xml:space="preserve">Impact </w:t>
      </w:r>
      <w:r>
        <w:rPr>
          <w:rFonts w:hint="eastAsia" w:eastAsiaTheme="minorEastAsia"/>
        </w:rPr>
        <w:t>of</w:t>
      </w:r>
      <w:r>
        <w:rPr>
          <w:rFonts w:hint="eastAsia"/>
        </w:rPr>
        <w:t xml:space="preserve"> packet delay budget</w:t>
      </w:r>
    </w:p>
    <w:p>
      <w:pPr>
        <w:spacing w:before="120" w:after="120"/>
      </w:pPr>
      <w:r>
        <w:rPr>
          <w:rFonts w:hint="eastAsia"/>
        </w:rPr>
        <w:t xml:space="preserve">The impact of PDB is presented in </w:t>
      </w:r>
      <w:r>
        <w:rPr>
          <w:rFonts w:hint="eastAsia"/>
          <w:b/>
          <w:bCs/>
        </w:rPr>
        <w:t>Figure 10</w:t>
      </w:r>
      <w:r>
        <w:rPr>
          <w:rFonts w:hint="eastAsia"/>
        </w:rPr>
        <w:t>. The simulation is performed for {AR/VR, 30Mbps} and {CG, 30Mbps} traffic models. It can be observed that the relax</w:t>
      </w:r>
      <w:r>
        <w:t>ed</w:t>
      </w:r>
      <w:r>
        <w:rPr>
          <w:rFonts w:hint="eastAsia"/>
        </w:rPr>
        <w:t xml:space="preserve"> PDB is capable of increasing system capacity. </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2"/>
        <w:gridCol w:w="4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2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4"/>
                          <pic:cNvPicPr>
                            <a:picLocks noChangeAspect="1"/>
                          </pic:cNvPicPr>
                        </pic:nvPicPr>
                        <pic:blipFill>
                          <a:blip r:embed="rId24" cstate="print"/>
                          <a:stretch>
                            <a:fillRect/>
                          </a:stretch>
                        </pic:blipFill>
                        <pic:spPr>
                          <a:xfrm>
                            <a:off x="0" y="0"/>
                            <a:ext cx="2880360" cy="2160270"/>
                          </a:xfrm>
                          <a:prstGeom prst="rect">
                            <a:avLst/>
                          </a:prstGeom>
                          <a:noFill/>
                          <a:ln>
                            <a:noFill/>
                          </a:ln>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360" cy="2160270"/>
                  <wp:effectExtent l="0" t="0" r="0" b="1143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5"/>
                          <pic:cNvPicPr>
                            <a:picLocks noChangeAspect="1"/>
                          </pic:cNvPicPr>
                        </pic:nvPicPr>
                        <pic:blipFill>
                          <a:blip r:embed="rId25" cstate="print"/>
                          <a:stretch>
                            <a:fillRect/>
                          </a:stretch>
                        </pic:blipFill>
                        <pic:spPr>
                          <a:xfrm>
                            <a:off x="0" y="0"/>
                            <a:ext cx="288036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spacing w:after="120" w:line="276" w:lineRule="auto"/>
              <w:ind w:left="357"/>
              <w:jc w:val="center"/>
              <w:rPr>
                <w:kern w:val="0"/>
                <w:sz w:val="21"/>
                <w:szCs w:val="21"/>
                <w:lang w:val="en-GB" w:eastAsia="en-US"/>
              </w:rPr>
            </w:pPr>
            <w:r>
              <w:rPr>
                <w:rFonts w:hint="eastAsia" w:eastAsia="宋体"/>
                <w:kern w:val="0"/>
                <w:sz w:val="21"/>
                <w:szCs w:val="21"/>
              </w:rPr>
              <w:t>(a)</w:t>
            </w:r>
            <w:r>
              <w:rPr>
                <w:kern w:val="0"/>
                <w:sz w:val="21"/>
                <w:szCs w:val="21"/>
                <w:lang w:val="en-GB" w:eastAsia="en-US"/>
              </w:rPr>
              <w:t>Capacity</w:t>
            </w:r>
          </w:p>
        </w:tc>
        <w:tc>
          <w:tcPr>
            <w:tcW w:w="4643" w:type="dxa"/>
          </w:tcPr>
          <w:p>
            <w:pPr>
              <w:pStyle w:val="29"/>
              <w:spacing w:after="120" w:line="276" w:lineRule="auto"/>
              <w:ind w:left="0"/>
              <w:jc w:val="center"/>
              <w:rPr>
                <w:kern w:val="0"/>
                <w:sz w:val="21"/>
                <w:szCs w:val="21"/>
                <w:lang w:val="en-GB" w:eastAsia="en-US"/>
              </w:rPr>
            </w:pPr>
            <w:r>
              <w:rPr>
                <w:rFonts w:hint="eastAsia" w:eastAsia="宋体"/>
                <w:kern w:val="0"/>
                <w:sz w:val="21"/>
                <w:szCs w:val="21"/>
              </w:rPr>
              <w:t>(b)</w:t>
            </w:r>
            <w:r>
              <w:rPr>
                <w:kern w:val="0"/>
                <w:sz w:val="21"/>
                <w:szCs w:val="21"/>
                <w:lang w:val="en-GB" w:eastAsia="en-US"/>
              </w:rPr>
              <w:t>RU</w:t>
            </w:r>
          </w:p>
        </w:tc>
      </w:tr>
    </w:tbl>
    <w:p>
      <w:pPr>
        <w:spacing w:before="120" w:after="120"/>
        <w:jc w:val="center"/>
        <w:rPr>
          <w:i/>
          <w:iCs/>
        </w:rPr>
      </w:pPr>
      <w:r>
        <w:rPr>
          <w:rFonts w:hint="eastAsia"/>
          <w:i/>
          <w:iCs/>
        </w:rPr>
        <w:t>Figure 10 Capacity performance &amp; RU comparison among traffic models with different PDB</w:t>
      </w:r>
    </w:p>
    <w:p>
      <w:pPr>
        <w:pStyle w:val="50"/>
        <w:spacing w:before="120" w:after="120"/>
        <w:rPr>
          <w:rFonts w:eastAsia="宋体"/>
          <w:lang w:val="en-US" w:eastAsia="zh-CN"/>
        </w:rPr>
      </w:pPr>
      <w:bookmarkStart w:id="11" w:name="_Toc9038"/>
      <w:bookmarkStart w:id="12" w:name="_Toc27108"/>
      <w:r>
        <w:rPr>
          <w:rFonts w:hint="eastAsia" w:eastAsia="宋体"/>
          <w:lang w:val="en-US" w:eastAsia="zh-CN"/>
        </w:rPr>
        <w:t>Relaxing the PDB can increase system capacity</w:t>
      </w:r>
      <w:bookmarkEnd w:id="11"/>
      <w:bookmarkEnd w:id="12"/>
    </w:p>
    <w:p>
      <w:pPr>
        <w:pStyle w:val="4"/>
        <w:spacing w:after="120"/>
        <w:ind w:right="210"/>
      </w:pPr>
      <w:r>
        <w:rPr>
          <w:rFonts w:hint="eastAsia"/>
        </w:rPr>
        <w:t>Impact of packet error rate</w:t>
      </w:r>
    </w:p>
    <w:p>
      <w:pPr>
        <w:spacing w:before="120" w:after="120"/>
      </w:pPr>
      <w:r>
        <w:rPr>
          <w:rFonts w:hint="eastAsia"/>
        </w:rPr>
        <w:t xml:space="preserve">The impact of PER is presented in </w:t>
      </w:r>
      <w:r>
        <w:rPr>
          <w:rFonts w:hint="eastAsia"/>
          <w:b/>
          <w:bCs/>
        </w:rPr>
        <w:t>Figure 11</w:t>
      </w:r>
      <w:r>
        <w:rPr>
          <w:rFonts w:hint="eastAsia"/>
        </w:rPr>
        <w:t xml:space="preserve">. The simulation is performed for {AR/VR, 30Mbps}, with different reliability requirement. According to </w:t>
      </w:r>
      <w:r>
        <w:rPr>
          <w:rFonts w:hint="eastAsia"/>
          <w:b/>
          <w:bCs/>
        </w:rPr>
        <w:t>Figure 11</w:t>
      </w:r>
      <w:r>
        <w:rPr>
          <w:rFonts w:hint="eastAsia"/>
        </w:rPr>
        <w:t xml:space="preserve">, stringent reliability requirement results in low system capacity, while </w:t>
      </w:r>
      <w:r>
        <w:t>relaxed</w:t>
      </w:r>
      <w:r>
        <w:rPr>
          <w:rFonts w:hint="eastAsia"/>
        </w:rPr>
        <w:t xml:space="preserve"> reliability requirement can obtain impressive system capacity gain. For example, system capacity for 99.9% reliability requirement is 10.1 UEs, when the reliability requirement is relaxed to 95%, the system capacity can increase to 12.9 UEs. </w:t>
      </w:r>
    </w:p>
    <w:p>
      <w:pPr>
        <w:spacing w:before="120" w:after="120"/>
      </w:pPr>
      <w:r>
        <w:rPr>
          <w:rFonts w:hint="eastAsia"/>
        </w:rPr>
        <w:t xml:space="preserve">As a result, network coding can be considered. In detail, some redundancy packets can be added </w:t>
      </w:r>
      <w:r>
        <w:t xml:space="preserve">via </w:t>
      </w:r>
      <w:r>
        <w:rPr>
          <w:rFonts w:hint="eastAsia"/>
        </w:rPr>
        <w:t xml:space="preserve">network coding </w:t>
      </w:r>
      <w:r>
        <w:t>to</w:t>
      </w:r>
      <w:r>
        <w:rPr>
          <w:rFonts w:hint="eastAsia"/>
        </w:rPr>
        <w:t xml:space="preserve"> increas</w:t>
      </w:r>
      <w:r>
        <w:t>e</w:t>
      </w:r>
      <w:r>
        <w:rPr>
          <w:rFonts w:hint="eastAsia"/>
        </w:rPr>
        <w:t xml:space="preserve"> the reliability in high layer, which is capable of relaxing the PER in PHY.</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600450" cy="2700020"/>
                  <wp:effectExtent l="0" t="0" r="0" b="5080"/>
                  <wp:docPr id="18"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1"/>
                          <pic:cNvPicPr>
                            <a:picLocks noChangeAspect="1"/>
                          </pic:cNvPicPr>
                        </pic:nvPicPr>
                        <pic:blipFill>
                          <a:blip r:embed="rId26" cstate="print"/>
                          <a:stretch>
                            <a:fillRect/>
                          </a:stretch>
                        </pic:blipFill>
                        <pic:spPr>
                          <a:xfrm>
                            <a:off x="0" y="0"/>
                            <a:ext cx="3600450" cy="2700020"/>
                          </a:xfrm>
                          <a:prstGeom prst="rect">
                            <a:avLst/>
                          </a:prstGeom>
                          <a:noFill/>
                          <a:ln>
                            <a:noFill/>
                          </a:ln>
                        </pic:spPr>
                      </pic:pic>
                    </a:graphicData>
                  </a:graphic>
                </wp:inline>
              </w:drawing>
            </w:r>
          </w:p>
        </w:tc>
      </w:tr>
    </w:tbl>
    <w:p>
      <w:pPr>
        <w:spacing w:before="120" w:after="120"/>
        <w:jc w:val="center"/>
        <w:rPr>
          <w:i/>
          <w:iCs/>
        </w:rPr>
      </w:pPr>
      <w:r>
        <w:rPr>
          <w:rFonts w:hint="eastAsia"/>
          <w:i/>
          <w:iCs/>
        </w:rPr>
        <w:t>Figure 11 Capacity performance comparison among 30Mbps traffic model with different PERs.</w:t>
      </w:r>
    </w:p>
    <w:p>
      <w:pPr>
        <w:pStyle w:val="50"/>
        <w:spacing w:before="120" w:after="120"/>
        <w:rPr>
          <w:rFonts w:eastAsia="宋体"/>
          <w:lang w:val="en-US" w:eastAsia="zh-CN"/>
        </w:rPr>
      </w:pPr>
      <w:bookmarkStart w:id="13" w:name="_Toc23063"/>
      <w:bookmarkStart w:id="14" w:name="_Toc12731"/>
      <w:r>
        <w:rPr>
          <w:rFonts w:hint="eastAsia" w:eastAsia="宋体"/>
          <w:lang w:val="en-US" w:eastAsia="zh-CN"/>
        </w:rPr>
        <w:t>Relaxing the PER can increase system capacity.</w:t>
      </w:r>
      <w:bookmarkEnd w:id="13"/>
      <w:bookmarkEnd w:id="14"/>
    </w:p>
    <w:p>
      <w:pPr>
        <w:pStyle w:val="3"/>
        <w:spacing w:before="120" w:after="120"/>
        <w:ind w:left="991" w:right="210" w:hanging="991" w:hangingChars="354"/>
        <w:rPr>
          <w:rFonts w:eastAsia="宋体"/>
          <w:szCs w:val="22"/>
        </w:rPr>
      </w:pPr>
      <w:r>
        <w:rPr>
          <w:rFonts w:hint="eastAsia" w:eastAsia="宋体"/>
          <w:szCs w:val="22"/>
        </w:rPr>
        <w:t>Capacity performance under I/P frame multiple stream model</w:t>
      </w:r>
    </w:p>
    <w:p>
      <w:pPr>
        <w:spacing w:before="120" w:after="120"/>
      </w:pPr>
      <w:r>
        <w:rPr>
          <w:rFonts w:hint="eastAsia"/>
        </w:rPr>
        <w:t>In RAN1#106-e meeting, the agreement of multiple traffic models for I/P-stream is shown as follows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szCs w:val="21"/>
                <w:highlight w:val="green"/>
              </w:rPr>
            </w:pPr>
            <w:r>
              <w:rPr>
                <w:b/>
                <w:bCs/>
                <w:szCs w:val="21"/>
                <w:highlight w:val="green"/>
              </w:rPr>
              <w:t xml:space="preserve">Agreement </w:t>
            </w:r>
          </w:p>
          <w:p>
            <w:pPr>
              <w:spacing w:before="120" w:after="120"/>
              <w:rPr>
                <w:szCs w:val="21"/>
              </w:rPr>
            </w:pPr>
            <w:r>
              <w:rPr>
                <w:szCs w:val="21"/>
              </w:rPr>
              <w:t xml:space="preserve">For evaluation of separate streams of I-frame and P-frame that is an optional evaluation scenario, </w:t>
            </w:r>
          </w:p>
          <w:p>
            <w:pPr>
              <w:pStyle w:val="29"/>
              <w:numPr>
                <w:ilvl w:val="0"/>
                <w:numId w:val="7"/>
              </w:numPr>
              <w:spacing w:after="120"/>
              <w:rPr>
                <w:rFonts w:ascii="Calibri" w:hAnsi="Calibri"/>
                <w:sz w:val="21"/>
                <w:szCs w:val="21"/>
              </w:rPr>
            </w:pPr>
            <w:r>
              <w:rPr>
                <w:sz w:val="21"/>
                <w:szCs w:val="21"/>
              </w:rPr>
              <w:t>Alpha value: 2.0 and 1.5, Other values, e.g., 3.0 can be optionally evaluated</w:t>
            </w:r>
          </w:p>
          <w:p>
            <w:pPr>
              <w:pStyle w:val="29"/>
              <w:numPr>
                <w:ilvl w:val="1"/>
                <w:numId w:val="7"/>
              </w:numPr>
              <w:spacing w:after="120"/>
              <w:rPr>
                <w:rFonts w:eastAsia="等线"/>
                <w:sz w:val="21"/>
                <w:szCs w:val="21"/>
              </w:rPr>
            </w:pPr>
            <w:r>
              <w:rPr>
                <w:sz w:val="21"/>
                <w:szCs w:val="21"/>
              </w:rPr>
              <w:t>This alpha value assumption applies to both Option 1A (slice-based) and Option 1B (GOP-based) evaluations</w:t>
            </w:r>
          </w:p>
          <w:p>
            <w:pPr>
              <w:spacing w:before="120" w:after="120"/>
              <w:rPr>
                <w:b/>
                <w:bCs/>
                <w:szCs w:val="21"/>
                <w:highlight w:val="green"/>
              </w:rPr>
            </w:pPr>
            <w:r>
              <w:rPr>
                <w:b/>
                <w:bCs/>
                <w:szCs w:val="21"/>
                <w:highlight w:val="green"/>
              </w:rPr>
              <w:t xml:space="preserve">Agreement </w:t>
            </w:r>
          </w:p>
          <w:p>
            <w:pPr>
              <w:spacing w:before="120" w:after="120"/>
              <w:rPr>
                <w:szCs w:val="21"/>
              </w:rPr>
            </w:pPr>
            <w:r>
              <w:rPr>
                <w:szCs w:val="21"/>
              </w:rPr>
              <w:t xml:space="preserve">For evaluation of separate streams of I-frame and P-frame that is an optional evaluation scenario, </w:t>
            </w:r>
          </w:p>
          <w:p>
            <w:pPr>
              <w:pStyle w:val="29"/>
              <w:numPr>
                <w:ilvl w:val="0"/>
                <w:numId w:val="7"/>
              </w:numPr>
              <w:spacing w:after="120"/>
              <w:rPr>
                <w:sz w:val="21"/>
                <w:szCs w:val="21"/>
              </w:rPr>
            </w:pPr>
            <w:r>
              <w:rPr>
                <w:sz w:val="21"/>
                <w:szCs w:val="21"/>
              </w:rPr>
              <w:t xml:space="preserve">RAN1 agree upon the below reference case, while leaving other study cases up to companies. </w:t>
            </w:r>
          </w:p>
          <w:p>
            <w:pPr>
              <w:pStyle w:val="29"/>
              <w:numPr>
                <w:ilvl w:val="1"/>
                <w:numId w:val="7"/>
              </w:numPr>
              <w:spacing w:after="120"/>
              <w:rPr>
                <w:sz w:val="21"/>
                <w:szCs w:val="21"/>
              </w:rPr>
            </w:pPr>
            <w:r>
              <w:rPr>
                <w:sz w:val="21"/>
                <w:szCs w:val="21"/>
              </w:rPr>
              <w:t>Reference case</w:t>
            </w:r>
          </w:p>
          <w:p>
            <w:pPr>
              <w:numPr>
                <w:ilvl w:val="2"/>
                <w:numId w:val="7"/>
              </w:numPr>
              <w:spacing w:before="120" w:after="120"/>
              <w:rPr>
                <w:rFonts w:eastAsia="Times New Roman"/>
                <w:szCs w:val="21"/>
              </w:rPr>
            </w:pPr>
            <w:r>
              <w:rPr>
                <w:rFonts w:eastAsia="Times New Roman"/>
                <w:szCs w:val="21"/>
              </w:rPr>
              <w:t>For DL</w:t>
            </w:r>
          </w:p>
          <w:p>
            <w:pPr>
              <w:numPr>
                <w:ilvl w:val="3"/>
                <w:numId w:val="7"/>
              </w:numPr>
              <w:spacing w:before="120" w:after="120"/>
              <w:rPr>
                <w:rFonts w:eastAsia="Times New Roman"/>
                <w:szCs w:val="21"/>
                <w:lang w:val="sv-SE"/>
              </w:rPr>
            </w:pPr>
            <w:r>
              <w:rPr>
                <w:rFonts w:eastAsia="Times New Roman"/>
                <w:szCs w:val="21"/>
                <w:lang w:val="sv-SE"/>
              </w:rPr>
              <w:t xml:space="preserve">[PER_I, PER_P, PDB_I, PDB_P] = [1 %, 1 %, 10ms, 10ms] for AR/VR </w:t>
            </w:r>
          </w:p>
          <w:p>
            <w:pPr>
              <w:numPr>
                <w:ilvl w:val="3"/>
                <w:numId w:val="7"/>
              </w:numPr>
              <w:spacing w:before="120" w:after="120"/>
              <w:rPr>
                <w:rFonts w:eastAsia="Times New Roman"/>
                <w:szCs w:val="21"/>
              </w:rPr>
            </w:pPr>
            <w:r>
              <w:rPr>
                <w:rFonts w:eastAsia="Times New Roman"/>
                <w:szCs w:val="21"/>
              </w:rPr>
              <w:t>[PER_I, PER_P, PDB_I, PDB_P] = [1 %, 1 %, 15ms, 15ms] for CG</w:t>
            </w:r>
          </w:p>
          <w:p>
            <w:pPr>
              <w:numPr>
                <w:ilvl w:val="2"/>
                <w:numId w:val="7"/>
              </w:numPr>
              <w:spacing w:before="120" w:after="120"/>
              <w:rPr>
                <w:rFonts w:eastAsia="Times New Roman"/>
                <w:szCs w:val="21"/>
              </w:rPr>
            </w:pPr>
            <w:r>
              <w:rPr>
                <w:rFonts w:eastAsia="Times New Roman"/>
                <w:szCs w:val="21"/>
              </w:rPr>
              <w:t>For UL AR video streams</w:t>
            </w:r>
          </w:p>
          <w:p>
            <w:pPr>
              <w:numPr>
                <w:ilvl w:val="3"/>
                <w:numId w:val="7"/>
              </w:numPr>
              <w:spacing w:before="120" w:after="120"/>
            </w:pPr>
            <w:r>
              <w:rPr>
                <w:rFonts w:eastAsia="Times New Roman"/>
                <w:szCs w:val="21"/>
              </w:rPr>
              <w:t>[PER_I, PER_P, PDB_I, PDB_P] = [1 %, 1 %, 30ms, 30ms]</w:t>
            </w:r>
          </w:p>
        </w:tc>
      </w:tr>
    </w:tbl>
    <w:p>
      <w:pPr>
        <w:spacing w:before="120" w:after="120"/>
      </w:pPr>
      <w:r>
        <w:rPr>
          <w:rFonts w:hint="eastAsia"/>
        </w:rPr>
        <w:t>In our simulations, we utilize alpha = 2.0 for both Option 1A (slice-based) and Option 1B (GOP-based). And we firstly present the evaluation results for reference case and then present some evaluation results for some study cases.</w:t>
      </w:r>
    </w:p>
    <w:p>
      <w:pPr>
        <w:pStyle w:val="4"/>
        <w:spacing w:after="120"/>
        <w:ind w:right="210"/>
      </w:pPr>
      <w:r>
        <w:rPr>
          <w:rFonts w:hint="eastAsia"/>
        </w:rPr>
        <w:t>Group of Picture-based traffic model</w:t>
      </w:r>
    </w:p>
    <w:p>
      <w:pPr>
        <w:spacing w:before="120" w:after="120"/>
      </w:pPr>
      <w:r>
        <w:rPr>
          <w:rFonts w:hint="eastAsia"/>
        </w:rPr>
        <w:t>For GOP-based traffic model, the combinations of different PDB and PER values are listed as follows.</w:t>
      </w:r>
    </w:p>
    <w:p>
      <w:pPr>
        <w:spacing w:before="120" w:after="120"/>
        <w:jc w:val="center"/>
      </w:pPr>
      <w:r>
        <w:rPr>
          <w:rFonts w:hint="eastAsia"/>
        </w:rPr>
        <w:t xml:space="preserve">Table 4 </w:t>
      </w:r>
      <w:r>
        <w:t>The combinations of different PDB and PER values for GOP-based traffic model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Pr>
          <w:p>
            <w:pPr>
              <w:spacing w:before="120" w:after="120"/>
            </w:pPr>
            <w:r>
              <w:rPr>
                <w:rFonts w:hint="eastAsia"/>
              </w:rPr>
              <w:t>Reference Case</w:t>
            </w:r>
          </w:p>
        </w:tc>
        <w:tc>
          <w:tcPr>
            <w:tcW w:w="5970" w:type="dxa"/>
          </w:tcPr>
          <w:p>
            <w:pPr>
              <w:spacing w:before="120" w:after="120"/>
            </w:pPr>
            <w:r>
              <w:rPr>
                <w:rFonts w:hint="eastAsia"/>
              </w:rPr>
              <w:t>[PER_I, PER_P, PDB_I, PDB_P] = [1%, 1%, 10 ms, 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Pr>
          <w:p>
            <w:pPr>
              <w:spacing w:before="120" w:after="120"/>
            </w:pPr>
            <w:r>
              <w:rPr>
                <w:rFonts w:hint="eastAsia"/>
              </w:rPr>
              <w:t>Case 1</w:t>
            </w:r>
          </w:p>
        </w:tc>
        <w:tc>
          <w:tcPr>
            <w:tcW w:w="5970" w:type="dxa"/>
          </w:tcPr>
          <w:p>
            <w:pPr>
              <w:spacing w:before="120" w:after="120"/>
            </w:pPr>
            <w:r>
              <w:rPr>
                <w:rFonts w:hint="eastAsia"/>
              </w:rPr>
              <w:t>[PER_I, PER_P, PDB_I, PDB_P] = [10%, 1%, 10 ms, 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Pr>
          <w:p>
            <w:pPr>
              <w:spacing w:before="120" w:after="120"/>
            </w:pPr>
            <w:r>
              <w:rPr>
                <w:rFonts w:hint="eastAsia"/>
              </w:rPr>
              <w:t>Case 2</w:t>
            </w:r>
          </w:p>
        </w:tc>
        <w:tc>
          <w:tcPr>
            <w:tcW w:w="5970" w:type="dxa"/>
          </w:tcPr>
          <w:p>
            <w:pPr>
              <w:spacing w:before="120" w:after="120"/>
            </w:pPr>
            <w:r>
              <w:rPr>
                <w:rFonts w:hint="eastAsia"/>
              </w:rPr>
              <w:t>[PER_I, PER_P, PDB_I, PDB_P] = [1%, 10%, 10 ms, 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Pr>
          <w:p>
            <w:pPr>
              <w:spacing w:before="120" w:after="120"/>
            </w:pPr>
            <w:r>
              <w:rPr>
                <w:rFonts w:hint="eastAsia"/>
              </w:rPr>
              <w:t>Case 3</w:t>
            </w:r>
          </w:p>
        </w:tc>
        <w:tc>
          <w:tcPr>
            <w:tcW w:w="5970" w:type="dxa"/>
          </w:tcPr>
          <w:p>
            <w:pPr>
              <w:spacing w:before="120" w:after="120"/>
            </w:pPr>
            <w:r>
              <w:rPr>
                <w:rFonts w:hint="eastAsia"/>
              </w:rPr>
              <w:t>[PER_I, PER_P, PDB_I, PDB_P] = [1%, 5%, 10 ms, 10 ms]</w:t>
            </w:r>
          </w:p>
        </w:tc>
      </w:tr>
    </w:tbl>
    <w:p>
      <w:pPr>
        <w:spacing w:before="120" w:after="120"/>
      </w:pP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580765" cy="2685415"/>
                  <wp:effectExtent l="0" t="0" r="0" b="6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27" cstate="print"/>
                          <a:stretch>
                            <a:fillRect/>
                          </a:stretch>
                        </pic:blipFill>
                        <pic:spPr>
                          <a:xfrm>
                            <a:off x="0" y="0"/>
                            <a:ext cx="3580765" cy="2685415"/>
                          </a:xfrm>
                          <a:prstGeom prst="rect">
                            <a:avLst/>
                          </a:prstGeom>
                          <a:noFill/>
                          <a:ln>
                            <a:noFill/>
                          </a:ln>
                        </pic:spPr>
                      </pic:pic>
                    </a:graphicData>
                  </a:graphic>
                </wp:inline>
              </w:drawing>
            </w:r>
          </w:p>
        </w:tc>
      </w:tr>
    </w:tbl>
    <w:p>
      <w:pPr>
        <w:spacing w:before="120" w:after="120"/>
        <w:jc w:val="center"/>
        <w:rPr>
          <w:i/>
          <w:iCs/>
          <w:szCs w:val="21"/>
        </w:rPr>
      </w:pPr>
      <w:r>
        <w:rPr>
          <w:rFonts w:hint="eastAsia"/>
          <w:i/>
          <w:iCs/>
          <w:szCs w:val="21"/>
        </w:rPr>
        <w:t xml:space="preserve">Figure 12 </w:t>
      </w:r>
      <w:r>
        <w:rPr>
          <w:i/>
          <w:iCs/>
          <w:szCs w:val="21"/>
        </w:rPr>
        <w:t>Capacity results of the multi</w:t>
      </w:r>
      <w:r>
        <w:rPr>
          <w:rFonts w:hint="eastAsia"/>
          <w:i/>
          <w:iCs/>
          <w:szCs w:val="21"/>
        </w:rPr>
        <w:t xml:space="preserve">ple </w:t>
      </w:r>
      <w:r>
        <w:rPr>
          <w:i/>
          <w:iCs/>
          <w:szCs w:val="21"/>
        </w:rPr>
        <w:t>stream model Option 1B (GOP-based) with different (P</w:t>
      </w:r>
      <w:r>
        <w:rPr>
          <w:rFonts w:hint="eastAsia"/>
          <w:i/>
          <w:iCs/>
          <w:szCs w:val="21"/>
        </w:rPr>
        <w:t>E</w:t>
      </w:r>
      <w:r>
        <w:rPr>
          <w:i/>
          <w:iCs/>
          <w:szCs w:val="21"/>
        </w:rPr>
        <w:t>R, PDB)</w:t>
      </w:r>
    </w:p>
    <w:p>
      <w:pPr>
        <w:spacing w:before="120" w:after="120"/>
      </w:pPr>
      <w:r>
        <w:rPr>
          <w:rFonts w:hint="eastAsia"/>
        </w:rPr>
        <w:t xml:space="preserve">According to </w:t>
      </w:r>
      <w:r>
        <w:rPr>
          <w:rFonts w:hint="eastAsia"/>
          <w:b/>
          <w:bCs/>
        </w:rPr>
        <w:t>Figure 12</w:t>
      </w:r>
      <w:r>
        <w:rPr>
          <w:rFonts w:hint="eastAsia"/>
        </w:rPr>
        <w:t>, the capacity performance for Option1B (GOP-based) traffic model of each case is summarized as follows.</w:t>
      </w:r>
    </w:p>
    <w:p>
      <w:pPr>
        <w:spacing w:before="120" w:after="120"/>
        <w:ind w:firstLine="420"/>
        <w:jc w:val="center"/>
      </w:pPr>
      <w:r>
        <w:rPr>
          <w:rFonts w:hint="eastAsia"/>
        </w:rPr>
        <w:t>Table 5 Summary of capacity performance (GOP-based) for different cases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3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rPr>
                <w:b/>
                <w:bCs/>
              </w:rPr>
            </w:pPr>
            <w:r>
              <w:rPr>
                <w:rFonts w:hint="eastAsia"/>
                <w:b/>
                <w:bCs/>
              </w:rPr>
              <w:t>[PER_I, PER_P, PDB_I, PDB_P] Combinations</w:t>
            </w:r>
          </w:p>
        </w:tc>
        <w:tc>
          <w:tcPr>
            <w:tcW w:w="3024" w:type="dxa"/>
          </w:tcPr>
          <w:p>
            <w:pPr>
              <w:spacing w:before="120" w:after="120"/>
              <w:jc w:val="center"/>
              <w:rPr>
                <w:b/>
                <w:bCs/>
              </w:rPr>
            </w:pPr>
            <w:r>
              <w:rPr>
                <w:rFonts w:hint="eastAsia"/>
                <w:b/>
                <w:bCs/>
              </w:rPr>
              <w:t>Satisfied UE number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pPr>
            <w:r>
              <w:rPr>
                <w:rFonts w:hint="eastAsia"/>
              </w:rPr>
              <w:t>Reference Case [1%, 1%, 10ms, 10ms]</w:t>
            </w:r>
          </w:p>
        </w:tc>
        <w:tc>
          <w:tcPr>
            <w:tcW w:w="3024" w:type="dxa"/>
          </w:tcPr>
          <w:p>
            <w:pPr>
              <w:spacing w:before="120" w:after="120"/>
              <w:jc w:val="center"/>
            </w:pPr>
            <w:r>
              <w:rPr>
                <w:rFonts w:hint="eastAsi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pPr>
            <w:r>
              <w:rPr>
                <w:rFonts w:hint="eastAsia"/>
              </w:rPr>
              <w:t>Case 1 [10%, 1%, 10ms, 10ms]</w:t>
            </w:r>
          </w:p>
        </w:tc>
        <w:tc>
          <w:tcPr>
            <w:tcW w:w="3024" w:type="dxa"/>
          </w:tcPr>
          <w:p>
            <w:pPr>
              <w:spacing w:before="120" w:after="120"/>
              <w:jc w:val="center"/>
            </w:pPr>
            <w:r>
              <w:rPr>
                <w:rFonts w:hint="eastAsia"/>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pPr>
            <w:r>
              <w:rPr>
                <w:rFonts w:hint="eastAsia"/>
              </w:rPr>
              <w:t>Case 2 [1%, 10%, 10ms, 10ms]</w:t>
            </w:r>
          </w:p>
        </w:tc>
        <w:tc>
          <w:tcPr>
            <w:tcW w:w="3024" w:type="dxa"/>
          </w:tcPr>
          <w:p>
            <w:pPr>
              <w:spacing w:before="120" w:after="120"/>
              <w:jc w:val="center"/>
            </w:pPr>
            <w:r>
              <w:rPr>
                <w:rFonts w:hint="eastAsia"/>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pPr>
            <w:r>
              <w:rPr>
                <w:rFonts w:hint="eastAsia"/>
              </w:rPr>
              <w:t>Case 3 [1%, 5%, 10ms, 10ms]</w:t>
            </w:r>
          </w:p>
        </w:tc>
        <w:tc>
          <w:tcPr>
            <w:tcW w:w="3024" w:type="dxa"/>
          </w:tcPr>
          <w:p>
            <w:pPr>
              <w:spacing w:before="120" w:after="120"/>
              <w:jc w:val="center"/>
            </w:pPr>
            <w:r>
              <w:rPr>
                <w:rFonts w:hint="eastAsia"/>
              </w:rPr>
              <w:t>10.9</w:t>
            </w:r>
          </w:p>
        </w:tc>
      </w:tr>
    </w:tbl>
    <w:p>
      <w:pPr>
        <w:spacing w:before="120" w:after="120"/>
      </w:pPr>
      <w:r>
        <w:rPr>
          <w:rFonts w:hint="eastAsia"/>
        </w:rPr>
        <w:t>By making comparison between reference case and Case 1, the capacity increas</w:t>
      </w:r>
      <w:r>
        <w:t>es</w:t>
      </w:r>
      <w:r>
        <w:rPr>
          <w:rFonts w:hint="eastAsia"/>
        </w:rPr>
        <w:t xml:space="preserve"> obviously from 10.8 to 12.2, which implies that relaxing the reliability of I-frame will dramatically increase the system capacity for GOP-based traffic model. While </w:t>
      </w:r>
      <w:r>
        <w:t xml:space="preserve">when </w:t>
      </w:r>
      <w:r>
        <w:rPr>
          <w:rFonts w:hint="eastAsia"/>
        </w:rPr>
        <w:t>we mak</w:t>
      </w:r>
      <w:r>
        <w:t>e</w:t>
      </w:r>
      <w:r>
        <w:rPr>
          <w:rFonts w:hint="eastAsia"/>
        </w:rPr>
        <w:t xml:space="preserve"> comparison among reference case, Case 2 and Case 3, the capacity slightly increas</w:t>
      </w:r>
      <w:r>
        <w:t>es</w:t>
      </w:r>
      <w:r>
        <w:rPr>
          <w:rFonts w:hint="eastAsia"/>
        </w:rPr>
        <w:t xml:space="preserve"> from 10.8 to 10.9. Because for GOP-based traffic model, I-frames transmission is the bottleneck of system capacity. If some improvements for I-frames, such as, network coding, in high layer can be done to ensure the reliability in high layer, the PER in PHY can be relaxed and the capacity can increase consequently. </w:t>
      </w:r>
    </w:p>
    <w:p>
      <w:pPr>
        <w:pStyle w:val="50"/>
        <w:spacing w:before="120" w:after="120"/>
        <w:jc w:val="both"/>
        <w:rPr>
          <w:rFonts w:eastAsia="宋体"/>
          <w:lang w:val="en-US" w:eastAsia="zh-CN"/>
        </w:rPr>
      </w:pPr>
      <w:bookmarkStart w:id="15" w:name="_Toc28116"/>
      <w:bookmarkStart w:id="16" w:name="_Toc55"/>
      <w:r>
        <w:rPr>
          <w:rFonts w:hint="eastAsia" w:eastAsia="宋体"/>
          <w:lang w:val="en-US" w:eastAsia="zh-CN"/>
        </w:rPr>
        <w:t>For GOP-based traffic model, relaxing the reliability of I-frame is capable of significantly improving system capacity while relaxing the reliability of P-frame slightly improves system capacity.</w:t>
      </w:r>
      <w:bookmarkEnd w:id="15"/>
      <w:bookmarkEnd w:id="16"/>
      <w:r>
        <w:rPr>
          <w:rFonts w:hint="eastAsia" w:eastAsia="宋体"/>
          <w:lang w:val="en-US" w:eastAsia="zh-CN"/>
        </w:rPr>
        <w:t xml:space="preserve"> </w:t>
      </w:r>
    </w:p>
    <w:p>
      <w:pPr>
        <w:pStyle w:val="4"/>
        <w:spacing w:after="120"/>
        <w:ind w:right="210"/>
      </w:pPr>
      <w:r>
        <w:rPr>
          <w:rFonts w:hint="eastAsia"/>
        </w:rPr>
        <w:t>Slice-based traffic model</w:t>
      </w:r>
    </w:p>
    <w:p>
      <w:pPr>
        <w:spacing w:before="120" w:after="120"/>
      </w:pPr>
      <w:r>
        <w:rPr>
          <w:rFonts w:hint="eastAsia"/>
        </w:rPr>
        <w:t>For slice-based traffic model, the combinations of different PDB and PER values are listed as follows.</w:t>
      </w:r>
    </w:p>
    <w:p>
      <w:pPr>
        <w:spacing w:before="120" w:after="120"/>
        <w:jc w:val="center"/>
      </w:pPr>
      <w:r>
        <w:rPr>
          <w:rFonts w:hint="eastAsia"/>
        </w:rPr>
        <w:t xml:space="preserve">Table 6 </w:t>
      </w:r>
      <w:r>
        <w:t xml:space="preserve">The combinations of different PDB and PER values for </w:t>
      </w:r>
      <w:r>
        <w:rPr>
          <w:rFonts w:hint="eastAsia"/>
        </w:rPr>
        <w:t>slice</w:t>
      </w:r>
      <w:r>
        <w:t>-based traffic model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3"/>
        <w:gridCol w:w="5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Pr>
          <w:p>
            <w:pPr>
              <w:spacing w:before="120" w:after="120"/>
            </w:pPr>
            <w:r>
              <w:rPr>
                <w:rFonts w:hint="eastAsia"/>
              </w:rPr>
              <w:t>Reference Case</w:t>
            </w:r>
          </w:p>
        </w:tc>
        <w:tc>
          <w:tcPr>
            <w:tcW w:w="5970" w:type="dxa"/>
          </w:tcPr>
          <w:p>
            <w:pPr>
              <w:spacing w:before="120" w:after="120"/>
            </w:pPr>
            <w:r>
              <w:rPr>
                <w:rFonts w:hint="eastAsia"/>
              </w:rPr>
              <w:t>[PER_I, PER_P, PDB_I, PDB_P] = [1%, 1%, 10 ms, 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tcPr>
          <w:p>
            <w:pPr>
              <w:spacing w:before="120" w:after="120"/>
            </w:pPr>
            <w:r>
              <w:rPr>
                <w:rFonts w:hint="eastAsia"/>
              </w:rPr>
              <w:t>Case 1</w:t>
            </w:r>
          </w:p>
        </w:tc>
        <w:tc>
          <w:tcPr>
            <w:tcW w:w="5970" w:type="dxa"/>
          </w:tcPr>
          <w:p>
            <w:pPr>
              <w:spacing w:before="120" w:after="120"/>
            </w:pPr>
            <w:r>
              <w:rPr>
                <w:rFonts w:hint="eastAsia"/>
              </w:rPr>
              <w:t>[PER_I, PER_P, PDB_I, PDB_P] = [1%, 5%, 10 ms, 10 ms]</w:t>
            </w:r>
          </w:p>
        </w:tc>
      </w:tr>
    </w:tbl>
    <w:p>
      <w:pPr>
        <w:spacing w:before="120" w:after="120"/>
      </w:pPr>
      <w:r>
        <w:rPr>
          <w:rFonts w:hint="eastAsia"/>
        </w:rPr>
        <w:t>In our simulation, 7 P-slices are generated and scheduled as a large P packet. And the PER and PDB are defined for the large P packet.</w:t>
      </w:r>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8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6803" w:type="dxa"/>
          </w:tcPr>
          <w:p>
            <w:pPr>
              <w:spacing w:before="120" w:after="120" w:line="276" w:lineRule="auto"/>
              <w:jc w:val="center"/>
              <w:rPr>
                <w:rFonts w:eastAsiaTheme="minorEastAsia"/>
                <w:i/>
                <w:iCs/>
                <w:lang w:val="fr-FR"/>
              </w:rPr>
            </w:pPr>
            <w:r>
              <w:drawing>
                <wp:inline distT="0" distB="0" distL="114300" distR="114300">
                  <wp:extent cx="3580765" cy="2685415"/>
                  <wp:effectExtent l="0" t="0" r="0" b="63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28" cstate="print"/>
                          <a:stretch>
                            <a:fillRect/>
                          </a:stretch>
                        </pic:blipFill>
                        <pic:spPr>
                          <a:xfrm>
                            <a:off x="0" y="0"/>
                            <a:ext cx="3580765" cy="2685415"/>
                          </a:xfrm>
                          <a:prstGeom prst="rect">
                            <a:avLst/>
                          </a:prstGeom>
                          <a:noFill/>
                          <a:ln>
                            <a:noFill/>
                          </a:ln>
                        </pic:spPr>
                      </pic:pic>
                    </a:graphicData>
                  </a:graphic>
                </wp:inline>
              </w:drawing>
            </w:r>
          </w:p>
        </w:tc>
      </w:tr>
    </w:tbl>
    <w:p>
      <w:pPr>
        <w:spacing w:before="120" w:after="120"/>
        <w:jc w:val="center"/>
      </w:pPr>
      <w:r>
        <w:rPr>
          <w:rFonts w:hint="eastAsia"/>
          <w:i/>
          <w:iCs/>
          <w:szCs w:val="21"/>
        </w:rPr>
        <w:t xml:space="preserve">Figure 13 </w:t>
      </w:r>
      <w:r>
        <w:rPr>
          <w:i/>
          <w:iCs/>
          <w:szCs w:val="21"/>
        </w:rPr>
        <w:t>Capacity results of the multi</w:t>
      </w:r>
      <w:r>
        <w:rPr>
          <w:rFonts w:hint="eastAsia"/>
          <w:i/>
          <w:iCs/>
          <w:szCs w:val="21"/>
        </w:rPr>
        <w:t xml:space="preserve">ple </w:t>
      </w:r>
      <w:r>
        <w:rPr>
          <w:i/>
          <w:iCs/>
          <w:szCs w:val="21"/>
        </w:rPr>
        <w:t>stream model Option 1</w:t>
      </w:r>
      <w:r>
        <w:rPr>
          <w:rFonts w:hint="eastAsia"/>
          <w:i/>
          <w:iCs/>
          <w:szCs w:val="21"/>
        </w:rPr>
        <w:t>A</w:t>
      </w:r>
      <w:r>
        <w:rPr>
          <w:i/>
          <w:iCs/>
          <w:szCs w:val="21"/>
        </w:rPr>
        <w:t xml:space="preserve"> (</w:t>
      </w:r>
      <w:r>
        <w:rPr>
          <w:rFonts w:hint="eastAsia"/>
          <w:i/>
          <w:iCs/>
          <w:szCs w:val="21"/>
        </w:rPr>
        <w:t>Slice</w:t>
      </w:r>
      <w:r>
        <w:rPr>
          <w:i/>
          <w:iCs/>
          <w:szCs w:val="21"/>
        </w:rPr>
        <w:t>-based) with different (P</w:t>
      </w:r>
      <w:r>
        <w:rPr>
          <w:rFonts w:hint="eastAsia"/>
          <w:i/>
          <w:iCs/>
          <w:szCs w:val="21"/>
        </w:rPr>
        <w:t>E</w:t>
      </w:r>
      <w:r>
        <w:rPr>
          <w:i/>
          <w:iCs/>
          <w:szCs w:val="21"/>
        </w:rPr>
        <w:t>R, PDB)</w:t>
      </w:r>
    </w:p>
    <w:p>
      <w:pPr>
        <w:spacing w:before="120" w:after="120"/>
      </w:pPr>
      <w:r>
        <w:rPr>
          <w:rFonts w:hint="eastAsia"/>
        </w:rPr>
        <w:t xml:space="preserve">According to </w:t>
      </w:r>
      <w:r>
        <w:rPr>
          <w:rFonts w:hint="eastAsia"/>
          <w:b/>
          <w:bCs/>
        </w:rPr>
        <w:t>Figure 13</w:t>
      </w:r>
      <w:r>
        <w:rPr>
          <w:rFonts w:hint="eastAsia"/>
        </w:rPr>
        <w:t>, the capacity performance for Option1A (Slice-based) traffic model of each case is summarized as follows.</w:t>
      </w:r>
    </w:p>
    <w:p>
      <w:pPr>
        <w:spacing w:before="120" w:after="120"/>
        <w:ind w:firstLine="420"/>
        <w:jc w:val="center"/>
      </w:pPr>
      <w:r>
        <w:rPr>
          <w:rFonts w:hint="eastAsia"/>
        </w:rPr>
        <w:t>Table 7 Summary of capacity performance (Slice-based) for different cases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3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rPr>
                <w:b/>
                <w:bCs/>
              </w:rPr>
            </w:pPr>
            <w:r>
              <w:rPr>
                <w:rFonts w:hint="eastAsia"/>
                <w:b/>
                <w:bCs/>
              </w:rPr>
              <w:t>[PER_I, PER_P, PDB_I, PDB_P] Combinations</w:t>
            </w:r>
          </w:p>
        </w:tc>
        <w:tc>
          <w:tcPr>
            <w:tcW w:w="3014" w:type="dxa"/>
          </w:tcPr>
          <w:p>
            <w:pPr>
              <w:spacing w:before="120" w:after="120"/>
              <w:jc w:val="center"/>
              <w:rPr>
                <w:b/>
                <w:bCs/>
              </w:rPr>
            </w:pPr>
            <w:r>
              <w:rPr>
                <w:rFonts w:hint="eastAsia"/>
                <w:b/>
                <w:bCs/>
              </w:rPr>
              <w:t>Satisfied UE number per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pPr>
            <w:r>
              <w:rPr>
                <w:rFonts w:hint="eastAsia"/>
              </w:rPr>
              <w:t>Reference Case [1%, 1%, 10ms, 10ms]</w:t>
            </w:r>
          </w:p>
        </w:tc>
        <w:tc>
          <w:tcPr>
            <w:tcW w:w="3014" w:type="dxa"/>
          </w:tcPr>
          <w:p>
            <w:pPr>
              <w:spacing w:before="120" w:after="120"/>
              <w:jc w:val="center"/>
            </w:pPr>
            <w:r>
              <w:rPr>
                <w:rFonts w:hint="eastAsia"/>
              </w:rPr>
              <w:t>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38" w:type="dxa"/>
          </w:tcPr>
          <w:p>
            <w:pPr>
              <w:spacing w:before="120" w:after="120"/>
              <w:jc w:val="center"/>
            </w:pPr>
            <w:r>
              <w:rPr>
                <w:rFonts w:hint="eastAsia"/>
              </w:rPr>
              <w:t>Case 1 [1%, 5%, 10ms, 10ms]</w:t>
            </w:r>
          </w:p>
        </w:tc>
        <w:tc>
          <w:tcPr>
            <w:tcW w:w="3014" w:type="dxa"/>
          </w:tcPr>
          <w:p>
            <w:pPr>
              <w:spacing w:before="120" w:after="120"/>
              <w:jc w:val="center"/>
            </w:pPr>
            <w:r>
              <w:rPr>
                <w:rFonts w:hint="eastAsia"/>
              </w:rPr>
              <w:t>14.6</w:t>
            </w:r>
          </w:p>
        </w:tc>
      </w:tr>
    </w:tbl>
    <w:p>
      <w:pPr>
        <w:spacing w:before="120" w:after="120"/>
      </w:pPr>
      <w:r>
        <w:rPr>
          <w:rFonts w:hint="eastAsia"/>
        </w:rPr>
        <w:t>By making comparison between reference case and Case 1, the capacity increas</w:t>
      </w:r>
      <w:r>
        <w:t>es</w:t>
      </w:r>
      <w:r>
        <w:rPr>
          <w:rFonts w:hint="eastAsia"/>
        </w:rPr>
        <w:t xml:space="preserve"> obviously from 12.7 to 14.6, which implies that relaxing the reliability of P-slice will dramatically increase the system capacity for slice-based traffic model.</w:t>
      </w:r>
    </w:p>
    <w:p>
      <w:pPr>
        <w:pStyle w:val="50"/>
        <w:spacing w:before="120" w:after="120"/>
        <w:jc w:val="both"/>
        <w:rPr>
          <w:rFonts w:eastAsia="宋体"/>
          <w:lang w:val="en-US" w:eastAsia="zh-CN"/>
        </w:rPr>
      </w:pPr>
      <w:bookmarkStart w:id="17" w:name="_Toc20951"/>
      <w:bookmarkStart w:id="18" w:name="_Toc14554"/>
      <w:r>
        <w:rPr>
          <w:rFonts w:hint="eastAsia" w:eastAsia="宋体"/>
          <w:lang w:val="en-US" w:eastAsia="zh-CN"/>
        </w:rPr>
        <w:t>For Slice-based traffic model, relaxing the reliability of P slice is capable of significantly improving system capacity.</w:t>
      </w:r>
      <w:bookmarkEnd w:id="17"/>
      <w:bookmarkEnd w:id="18"/>
      <w:r>
        <w:rPr>
          <w:rFonts w:hint="eastAsia" w:eastAsia="宋体"/>
          <w:lang w:val="en-US" w:eastAsia="zh-CN"/>
        </w:rPr>
        <w:t xml:space="preserve"> </w:t>
      </w:r>
    </w:p>
    <w:p>
      <w:pPr>
        <w:pStyle w:val="3"/>
        <w:spacing w:before="120" w:after="120"/>
        <w:ind w:left="991" w:right="210" w:hanging="991" w:hangingChars="354"/>
        <w:rPr>
          <w:rFonts w:eastAsia="宋体"/>
          <w:szCs w:val="22"/>
        </w:rPr>
      </w:pPr>
      <w:r>
        <w:rPr>
          <w:rFonts w:hint="eastAsia" w:eastAsia="宋体"/>
          <w:szCs w:val="22"/>
        </w:rPr>
        <w:t>Potential enhancement on capacity performance</w:t>
      </w:r>
    </w:p>
    <w:p>
      <w:pPr>
        <w:spacing w:before="120" w:after="120"/>
      </w:pPr>
      <w:r>
        <w:rPr>
          <w:rFonts w:hint="eastAsia"/>
        </w:rPr>
        <w:t xml:space="preserve">Considering the case when the existing network starts to carry the XR service, the network is likely to encounter severe challenges. One of the unavoidable problems is XR coexistence with existing service, including, e.g. uRLLC and eMBB. </w:t>
      </w:r>
    </w:p>
    <w:p>
      <w:pPr>
        <w:spacing w:before="120" w:after="120"/>
      </w:pPr>
      <w:r>
        <w:rPr>
          <w:rFonts w:hint="eastAsia"/>
        </w:rPr>
        <w:t xml:space="preserve">Taking coexistence between uRLLC service and XR service as an example, the available approach is to utilize preemption scheme to achieve uRLLC and XR multiplexing. </w:t>
      </w:r>
      <w:r>
        <w:t xml:space="preserve">The </w:t>
      </w:r>
      <w:r>
        <w:rPr>
          <w:rFonts w:hint="eastAsia"/>
        </w:rPr>
        <w:t>u</w:t>
      </w:r>
      <w:r>
        <w:t xml:space="preserve">RLLC transmission may preempt an ongoing </w:t>
      </w:r>
      <w:r>
        <w:rPr>
          <w:rFonts w:hint="eastAsia"/>
        </w:rPr>
        <w:t>XR</w:t>
      </w:r>
      <w:r>
        <w:t xml:space="preserve"> transmission, i.e. punctur</w:t>
      </w:r>
      <w:r>
        <w:rPr>
          <w:rFonts w:hint="eastAsia"/>
        </w:rPr>
        <w:t>ing</w:t>
      </w:r>
      <w:r>
        <w:t xml:space="preserve"> the resource elements already scheduled for </w:t>
      </w:r>
      <w:r>
        <w:rPr>
          <w:rFonts w:hint="eastAsia"/>
        </w:rPr>
        <w:t>XR</w:t>
      </w:r>
      <w:r>
        <w:t xml:space="preserve">. </w:t>
      </w:r>
      <w:r>
        <w:rPr>
          <w:rFonts w:hint="eastAsia"/>
        </w:rPr>
        <w:t>To this end</w:t>
      </w:r>
      <w:r>
        <w:t xml:space="preserve">, </w:t>
      </w:r>
      <w:r>
        <w:rPr>
          <w:rFonts w:hint="eastAsia"/>
        </w:rPr>
        <w:t xml:space="preserve">the </w:t>
      </w:r>
      <w:r>
        <w:t>preemption</w:t>
      </w:r>
      <w:r>
        <w:rPr>
          <w:rFonts w:hint="eastAsia"/>
        </w:rPr>
        <w:t xml:space="preserve"> indication</w:t>
      </w:r>
      <w:r>
        <w:t xml:space="preserve"> </w:t>
      </w:r>
      <w:r>
        <w:rPr>
          <w:rFonts w:hint="eastAsia"/>
        </w:rPr>
        <w:t>is needed for indicating the preempted area to help XR UE transmission/re-transmission</w:t>
      </w:r>
      <w:r>
        <w:t>.</w:t>
      </w:r>
      <w:r>
        <w:rPr>
          <w:rFonts w:hint="eastAsia"/>
        </w:rPr>
        <w:t xml:space="preserve"> For uRLLC and eMBB multiplexing, current Rel-15 preemption indication mechanism is introduced for uRLLC enhancement by indicating the preemption area of eMBB at symbol level. This mechanism may not cause heavy performance loss of eMBB, because of relatively loose latency requirement for eMBB, which allows more re-transmissions to reach the reliability constraint. However, when it comes to XR, things are different. Due to its eMBB-like large data amount and uRLLC-like stringent latency, excessive radio resources of XR are wasted by current Rel-15 preemption indication mechanism</w:t>
      </w:r>
      <w:r>
        <w:t xml:space="preserve">, </w:t>
      </w:r>
      <w:r>
        <w:rPr>
          <w:rFonts w:hint="eastAsia"/>
        </w:rPr>
        <w:t>resulting in frequent re-transmissions and large amount of XR packets dropped due to</w:t>
      </w:r>
      <w:r>
        <w:t xml:space="preserve"> the</w:t>
      </w:r>
      <w:r>
        <w:rPr>
          <w:rFonts w:hint="eastAsia"/>
        </w:rPr>
        <w:t xml:space="preserve"> failure to meet</w:t>
      </w:r>
      <w:r>
        <w:t>ing</w:t>
      </w:r>
      <w:r>
        <w:rPr>
          <w:rFonts w:hint="eastAsia"/>
        </w:rPr>
        <w:t xml:space="preserve"> the PDB. </w:t>
      </w:r>
    </w:p>
    <w:p>
      <w:pPr>
        <w:spacing w:before="120" w:after="120"/>
      </w:pPr>
      <w:r>
        <w:rPr>
          <w:rFonts w:hint="eastAsia"/>
        </w:rPr>
        <w:t xml:space="preserve">In a word, XR is more sensitive in PDB/reliability compared with eMBB. Therefore, finer granularity preemption indication should be considered to solve the problem of Rel-15 preemption indication in uRLLC and XR multiplexing. </w:t>
      </w:r>
    </w:p>
    <w:p>
      <w:pPr>
        <w:pStyle w:val="50"/>
        <w:spacing w:before="120" w:after="120"/>
        <w:jc w:val="both"/>
        <w:rPr>
          <w:rFonts w:eastAsia="宋体"/>
          <w:lang w:val="en-US" w:eastAsia="zh-CN"/>
        </w:rPr>
      </w:pPr>
      <w:bookmarkStart w:id="19" w:name="_Toc12695"/>
      <w:bookmarkStart w:id="20" w:name="_Toc8284"/>
      <w:r>
        <w:rPr>
          <w:rFonts w:hint="eastAsia" w:eastAsia="宋体"/>
          <w:lang w:val="en-US" w:eastAsia="zh-CN"/>
        </w:rPr>
        <w:t>Finer granularity preemption indication should be considered for XR coexistence.</w:t>
      </w:r>
      <w:bookmarkEnd w:id="19"/>
      <w:bookmarkEnd w:id="20"/>
    </w:p>
    <w:p>
      <w:pPr>
        <w:spacing w:before="120" w:after="120"/>
      </w:pPr>
      <w:r>
        <w:rPr>
          <w:rFonts w:hint="eastAsia"/>
        </w:rPr>
        <w:t xml:space="preserve">In our simulation, uRLLC traffic and XR traffic are considered </w:t>
      </w:r>
      <w:r>
        <w:t>as</w:t>
      </w:r>
      <w:r>
        <w:rPr>
          <w:rFonts w:hint="eastAsia"/>
        </w:rPr>
        <w:t xml:space="preserve"> the two types of traffic </w:t>
      </w:r>
      <w:r>
        <w:t>to be</w:t>
      </w:r>
      <w:r>
        <w:rPr>
          <w:rFonts w:hint="eastAsia"/>
        </w:rPr>
        <w:t xml:space="preserve"> transmitt</w:t>
      </w:r>
      <w:r>
        <w:t>ed</w:t>
      </w:r>
      <w:r>
        <w:rPr>
          <w:rFonts w:hint="eastAsia"/>
        </w:rPr>
        <w:t xml:space="preserve"> in the system, where uRLLC traffic has higher priority (HP) while XR traffic has a relatively low priority (LP). According to [3-6], the parameters of two traffic models are shown as follows.</w:t>
      </w:r>
    </w:p>
    <w:p>
      <w:pPr>
        <w:spacing w:before="120" w:after="120"/>
        <w:ind w:firstLine="420"/>
        <w:jc w:val="center"/>
      </w:pPr>
      <w:r>
        <w:rPr>
          <w:rFonts w:hint="eastAsia"/>
        </w:rPr>
        <w:t>Table 8 Parameters of uRLLC and eMBB</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4"/>
        <w:gridCol w:w="3109"/>
        <w:gridCol w:w="1383"/>
        <w:gridCol w:w="815"/>
        <w:gridCol w:w="80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4" w:type="dxa"/>
          </w:tcPr>
          <w:p>
            <w:pPr>
              <w:spacing w:before="120" w:after="120"/>
              <w:jc w:val="center"/>
              <w:rPr>
                <w:b/>
                <w:bCs/>
              </w:rPr>
            </w:pPr>
            <w:r>
              <w:rPr>
                <w:rFonts w:hint="eastAsia"/>
                <w:b/>
                <w:bCs/>
              </w:rPr>
              <w:t>Traffic description</w:t>
            </w:r>
          </w:p>
        </w:tc>
        <w:tc>
          <w:tcPr>
            <w:tcW w:w="3109" w:type="dxa"/>
          </w:tcPr>
          <w:p>
            <w:pPr>
              <w:spacing w:before="120" w:after="120"/>
              <w:jc w:val="center"/>
              <w:rPr>
                <w:b/>
                <w:bCs/>
              </w:rPr>
            </w:pPr>
            <w:r>
              <w:rPr>
                <w:rFonts w:hint="eastAsia"/>
                <w:b/>
                <w:bCs/>
              </w:rPr>
              <w:t>Packet size</w:t>
            </w:r>
          </w:p>
        </w:tc>
        <w:tc>
          <w:tcPr>
            <w:tcW w:w="1383" w:type="dxa"/>
          </w:tcPr>
          <w:p>
            <w:pPr>
              <w:spacing w:before="120" w:after="120"/>
              <w:jc w:val="center"/>
              <w:rPr>
                <w:b/>
                <w:bCs/>
              </w:rPr>
            </w:pPr>
            <w:r>
              <w:rPr>
                <w:rFonts w:hint="eastAsia"/>
                <w:b/>
                <w:bCs/>
              </w:rPr>
              <w:t>Periodicity</w:t>
            </w:r>
          </w:p>
        </w:tc>
        <w:tc>
          <w:tcPr>
            <w:tcW w:w="815" w:type="dxa"/>
          </w:tcPr>
          <w:p>
            <w:pPr>
              <w:spacing w:before="120" w:after="120"/>
              <w:jc w:val="center"/>
              <w:rPr>
                <w:b/>
                <w:bCs/>
              </w:rPr>
            </w:pPr>
            <w:r>
              <w:rPr>
                <w:rFonts w:hint="eastAsia"/>
                <w:b/>
                <w:bCs/>
              </w:rPr>
              <w:t>PER</w:t>
            </w:r>
          </w:p>
        </w:tc>
        <w:tc>
          <w:tcPr>
            <w:tcW w:w="802" w:type="dxa"/>
          </w:tcPr>
          <w:p>
            <w:pPr>
              <w:spacing w:before="120" w:after="120"/>
              <w:jc w:val="center"/>
              <w:rPr>
                <w:b/>
                <w:bCs/>
              </w:rPr>
            </w:pPr>
            <w:r>
              <w:rPr>
                <w:rFonts w:hint="eastAsia"/>
                <w:b/>
                <w:bCs/>
              </w:rPr>
              <w:t>PDB</w:t>
            </w:r>
          </w:p>
        </w:tc>
        <w:tc>
          <w:tcPr>
            <w:tcW w:w="993" w:type="dxa"/>
          </w:tcPr>
          <w:p>
            <w:pPr>
              <w:spacing w:before="120" w:after="120"/>
              <w:jc w:val="center"/>
              <w:rPr>
                <w:b/>
                <w:bCs/>
              </w:rPr>
            </w:pPr>
            <w:r>
              <w:rPr>
                <w:rFonts w:hint="eastAsia"/>
                <w:b/>
                <w:bCs/>
              </w:rPr>
              <w:t>Priority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4" w:type="dxa"/>
            <w:vAlign w:val="center"/>
          </w:tcPr>
          <w:p>
            <w:pPr>
              <w:spacing w:before="120" w:after="120"/>
              <w:jc w:val="center"/>
            </w:pPr>
            <w:r>
              <w:rPr>
                <w:rFonts w:eastAsia="等线"/>
              </w:rPr>
              <w:t xml:space="preserve">Rel-15 enabled </w:t>
            </w:r>
            <w:r>
              <w:t>use case</w:t>
            </w:r>
            <w:r>
              <w:rPr>
                <w:rFonts w:eastAsia="等线"/>
              </w:rPr>
              <w:t xml:space="preserve"> (e.g. AR/VR)</w:t>
            </w:r>
          </w:p>
        </w:tc>
        <w:tc>
          <w:tcPr>
            <w:tcW w:w="3109" w:type="dxa"/>
            <w:vAlign w:val="center"/>
          </w:tcPr>
          <w:p>
            <w:pPr>
              <w:spacing w:before="120" w:after="120"/>
              <w:jc w:val="center"/>
            </w:pPr>
            <w:r>
              <w:rPr>
                <w:rFonts w:hint="eastAsia"/>
              </w:rPr>
              <w:t>Fixed 4096 byte</w:t>
            </w:r>
          </w:p>
        </w:tc>
        <w:tc>
          <w:tcPr>
            <w:tcW w:w="1383" w:type="dxa"/>
            <w:vAlign w:val="center"/>
          </w:tcPr>
          <w:p>
            <w:pPr>
              <w:spacing w:before="120" w:after="120"/>
              <w:jc w:val="center"/>
            </w:pPr>
            <w:r>
              <w:rPr>
                <w:rFonts w:hint="eastAsia"/>
              </w:rPr>
              <w:t>2 ms</w:t>
            </w:r>
          </w:p>
        </w:tc>
        <w:tc>
          <w:tcPr>
            <w:tcW w:w="815" w:type="dxa"/>
            <w:vAlign w:val="center"/>
          </w:tcPr>
          <w:p>
            <w:pPr>
              <w:spacing w:before="120" w:after="120"/>
              <w:jc w:val="center"/>
            </w:pPr>
            <w:r>
              <w:rPr>
                <w:rFonts w:hint="eastAsia"/>
              </w:rPr>
              <w:t>0.1%</w:t>
            </w:r>
          </w:p>
        </w:tc>
        <w:tc>
          <w:tcPr>
            <w:tcW w:w="802" w:type="dxa"/>
            <w:vAlign w:val="center"/>
          </w:tcPr>
          <w:p>
            <w:pPr>
              <w:spacing w:before="120" w:after="120"/>
              <w:jc w:val="center"/>
            </w:pPr>
            <w:r>
              <w:rPr>
                <w:rFonts w:hint="eastAsia"/>
              </w:rPr>
              <w:t>7ms</w:t>
            </w:r>
          </w:p>
        </w:tc>
        <w:tc>
          <w:tcPr>
            <w:tcW w:w="993" w:type="dxa"/>
            <w:vAlign w:val="center"/>
          </w:tcPr>
          <w:p>
            <w:pPr>
              <w:spacing w:before="120" w:after="120"/>
              <w:jc w:val="center"/>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44" w:type="dxa"/>
            <w:vAlign w:val="center"/>
          </w:tcPr>
          <w:p>
            <w:pPr>
              <w:spacing w:before="120" w:after="120"/>
              <w:jc w:val="center"/>
            </w:pPr>
            <w:r>
              <w:rPr>
                <w:rFonts w:hint="eastAsia"/>
              </w:rPr>
              <w:t>AR/VR</w:t>
            </w:r>
          </w:p>
        </w:tc>
        <w:tc>
          <w:tcPr>
            <w:tcW w:w="3109" w:type="dxa"/>
            <w:vAlign w:val="center"/>
          </w:tcPr>
          <w:p>
            <w:pPr>
              <w:spacing w:before="120" w:after="120"/>
              <w:jc w:val="center"/>
            </w:pPr>
            <w:r>
              <w:rPr>
                <w:rFonts w:hint="eastAsia"/>
              </w:rPr>
              <w:t>30Mbps, truncate Gaussian distribution</w:t>
            </w:r>
          </w:p>
        </w:tc>
        <w:tc>
          <w:tcPr>
            <w:tcW w:w="1383" w:type="dxa"/>
            <w:vAlign w:val="center"/>
          </w:tcPr>
          <w:p>
            <w:pPr>
              <w:spacing w:before="120" w:after="120"/>
              <w:jc w:val="center"/>
            </w:pPr>
            <w:r>
              <w:rPr>
                <w:rFonts w:hint="eastAsia"/>
              </w:rPr>
              <w:t>16.67 ms</w:t>
            </w:r>
          </w:p>
        </w:tc>
        <w:tc>
          <w:tcPr>
            <w:tcW w:w="815" w:type="dxa"/>
            <w:vAlign w:val="center"/>
          </w:tcPr>
          <w:p>
            <w:pPr>
              <w:spacing w:before="120" w:after="120"/>
              <w:jc w:val="center"/>
            </w:pPr>
            <w:r>
              <w:rPr>
                <w:rFonts w:hint="eastAsia"/>
              </w:rPr>
              <w:t>1%</w:t>
            </w:r>
          </w:p>
        </w:tc>
        <w:tc>
          <w:tcPr>
            <w:tcW w:w="802" w:type="dxa"/>
            <w:vAlign w:val="center"/>
          </w:tcPr>
          <w:p>
            <w:pPr>
              <w:spacing w:before="120" w:after="120"/>
              <w:jc w:val="center"/>
            </w:pPr>
            <w:r>
              <w:rPr>
                <w:rFonts w:hint="eastAsia"/>
              </w:rPr>
              <w:t>10ms</w:t>
            </w:r>
          </w:p>
        </w:tc>
        <w:tc>
          <w:tcPr>
            <w:tcW w:w="993" w:type="dxa"/>
            <w:vAlign w:val="center"/>
          </w:tcPr>
          <w:p>
            <w:pPr>
              <w:spacing w:before="120" w:after="120"/>
              <w:jc w:val="center"/>
            </w:pPr>
            <w:r>
              <w:rPr>
                <w:rFonts w:hint="eastAsia"/>
              </w:rPr>
              <w:t>0</w:t>
            </w:r>
          </w:p>
        </w:tc>
      </w:tr>
    </w:tbl>
    <w:p>
      <w:pPr>
        <w:spacing w:before="120" w:after="120"/>
      </w:pPr>
      <w:r>
        <w:rPr>
          <w:rFonts w:hint="eastAsia"/>
        </w:rPr>
        <w:t>In our simulation, there are around 20% uRLLC UEs and 80% XR UEs in system. Some of uRLLC UEs are scheduled orthogonal to XR UEs by PF scheduler, while others are activated in concurrence with XR UEs.</w:t>
      </w:r>
    </w:p>
    <w:p>
      <w:pPr>
        <w:spacing w:before="120" w:after="120"/>
      </w:pPr>
      <w:r>
        <w:rPr>
          <w:rFonts w:hint="eastAsia"/>
        </w:rPr>
        <w:t>According to traffic models and assumptions mentioned above, we consider the following cases of preemption patterns for uRLLC UEs and XR UEs multiplexing:</w:t>
      </w:r>
    </w:p>
    <w:p>
      <w:pPr>
        <w:numPr>
          <w:ilvl w:val="0"/>
          <w:numId w:val="8"/>
        </w:numPr>
        <w:spacing w:before="120" w:after="120"/>
      </w:pPr>
      <w:r>
        <w:rPr>
          <w:rFonts w:hint="eastAsia"/>
        </w:rPr>
        <w:t>Enhanced preemption indication: Precise preemption area indication</w:t>
      </w:r>
    </w:p>
    <w:p>
      <w:pPr>
        <w:numPr>
          <w:ilvl w:val="0"/>
          <w:numId w:val="8"/>
        </w:numPr>
        <w:spacing w:before="120" w:after="120"/>
      </w:pPr>
      <w:r>
        <w:rPr>
          <w:rFonts w:hint="eastAsia"/>
        </w:rPr>
        <w:t>Rel-15 preemption indication: Bitmap for indicating preempted symbols, e.g. 4 out of 14 symbols</w:t>
      </w:r>
    </w:p>
    <w:p>
      <w:pPr>
        <w:numPr>
          <w:ilvl w:val="0"/>
          <w:numId w:val="8"/>
        </w:numPr>
        <w:spacing w:before="120" w:after="120"/>
      </w:pPr>
      <w:r>
        <w:rPr>
          <w:rFonts w:hint="eastAsia"/>
        </w:rPr>
        <w:t>No preemption: Directly transmit the multiplexing TB size with inter-UE interference.</w:t>
      </w:r>
    </w:p>
    <w:p>
      <w:pPr>
        <w:spacing w:before="120" w:after="120"/>
        <w:jc w:val="center"/>
      </w:pPr>
      <w:r>
        <w:drawing>
          <wp:inline distT="0" distB="0" distL="114300" distR="114300">
            <wp:extent cx="5489575" cy="1800225"/>
            <wp:effectExtent l="0" t="0" r="15875" b="9525"/>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6"/>
                    <pic:cNvPicPr>
                      <a:picLocks noChangeAspect="1"/>
                    </pic:cNvPicPr>
                  </pic:nvPicPr>
                  <pic:blipFill>
                    <a:blip r:embed="rId29" cstate="print"/>
                    <a:stretch>
                      <a:fillRect/>
                    </a:stretch>
                  </pic:blipFill>
                  <pic:spPr>
                    <a:xfrm>
                      <a:off x="0" y="0"/>
                      <a:ext cx="5489575" cy="1800225"/>
                    </a:xfrm>
                    <a:prstGeom prst="rect">
                      <a:avLst/>
                    </a:prstGeom>
                  </pic:spPr>
                </pic:pic>
              </a:graphicData>
            </a:graphic>
          </wp:inline>
        </w:drawing>
      </w:r>
    </w:p>
    <w:p>
      <w:pPr>
        <w:spacing w:before="120" w:after="120"/>
        <w:jc w:val="center"/>
        <w:rPr>
          <w:i/>
          <w:iCs/>
        </w:rPr>
      </w:pPr>
      <w:r>
        <w:rPr>
          <w:rFonts w:hint="eastAsia"/>
          <w:i/>
          <w:iCs/>
        </w:rPr>
        <w:t>Figure 14 Illustration for different preemption pattern</w:t>
      </w:r>
    </w:p>
    <w:p>
      <w:pPr>
        <w:spacing w:before="120" w:after="120"/>
      </w:pPr>
      <w:r>
        <w:rPr>
          <w:rFonts w:hint="eastAsia"/>
        </w:rPr>
        <w:t xml:space="preserve">The simulation parameters are listed in </w:t>
      </w:r>
      <w:r>
        <w:rPr>
          <w:rFonts w:hint="eastAsia"/>
          <w:b/>
          <w:bCs/>
        </w:rPr>
        <w:t>Table A.1</w:t>
      </w:r>
      <w:r>
        <w:rPr>
          <w:rFonts w:hint="eastAsia"/>
        </w:rPr>
        <w:t>. Then, the simulation results are shown as follows.</w:t>
      </w: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3"/>
        <w:gridCol w:w="47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643" w:type="dxa"/>
          </w:tcPr>
          <w:p>
            <w:pPr>
              <w:spacing w:before="120" w:after="120" w:line="276" w:lineRule="auto"/>
              <w:rPr>
                <w:rFonts w:eastAsiaTheme="minorEastAsia"/>
                <w:i/>
                <w:iCs/>
                <w:lang w:val="fr-FR"/>
              </w:rPr>
            </w:pPr>
            <w:r>
              <w:drawing>
                <wp:inline distT="0" distB="0" distL="114300" distR="114300">
                  <wp:extent cx="2880995" cy="2160270"/>
                  <wp:effectExtent l="0" t="0" r="0" b="11430"/>
                  <wp:docPr id="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
                          <pic:cNvPicPr>
                            <a:picLocks noChangeAspect="1"/>
                          </pic:cNvPicPr>
                        </pic:nvPicPr>
                        <pic:blipFill>
                          <a:blip r:embed="rId30" cstate="print"/>
                          <a:stretch>
                            <a:fillRect/>
                          </a:stretch>
                        </pic:blipFill>
                        <pic:spPr>
                          <a:xfrm>
                            <a:off x="0" y="0"/>
                            <a:ext cx="2880995" cy="2160270"/>
                          </a:xfrm>
                          <a:prstGeom prst="rect">
                            <a:avLst/>
                          </a:prstGeom>
                        </pic:spPr>
                      </pic:pic>
                    </a:graphicData>
                  </a:graphic>
                </wp:inline>
              </w:drawing>
            </w:r>
          </w:p>
        </w:tc>
        <w:tc>
          <w:tcPr>
            <w:tcW w:w="4643" w:type="dxa"/>
          </w:tcPr>
          <w:p>
            <w:pPr>
              <w:spacing w:before="120" w:after="120" w:line="276" w:lineRule="auto"/>
              <w:rPr>
                <w:rFonts w:eastAsiaTheme="minorEastAsia"/>
                <w:i/>
                <w:iCs/>
                <w:lang w:val="fr-FR"/>
              </w:rPr>
            </w:pPr>
            <w:r>
              <w:drawing>
                <wp:inline distT="0" distB="0" distL="114300" distR="114300">
                  <wp:extent cx="2880995" cy="2160270"/>
                  <wp:effectExtent l="0" t="0" r="0" b="11430"/>
                  <wp:docPr id="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2"/>
                          <pic:cNvPicPr>
                            <a:picLocks noChangeAspect="1"/>
                          </pic:cNvPicPr>
                        </pic:nvPicPr>
                        <pic:blipFill>
                          <a:blip r:embed="rId31" cstate="print"/>
                          <a:stretch>
                            <a:fillRect/>
                          </a:stretch>
                        </pic:blipFill>
                        <pic:spPr>
                          <a:xfrm>
                            <a:off x="0" y="0"/>
                            <a:ext cx="2880995" cy="216027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pPr>
              <w:pStyle w:val="29"/>
              <w:spacing w:after="120" w:line="276" w:lineRule="auto"/>
              <w:ind w:left="357"/>
              <w:jc w:val="center"/>
              <w:rPr>
                <w:kern w:val="0"/>
                <w:sz w:val="21"/>
                <w:szCs w:val="21"/>
                <w:lang w:val="en-GB" w:eastAsia="en-US"/>
              </w:rPr>
            </w:pPr>
            <w:r>
              <w:rPr>
                <w:rFonts w:hint="eastAsia" w:eastAsia="宋体"/>
                <w:kern w:val="0"/>
                <w:sz w:val="21"/>
                <w:szCs w:val="21"/>
              </w:rPr>
              <w:t>(a)</w:t>
            </w:r>
            <w:r>
              <w:rPr>
                <w:kern w:val="0"/>
                <w:sz w:val="21"/>
                <w:szCs w:val="21"/>
                <w:lang w:val="en-GB" w:eastAsia="en-US"/>
              </w:rPr>
              <w:t>Capacity</w:t>
            </w:r>
          </w:p>
        </w:tc>
        <w:tc>
          <w:tcPr>
            <w:tcW w:w="4643" w:type="dxa"/>
          </w:tcPr>
          <w:p>
            <w:pPr>
              <w:pStyle w:val="29"/>
              <w:spacing w:after="120" w:line="276" w:lineRule="auto"/>
              <w:ind w:left="0"/>
              <w:jc w:val="center"/>
              <w:rPr>
                <w:kern w:val="0"/>
                <w:sz w:val="21"/>
                <w:szCs w:val="21"/>
                <w:lang w:val="en-GB" w:eastAsia="en-US"/>
              </w:rPr>
            </w:pPr>
            <w:r>
              <w:rPr>
                <w:rFonts w:hint="eastAsia" w:eastAsia="宋体"/>
                <w:kern w:val="0"/>
                <w:sz w:val="21"/>
                <w:szCs w:val="21"/>
              </w:rPr>
              <w:t>(b)</w:t>
            </w:r>
            <w:r>
              <w:rPr>
                <w:kern w:val="0"/>
                <w:sz w:val="21"/>
                <w:szCs w:val="21"/>
                <w:lang w:val="en-GB" w:eastAsia="en-US"/>
              </w:rPr>
              <w:t>RU</w:t>
            </w:r>
          </w:p>
        </w:tc>
      </w:tr>
    </w:tbl>
    <w:p>
      <w:pPr>
        <w:spacing w:before="120" w:after="120"/>
        <w:jc w:val="center"/>
        <w:rPr>
          <w:i/>
          <w:iCs/>
        </w:rPr>
      </w:pPr>
      <w:r>
        <w:rPr>
          <w:rFonts w:hint="eastAsia"/>
          <w:i/>
          <w:iCs/>
        </w:rPr>
        <w:t>Figure 15 Capacity performance &amp; RU comparison among Enhanced preemption indication, Rel-15 preemption indication and No preemption indication.</w:t>
      </w:r>
    </w:p>
    <w:p>
      <w:pPr>
        <w:spacing w:before="120" w:after="120"/>
      </w:pPr>
      <w:r>
        <w:rPr>
          <w:rFonts w:hint="eastAsia"/>
        </w:rPr>
        <w:t xml:space="preserve">According to </w:t>
      </w:r>
      <w:r>
        <w:rPr>
          <w:rFonts w:hint="eastAsia"/>
          <w:b/>
          <w:bCs/>
        </w:rPr>
        <w:t>Figure 15</w:t>
      </w:r>
      <w:r>
        <w:rPr>
          <w:rFonts w:hint="eastAsia"/>
        </w:rPr>
        <w:t>, with MU-MIMO, the system capacity of no preemption indication is 8.5 UEs, the system capacity of Rel-15 preemption indication is 11.8 UEs, which the system capacity of enhanced preemption indication is 16.6 UEs.</w:t>
      </w:r>
    </w:p>
    <w:p>
      <w:pPr>
        <w:pStyle w:val="50"/>
        <w:spacing w:before="120" w:after="120"/>
        <w:jc w:val="both"/>
        <w:rPr>
          <w:rFonts w:eastAsia="宋体"/>
          <w:lang w:val="en-US" w:eastAsia="zh-CN"/>
        </w:rPr>
      </w:pPr>
      <w:bookmarkStart w:id="21" w:name="_Toc15941"/>
      <w:bookmarkStart w:id="22" w:name="_Toc12527"/>
      <w:r>
        <w:rPr>
          <w:rFonts w:hint="eastAsia" w:eastAsia="宋体"/>
          <w:lang w:val="en-US" w:eastAsia="zh-CN"/>
        </w:rPr>
        <w:t>The system capacity of enhanced preemption indication scheme can be improved by finer granularity indication, and the resource utilization of enhanced preemption indication scheme can be reduced by finer granularity indication.</w:t>
      </w:r>
      <w:bookmarkEnd w:id="21"/>
      <w:bookmarkEnd w:id="22"/>
    </w:p>
    <w:p>
      <w:pPr>
        <w:pStyle w:val="2"/>
        <w:spacing w:before="120" w:after="120"/>
        <w:ind w:left="0"/>
      </w:pPr>
      <w:r>
        <w:rPr>
          <w:rFonts w:hint="eastAsia" w:eastAsia="宋体"/>
        </w:rPr>
        <w:t>Power</w:t>
      </w:r>
      <w:r>
        <w:rPr>
          <w:rFonts w:hint="eastAsia"/>
        </w:rPr>
        <w:t xml:space="preserve"> </w:t>
      </w:r>
      <w:r>
        <w:t>consumption</w:t>
      </w:r>
    </w:p>
    <w:p>
      <w:pPr>
        <w:spacing w:before="120" w:after="120"/>
        <w:rPr>
          <w:rFonts w:eastAsiaTheme="minorEastAsia"/>
        </w:rPr>
      </w:pPr>
      <w:bookmarkStart w:id="23" w:name="_Toc29089"/>
      <w:bookmarkEnd w:id="23"/>
      <w:bookmarkStart w:id="24" w:name="_Toc82"/>
      <w:bookmarkEnd w:id="24"/>
      <w:bookmarkStart w:id="25" w:name="_Toc29400"/>
      <w:bookmarkEnd w:id="25"/>
      <w:bookmarkStart w:id="26" w:name="_Toc525"/>
      <w:bookmarkEnd w:id="26"/>
      <w:r>
        <w:rPr>
          <w:rFonts w:hint="eastAsia"/>
        </w:rPr>
        <w:t>As discussed in [7], power consumption is one important KPI of XR. In this section, power consumption evaluation results are provided. I</w:t>
      </w:r>
      <w:r>
        <w:rPr>
          <w:rFonts w:eastAsiaTheme="minorEastAsia"/>
        </w:rPr>
        <w:t xml:space="preserve">n line with the </w:t>
      </w:r>
      <w:r>
        <w:rPr>
          <w:rFonts w:hint="eastAsia" w:eastAsiaTheme="minorEastAsia"/>
        </w:rPr>
        <w:t>previous</w:t>
      </w:r>
      <w:r>
        <w:rPr>
          <w:rFonts w:eastAsiaTheme="minorEastAsia"/>
        </w:rPr>
        <w:t xml:space="preserve"> meetings’ agreement, the following assumptions are adopted in performance evaluation of power consumption.</w:t>
      </w:r>
    </w:p>
    <w:p>
      <w:pPr>
        <w:numPr>
          <w:ilvl w:val="0"/>
          <w:numId w:val="9"/>
        </w:numPr>
        <w:spacing w:before="120" w:after="120" w:line="256" w:lineRule="auto"/>
      </w:pPr>
      <w:r>
        <w:rPr>
          <w:rFonts w:hint="eastAsia"/>
        </w:rPr>
        <w:t xml:space="preserve">The power consumption results for both all UEs and only satisfied UEs </w:t>
      </w:r>
      <w:r>
        <w:t>are</w:t>
      </w:r>
      <w:r>
        <w:rPr>
          <w:rFonts w:hint="eastAsia"/>
        </w:rPr>
        <w:t xml:space="preserve"> counted to comprehensively evaluate XR power </w:t>
      </w:r>
      <w:r>
        <w:t xml:space="preserve">consumption </w:t>
      </w:r>
      <w:r>
        <w:rPr>
          <w:rFonts w:hint="eastAsia"/>
        </w:rPr>
        <w:t xml:space="preserve">performance. </w:t>
      </w:r>
    </w:p>
    <w:p>
      <w:pPr>
        <w:numPr>
          <w:ilvl w:val="0"/>
          <w:numId w:val="9"/>
        </w:numPr>
        <w:spacing w:before="120" w:after="120" w:line="256" w:lineRule="auto"/>
      </w:pPr>
      <w:r>
        <w:rPr>
          <w:rFonts w:hint="eastAsia"/>
        </w:rPr>
        <w:t xml:space="preserve">Both linear interpolation method and </w:t>
      </w:r>
      <w:r>
        <w:t xml:space="preserve">step function with </w:t>
      </w:r>
      <w:r>
        <w:rPr>
          <w:rFonts w:hint="eastAsia"/>
        </w:rPr>
        <w:t xml:space="preserve">only two </w:t>
      </w:r>
      <w:r>
        <w:rPr>
          <w:highlight w:val="none"/>
        </w:rPr>
        <w:t xml:space="preserve">transmission </w:t>
      </w:r>
      <w:r>
        <w:rPr>
          <w:rFonts w:hint="eastAsia"/>
        </w:rPr>
        <w:t>power values are used to count UL power</w:t>
      </w:r>
      <w:r>
        <w:t xml:space="preserve"> consumption</w:t>
      </w:r>
      <w:r>
        <w:rPr>
          <w:rFonts w:hint="eastAsia"/>
        </w:rPr>
        <w:t>.</w:t>
      </w:r>
    </w:p>
    <w:p>
      <w:pPr>
        <w:numPr>
          <w:ilvl w:val="1"/>
          <w:numId w:val="9"/>
        </w:numPr>
        <w:spacing w:before="120" w:after="120" w:line="256" w:lineRule="auto"/>
      </w:pPr>
      <w:r>
        <w:rPr>
          <w:rFonts w:hint="eastAsia"/>
        </w:rPr>
        <w:t>Linear interpolation method: the power of UL slot is calculated according to the following function:</w:t>
      </w:r>
    </w:p>
    <w:p>
      <w:pPr>
        <w:spacing w:before="120" w:after="120"/>
        <w:ind w:left="420" w:firstLine="420"/>
      </w:pPr>
      <w:r>
        <w:rPr>
          <w:rFonts w:hint="eastAsia"/>
          <w:position w:val="-22"/>
        </w:rPr>
        <w:object>
          <v:shape id="_x0000_i1025" o:spt="75" type="#_x0000_t75" style="height:27.65pt;width:177.4pt;" o:ole="t" filled="f" o:preferrelative="t" stroked="f" coordsize="21600,21600">
            <v:path/>
            <v:fill on="f" focussize="0,0"/>
            <v:stroke on="f" joinstyle="miter"/>
            <v:imagedata r:id="rId33" o:title=""/>
            <o:lock v:ext="edit" aspectratio="t"/>
            <w10:wrap type="none"/>
            <w10:anchorlock/>
          </v:shape>
          <o:OLEObject Type="Embed" ProgID="Equation.3" ShapeID="_x0000_i1025" DrawAspect="Content" ObjectID="_1468075725" r:id="rId32">
            <o:LockedField>false</o:LockedField>
          </o:OLEObject>
        </w:object>
      </w:r>
    </w:p>
    <w:p>
      <w:pPr>
        <w:spacing w:before="120" w:after="120"/>
        <w:ind w:left="420" w:firstLine="420"/>
      </w:pPr>
      <w:r>
        <w:rPr>
          <w:rFonts w:hint="eastAsia"/>
        </w:rPr>
        <w:t xml:space="preserve">Tx_power is the </w:t>
      </w:r>
      <w:r>
        <w:t>Tx power values</w:t>
      </w:r>
      <w:r>
        <w:rPr>
          <w:rFonts w:hint="eastAsia"/>
        </w:rPr>
        <w:t xml:space="preserve"> in one slot.</w:t>
      </w:r>
    </w:p>
    <w:p>
      <w:pPr>
        <w:numPr>
          <w:ilvl w:val="1"/>
          <w:numId w:val="9"/>
        </w:numPr>
        <w:spacing w:before="120" w:after="120" w:line="256" w:lineRule="auto"/>
        <w:ind w:left="840" w:hanging="420"/>
      </w:pPr>
      <w:r>
        <w:t xml:space="preserve">Step function: power number is given as A for X= [0, M]dBm and B for X =[M, 23]dBm, where A and B (defined in 38.840) correspond to power consumption numbers for a given uplink slot for 0dBm and 23dBm respectively, </w:t>
      </w:r>
      <w:r>
        <w:rPr>
          <w:rFonts w:hint="eastAsia"/>
        </w:rPr>
        <w:t xml:space="preserve">M=20dBm </w:t>
      </w:r>
    </w:p>
    <w:p>
      <w:pPr>
        <w:numPr>
          <w:ilvl w:val="0"/>
          <w:numId w:val="9"/>
        </w:numPr>
        <w:spacing w:before="120" w:after="120" w:line="256" w:lineRule="auto"/>
      </w:pPr>
      <w:r>
        <w:rPr>
          <w:rFonts w:hint="eastAsia"/>
        </w:rPr>
        <w:t>Using the power model of 0 dBm for UE with transmission power less than 0 dBm.</w:t>
      </w:r>
    </w:p>
    <w:p>
      <w:pPr>
        <w:numPr>
          <w:ilvl w:val="0"/>
          <w:numId w:val="9"/>
        </w:numPr>
        <w:spacing w:before="120" w:after="120" w:line="256" w:lineRule="auto"/>
      </w:pPr>
      <w:r>
        <w:rPr>
          <w:rFonts w:hint="eastAsia"/>
        </w:rPr>
        <w:t xml:space="preserve">The same number of UE per cell </w:t>
      </w:r>
      <w:r>
        <w:t>is</w:t>
      </w:r>
      <w:r>
        <w:rPr>
          <w:rFonts w:hint="eastAsia"/>
        </w:rPr>
        <w:t xml:space="preserve"> used in baseline and power saving schemes and the results </w:t>
      </w:r>
      <w:r>
        <w:t>for</w:t>
      </w:r>
      <w:r>
        <w:rPr>
          <w:rFonts w:hint="eastAsia"/>
        </w:rPr>
        <w:t xml:space="preserve"> baseline capacity are reported.</w:t>
      </w:r>
    </w:p>
    <w:p>
      <w:pPr>
        <w:numPr>
          <w:ilvl w:val="0"/>
          <w:numId w:val="9"/>
        </w:numPr>
        <w:spacing w:before="120" w:after="120" w:line="256" w:lineRule="auto"/>
      </w:pPr>
      <w:r>
        <w:rPr>
          <w:rFonts w:hint="eastAsia"/>
        </w:rPr>
        <w:t xml:space="preserve">The power consumption of CSI </w:t>
      </w:r>
      <w:r>
        <w:t xml:space="preserve">reporting </w:t>
      </w:r>
      <w:r>
        <w:rPr>
          <w:rFonts w:hint="eastAsia"/>
        </w:rPr>
        <w:t xml:space="preserve">and SRS </w:t>
      </w:r>
      <w:r>
        <w:t>transmission is</w:t>
      </w:r>
      <w:r>
        <w:rPr>
          <w:rFonts w:hint="eastAsia"/>
        </w:rPr>
        <w:t xml:space="preserve"> not considered. The power models are shown in </w:t>
      </w:r>
      <w:r>
        <w:rPr>
          <w:rFonts w:hint="eastAsia"/>
          <w:b/>
          <w:bCs/>
        </w:rPr>
        <w:t>Table B.1</w:t>
      </w:r>
      <w:r>
        <w:rPr>
          <w:rFonts w:hint="eastAsia"/>
        </w:rPr>
        <w:t xml:space="preserve"> and </w:t>
      </w:r>
      <w:r>
        <w:rPr>
          <w:rFonts w:hint="eastAsia"/>
          <w:b/>
          <w:bCs/>
        </w:rPr>
        <w:t>B.2</w:t>
      </w:r>
      <w:r>
        <w:rPr>
          <w:rFonts w:hint="eastAsia"/>
        </w:rPr>
        <w:t xml:space="preserve"> in Appendix B.</w:t>
      </w:r>
    </w:p>
    <w:p>
      <w:pPr>
        <w:pStyle w:val="29"/>
        <w:numPr>
          <w:ilvl w:val="0"/>
          <w:numId w:val="10"/>
        </w:numPr>
        <w:spacing w:before="120" w:after="120" w:line="256" w:lineRule="auto"/>
        <w:ind w:left="357" w:hanging="357"/>
      </w:pPr>
      <w:r>
        <w:rPr>
          <w:sz w:val="21"/>
          <w:szCs w:val="21"/>
        </w:rPr>
        <w:t>The power of “PDCCH+PDSCH+PUSCH”, “PDSCH+PUSCH” and “PDCCH+PUSCH” is the sum of corresponding DL power consumption and PUSCH power consumption. For example, the power value of “PDCCH+PUSCH” is equal to the sum of power of “PDCCH-only” and power of “PUSCH”.</w:t>
      </w:r>
    </w:p>
    <w:p>
      <w:pPr>
        <w:spacing w:before="120" w:after="120" w:line="256" w:lineRule="auto"/>
      </w:pPr>
      <w:r>
        <w:t>In this section, the following two schemes are evaluated:</w:t>
      </w:r>
    </w:p>
    <w:p>
      <w:pPr>
        <w:numPr>
          <w:ilvl w:val="0"/>
          <w:numId w:val="9"/>
        </w:numPr>
        <w:spacing w:before="120" w:after="120" w:line="256" w:lineRule="auto"/>
      </w:pPr>
      <w:r>
        <w:rPr>
          <w:rFonts w:hint="eastAsia"/>
        </w:rPr>
        <w:t>Baseline (Always On): No power saving technique is applied, that is, UE is always in Active Time.</w:t>
      </w:r>
    </w:p>
    <w:p>
      <w:pPr>
        <w:numPr>
          <w:ilvl w:val="0"/>
          <w:numId w:val="9"/>
        </w:numPr>
        <w:spacing w:before="120" w:after="120" w:line="256" w:lineRule="auto"/>
      </w:pPr>
      <w:r>
        <w:rPr>
          <w:rFonts w:hint="eastAsia"/>
        </w:rPr>
        <w:t>Enhanced DRX mechanism (eCDRX): The enhanced CDRX is a scheme which drx-startoffset changes dynamically and UE can wake up at an additional active window during DRX off state. The details of eCDRX can be f</w:t>
      </w:r>
      <w:r>
        <w:t>oun</w:t>
      </w:r>
      <w:r>
        <w:rPr>
          <w:rFonts w:hint="eastAsia"/>
        </w:rPr>
        <w:t>d in [7].</w:t>
      </w:r>
    </w:p>
    <w:p>
      <w:pPr>
        <w:numPr>
          <w:ilvl w:val="1"/>
          <w:numId w:val="9"/>
        </w:numPr>
        <w:spacing w:before="120" w:after="120" w:line="256" w:lineRule="auto"/>
      </w:pPr>
      <w:r>
        <w:rPr>
          <w:rFonts w:hint="eastAsia"/>
        </w:rPr>
        <w:t>The dynamic change of drx-startoffset can be triggered periodically, i.e., drx-startoffset changes every 100ms</w:t>
      </w:r>
    </w:p>
    <w:p>
      <w:pPr>
        <w:numPr>
          <w:ilvl w:val="1"/>
          <w:numId w:val="9"/>
        </w:numPr>
        <w:spacing w:before="120" w:after="120" w:line="256" w:lineRule="auto"/>
      </w:pPr>
      <w:r>
        <w:rPr>
          <w:rFonts w:hint="eastAsia"/>
        </w:rPr>
        <w:t>The additional active window can be triggered if UE does not receive any data during the DRX ON period,</w:t>
      </w:r>
      <w:r>
        <w:t xml:space="preserve"> or</w:t>
      </w:r>
      <w:r>
        <w:rPr>
          <w:rFonts w:hint="eastAsia"/>
        </w:rPr>
        <w:t xml:space="preserve"> UE receives a trigger indication.</w:t>
      </w:r>
    </w:p>
    <w:p>
      <w:pPr>
        <w:spacing w:before="120" w:after="120"/>
      </w:pPr>
      <w:r>
        <w:rPr>
          <w:rFonts w:hint="eastAsia"/>
        </w:rPr>
        <w:t xml:space="preserve">For </w:t>
      </w:r>
      <w:r>
        <w:t xml:space="preserve">the evaluation of </w:t>
      </w:r>
      <w:r>
        <w:rPr>
          <w:rFonts w:hint="eastAsia"/>
        </w:rPr>
        <w:t>power</w:t>
      </w:r>
      <w:r>
        <w:t xml:space="preserve"> saving gain of eCDRX</w:t>
      </w:r>
      <w:r>
        <w:rPr>
          <w:rFonts w:hint="eastAsia"/>
        </w:rPr>
        <w:t xml:space="preserve">, </w:t>
      </w:r>
      <w:r>
        <w:t>the</w:t>
      </w:r>
      <w:r>
        <w:rPr>
          <w:rFonts w:hint="eastAsia"/>
        </w:rPr>
        <w:t xml:space="preserve"> results of</w:t>
      </w:r>
      <w:r>
        <w:t xml:space="preserve"> </w:t>
      </w:r>
      <w:r>
        <w:rPr>
          <w:rFonts w:hint="eastAsia"/>
        </w:rPr>
        <w:t>both joint UL&amp;DL and DL only are provided.</w:t>
      </w:r>
    </w:p>
    <w:p>
      <w:pPr>
        <w:spacing w:before="120" w:after="120"/>
      </w:pPr>
      <w:r>
        <w:t xml:space="preserve">In the following power consumption evaluation, the DRX settings are captured in </w:t>
      </w:r>
      <w:r>
        <w:rPr>
          <w:b/>
          <w:bCs/>
        </w:rPr>
        <w:t>Table</w:t>
      </w:r>
      <w:r>
        <w:rPr>
          <w:rFonts w:hint="eastAsia"/>
          <w:b/>
          <w:bCs/>
        </w:rPr>
        <w:t xml:space="preserve"> 9</w:t>
      </w:r>
      <w:r>
        <w:t xml:space="preserve">. </w:t>
      </w:r>
    </w:p>
    <w:p>
      <w:pPr>
        <w:spacing w:before="120" w:after="120" w:line="256" w:lineRule="auto"/>
        <w:jc w:val="center"/>
      </w:pPr>
      <w:r>
        <w:t xml:space="preserve">Table </w:t>
      </w:r>
      <w:r>
        <w:rPr>
          <w:rFonts w:hint="eastAsia"/>
        </w:rPr>
        <w:t>9</w:t>
      </w:r>
      <w:r>
        <w:t xml:space="preserve"> DRX settings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5"/>
        <w:gridCol w:w="1155"/>
        <w:gridCol w:w="2075"/>
        <w:gridCol w:w="1912"/>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DRX cycle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Drx-onDurationTimer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Drx-inactivityTimer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Drx-RetransmissionTimer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 xml:space="preserve">DRX setting </w:t>
            </w:r>
            <w:r>
              <w:rPr>
                <w:rFonts w:hint="eastAsia"/>
              </w:rPr>
              <w:t>1</w:t>
            </w:r>
            <w:r>
              <w:t>(ms)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 xml:space="preserve">DRX setting </w:t>
            </w:r>
            <w:r>
              <w:rPr>
                <w:rFonts w:hint="eastAsia"/>
              </w:rPr>
              <w:t>2</w:t>
            </w:r>
            <w:r>
              <w:t>(ms)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t>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120" w:after="120" w:line="256" w:lineRule="auto"/>
              <w:jc w:val="center"/>
            </w:pPr>
            <w:r>
              <w:rPr>
                <w:rFonts w:hint="eastAsia"/>
              </w:rPr>
              <w:t>4</w:t>
            </w:r>
          </w:p>
        </w:tc>
      </w:tr>
    </w:tbl>
    <w:p>
      <w:pPr>
        <w:spacing w:before="120" w:after="120"/>
        <w:rPr>
          <w:highlight w:val="yellow"/>
        </w:rPr>
      </w:pPr>
      <w:r>
        <w:t xml:space="preserve">The traffic models used for power consumption evaluation are presented in </w:t>
      </w:r>
      <w:r>
        <w:rPr>
          <w:b/>
          <w:bCs/>
        </w:rPr>
        <w:t xml:space="preserve">Table </w:t>
      </w:r>
      <w:r>
        <w:rPr>
          <w:rFonts w:hint="eastAsia"/>
          <w:b/>
          <w:bCs/>
        </w:rPr>
        <w:t>10</w:t>
      </w:r>
      <w:r>
        <w:t>.</w:t>
      </w:r>
    </w:p>
    <w:p>
      <w:pPr>
        <w:spacing w:before="120" w:after="120" w:line="256" w:lineRule="auto"/>
        <w:jc w:val="center"/>
      </w:pPr>
      <w:r>
        <w:t xml:space="preserve">Table </w:t>
      </w:r>
      <w:r>
        <w:rPr>
          <w:rFonts w:hint="eastAsia"/>
        </w:rPr>
        <w:t>10</w:t>
      </w:r>
      <w:r>
        <w:t xml:space="preserve"> Traffic models for power consumption evaluation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1645"/>
        <w:gridCol w:w="1645"/>
        <w:gridCol w:w="1645"/>
        <w:gridCol w:w="1646"/>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rPr>
                <w:b/>
                <w:bCs/>
              </w:rPr>
            </w:pPr>
            <w:r>
              <w:rPr>
                <w:b/>
                <w:bCs/>
              </w:rPr>
              <w:t>Traffic Model No.</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rPr>
                <w:b/>
                <w:bCs/>
              </w:rPr>
            </w:pPr>
            <w:r>
              <w:rPr>
                <w:b/>
                <w:bCs/>
              </w:rPr>
              <w:t>Mean (Byte)</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rPr>
                <w:b/>
                <w:bCs/>
              </w:rPr>
            </w:pPr>
            <w:r>
              <w:rPr>
                <w:b/>
                <w:bCs/>
              </w:rPr>
              <w:t>STD (Byte)</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rPr>
                <w:b/>
                <w:bCs/>
              </w:rPr>
            </w:pPr>
            <w:r>
              <w:rPr>
                <w:b/>
                <w:bCs/>
              </w:rPr>
              <w:t>Maximum (Byte)</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rPr>
                <w:b/>
                <w:bCs/>
              </w:rPr>
            </w:pPr>
            <w:r>
              <w:rPr>
                <w:b/>
                <w:bCs/>
              </w:rPr>
              <w:t>Minimum (Byte)</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rPr>
                <w:b/>
                <w:bCs/>
              </w:rPr>
            </w:pPr>
            <w:r>
              <w:rPr>
                <w:rFonts w:hint="eastAsia"/>
                <w:b/>
                <w:bCs/>
              </w:rPr>
              <w:t>PDB</w:t>
            </w:r>
          </w:p>
          <w:p>
            <w:pPr>
              <w:spacing w:before="120" w:after="120" w:line="256" w:lineRule="auto"/>
              <w:jc w:val="center"/>
              <w:rPr>
                <w:b/>
                <w:bCs/>
              </w:rPr>
            </w:pPr>
            <w:r>
              <w:rPr>
                <w:rFonts w:hint="eastAsia"/>
                <w:b/>
                <w:bCs/>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TM</w:t>
            </w:r>
            <w:r>
              <w:rPr>
                <w:rFonts w:hint="eastAsia"/>
              </w:rPr>
              <w:t>1-1</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62500</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6563</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93750</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31250</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TM</w:t>
            </w:r>
            <w:r>
              <w:rPr>
                <w:rFonts w:hint="eastAsia"/>
              </w:rPr>
              <w:t>1-2</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62500</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1875</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68125</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56875</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TM</w:t>
            </w:r>
            <w:r>
              <w:rPr>
                <w:rFonts w:hint="eastAsia"/>
              </w:rPr>
              <w:t>2</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62500</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6563</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93750</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31250</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rPr>
                <w:rFonts w:hint="eastAsi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TM</w:t>
            </w:r>
            <w:r>
              <w:rPr>
                <w:rFonts w:hint="eastAsia"/>
              </w:rPr>
              <w:t>3</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93750</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9844</w:t>
            </w:r>
          </w:p>
        </w:tc>
        <w:tc>
          <w:tcPr>
            <w:tcW w:w="1645"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140625</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t>46875</w:t>
            </w:r>
          </w:p>
        </w:tc>
        <w:tc>
          <w:tcPr>
            <w:tcW w:w="1646" w:type="dxa"/>
            <w:tcBorders>
              <w:top w:val="single" w:color="auto" w:sz="4" w:space="0"/>
              <w:left w:val="single" w:color="auto" w:sz="4" w:space="0"/>
              <w:bottom w:val="single" w:color="auto" w:sz="4" w:space="0"/>
              <w:right w:val="single" w:color="auto" w:sz="4" w:space="0"/>
            </w:tcBorders>
          </w:tcPr>
          <w:p>
            <w:pPr>
              <w:spacing w:before="120" w:after="120" w:line="256" w:lineRule="auto"/>
              <w:jc w:val="center"/>
            </w:pPr>
            <w:r>
              <w:rPr>
                <w:rFonts w:hint="eastAsia"/>
              </w:rPr>
              <w:t>10</w:t>
            </w:r>
          </w:p>
        </w:tc>
      </w:tr>
    </w:tbl>
    <w:p>
      <w:pPr>
        <w:pStyle w:val="3"/>
        <w:spacing w:before="120" w:after="120"/>
        <w:ind w:left="991" w:right="210" w:hanging="991" w:hangingChars="354"/>
        <w:rPr>
          <w:rFonts w:eastAsia="宋体"/>
          <w:szCs w:val="22"/>
        </w:rPr>
      </w:pPr>
      <w:r>
        <w:rPr>
          <w:rFonts w:eastAsia="宋体"/>
          <w:szCs w:val="22"/>
        </w:rPr>
        <w:t>DL+UL simulation results</w:t>
      </w:r>
    </w:p>
    <w:p>
      <w:pPr>
        <w:spacing w:before="120" w:after="120"/>
      </w:pPr>
      <w:r>
        <w:rPr>
          <w:rFonts w:hint="eastAsia"/>
        </w:rPr>
        <w:t xml:space="preserve">In this section, a method </w:t>
      </w:r>
      <w:r>
        <w:t>of</w:t>
      </w:r>
      <w:r>
        <w:rPr>
          <w:rFonts w:hint="eastAsia"/>
        </w:rPr>
        <w:t xml:space="preserve"> obtaining a joint power consumption by independently evaluat</w:t>
      </w:r>
      <w:r>
        <w:t>ing</w:t>
      </w:r>
      <w:r>
        <w:rPr>
          <w:rFonts w:hint="eastAsia"/>
        </w:rPr>
        <w:t xml:space="preserve"> DL and UL power consumption is used. The method include</w:t>
      </w:r>
      <w:r>
        <w:t>s</w:t>
      </w:r>
      <w:r>
        <w:rPr>
          <w:rFonts w:hint="eastAsia"/>
        </w:rPr>
        <w:t>:</w:t>
      </w:r>
    </w:p>
    <w:p>
      <w:pPr>
        <w:numPr>
          <w:ilvl w:val="0"/>
          <w:numId w:val="11"/>
        </w:numPr>
        <w:spacing w:before="120" w:after="120" w:line="256" w:lineRule="auto"/>
      </w:pPr>
      <w:r>
        <w:rPr>
          <w:rFonts w:hint="eastAsia"/>
        </w:rPr>
        <w:t>Evaluating DL and UL power consumption independently;</w:t>
      </w:r>
    </w:p>
    <w:p>
      <w:pPr>
        <w:numPr>
          <w:ilvl w:val="0"/>
          <w:numId w:val="11"/>
        </w:numPr>
        <w:spacing w:before="120" w:after="120" w:line="256" w:lineRule="auto"/>
      </w:pPr>
      <w:r>
        <w:rPr>
          <w:rFonts w:hint="eastAsia"/>
        </w:rPr>
        <w:t>Collecting DL and UL slot states respectively;</w:t>
      </w:r>
    </w:p>
    <w:p>
      <w:pPr>
        <w:numPr>
          <w:ilvl w:val="0"/>
          <w:numId w:val="11"/>
        </w:numPr>
        <w:spacing w:before="120" w:after="120" w:line="256" w:lineRule="auto"/>
      </w:pPr>
      <w:r>
        <w:rPr>
          <w:rFonts w:hint="eastAsia"/>
        </w:rPr>
        <w:t>Recombining these slot states in a single timeline;</w:t>
      </w:r>
    </w:p>
    <w:p>
      <w:pPr>
        <w:numPr>
          <w:ilvl w:val="0"/>
          <w:numId w:val="11"/>
        </w:numPr>
        <w:spacing w:before="120" w:after="120" w:line="256" w:lineRule="auto"/>
      </w:pPr>
      <w:r>
        <w:rPr>
          <w:rFonts w:hint="eastAsia"/>
        </w:rPr>
        <w:t>Calculating overall power consumption according to the recombined timeline.</w:t>
      </w:r>
    </w:p>
    <w:p>
      <w:pPr>
        <w:spacing w:before="120" w:after="120"/>
      </w:pPr>
      <w:r>
        <w:rPr>
          <w:rFonts w:hint="eastAsia"/>
        </w:rPr>
        <w:t xml:space="preserve">Single stream of video with jitter is used in DL and pose/control traffic model is used for UL evaluation. UE can transmit UL data in UL slots even if UE is in </w:t>
      </w:r>
      <w:r>
        <w:t>“</w:t>
      </w:r>
      <w:r>
        <w:rPr>
          <w:rFonts w:hint="eastAsia"/>
        </w:rPr>
        <w:t>DRX off</w:t>
      </w:r>
      <w:r>
        <w:t>”</w:t>
      </w:r>
      <w:r>
        <w:rPr>
          <w:rFonts w:hint="eastAsia"/>
        </w:rPr>
        <w:t xml:space="preserve"> state.</w:t>
      </w:r>
    </w:p>
    <w:p>
      <w:pPr>
        <w:pStyle w:val="4"/>
        <w:spacing w:before="120" w:after="120"/>
        <w:ind w:right="210"/>
      </w:pPr>
      <w:r>
        <w:rPr>
          <w:rFonts w:hint="eastAsia"/>
        </w:rPr>
        <w:t>FR1 InH DL</w:t>
      </w:r>
      <w:r>
        <w:t>+UL</w:t>
      </w:r>
    </w:p>
    <w:p>
      <w:pPr>
        <w:spacing w:before="120" w:after="120"/>
      </w:pPr>
      <w:r>
        <w:rPr>
          <w:rFonts w:hint="eastAsia"/>
        </w:rPr>
        <w:t xml:space="preserve">The power </w:t>
      </w:r>
      <w:r>
        <w:t xml:space="preserve">consumption </w:t>
      </w:r>
      <w:r>
        <w:rPr>
          <w:rFonts w:hint="eastAsia"/>
        </w:rPr>
        <w:t xml:space="preserve">results of VR traffic with 10ms PDB and UL pose traffic are shown in </w:t>
      </w:r>
      <w:r>
        <w:rPr>
          <w:rFonts w:hint="eastAsia"/>
          <w:b/>
          <w:bCs/>
        </w:rPr>
        <w:t>Table 11-13</w:t>
      </w:r>
      <w:r>
        <w:rPr>
          <w:rFonts w:hint="eastAsia"/>
        </w:rPr>
        <w:t xml:space="preserve">. The power </w:t>
      </w:r>
      <w:r>
        <w:t xml:space="preserve">consumption </w:t>
      </w:r>
      <w:r>
        <w:rPr>
          <w:rFonts w:hint="eastAsia"/>
        </w:rPr>
        <w:t xml:space="preserve">results of CG traffic with 15ms PDB and UL pose traffic are shown in </w:t>
      </w:r>
      <w:r>
        <w:rPr>
          <w:rFonts w:hint="eastAsia"/>
          <w:b/>
          <w:bCs/>
        </w:rPr>
        <w:t>Table 14</w:t>
      </w:r>
      <w:r>
        <w:rPr>
          <w:rFonts w:hint="eastAsia"/>
        </w:rPr>
        <w:t>.</w:t>
      </w:r>
    </w:p>
    <w:p>
      <w:pPr>
        <w:spacing w:before="120" w:after="120" w:line="256" w:lineRule="auto"/>
        <w:jc w:val="center"/>
      </w:pPr>
      <w:r>
        <w:rPr>
          <w:rFonts w:hint="eastAsia"/>
          <w:szCs w:val="22"/>
        </w:rPr>
        <w:t>Table 11</w:t>
      </w:r>
      <w:r>
        <w:rPr>
          <w:szCs w:val="22"/>
        </w:rPr>
        <w:t xml:space="preserve"> </w:t>
      </w:r>
      <w:r>
        <w:t xml:space="preserve">FR1 power consumption results in Indoor Hotspot scenario </w:t>
      </w:r>
      <w:r>
        <w:rPr>
          <w:rFonts w:hint="eastAsia"/>
        </w:rPr>
        <w:t>(TM1-1, UL pose traffic)</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45"/>
        <w:gridCol w:w="932"/>
        <w:gridCol w:w="1023"/>
        <w:gridCol w:w="1094"/>
        <w:gridCol w:w="916"/>
        <w:gridCol w:w="1238"/>
        <w:gridCol w:w="883"/>
        <w:gridCol w:w="1238"/>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932"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1023"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eastAsia="宋体" w:cs="Times New Roman"/>
                <w:b w:val="0"/>
                <w:sz w:val="20"/>
                <w:szCs w:val="20"/>
                <w:lang w:eastAsia="zh-CN"/>
              </w:rPr>
              <w:t>C1=floor(Capacity)</w:t>
            </w:r>
          </w:p>
        </w:tc>
        <w:tc>
          <w:tcPr>
            <w:tcW w:w="1094"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916"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2121"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Mean power</w:t>
            </w:r>
          </w:p>
        </w:tc>
        <w:tc>
          <w:tcPr>
            <w:tcW w:w="2121"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jc w:val="center"/>
            </w:pPr>
          </w:p>
        </w:tc>
        <w:tc>
          <w:tcPr>
            <w:tcW w:w="932" w:type="dxa"/>
            <w:vMerge w:val="continue"/>
            <w:tcMar>
              <w:top w:w="0" w:type="dxa"/>
              <w:left w:w="108" w:type="dxa"/>
              <w:bottom w:w="0" w:type="dxa"/>
              <w:right w:w="108" w:type="dxa"/>
            </w:tcMar>
            <w:vAlign w:val="center"/>
          </w:tcPr>
          <w:p>
            <w:pPr>
              <w:pStyle w:val="49"/>
              <w:spacing w:before="120" w:after="120"/>
              <w:jc w:val="center"/>
            </w:pPr>
          </w:p>
        </w:tc>
        <w:tc>
          <w:tcPr>
            <w:tcW w:w="1023" w:type="dxa"/>
            <w:vMerge w:val="continue"/>
            <w:tcMar>
              <w:top w:w="0" w:type="dxa"/>
              <w:left w:w="108" w:type="dxa"/>
              <w:bottom w:w="0" w:type="dxa"/>
              <w:right w:w="108" w:type="dxa"/>
            </w:tcMar>
            <w:vAlign w:val="center"/>
          </w:tcPr>
          <w:p>
            <w:pPr>
              <w:pStyle w:val="49"/>
              <w:spacing w:before="120" w:after="120"/>
              <w:jc w:val="center"/>
            </w:pPr>
          </w:p>
        </w:tc>
        <w:tc>
          <w:tcPr>
            <w:tcW w:w="1094" w:type="dxa"/>
            <w:vMerge w:val="continue"/>
            <w:tcMar>
              <w:top w:w="0" w:type="dxa"/>
              <w:left w:w="108" w:type="dxa"/>
              <w:bottom w:w="0" w:type="dxa"/>
              <w:right w:w="108" w:type="dxa"/>
            </w:tcMar>
            <w:vAlign w:val="center"/>
          </w:tcPr>
          <w:p>
            <w:pPr>
              <w:pStyle w:val="49"/>
              <w:spacing w:before="120" w:after="120"/>
              <w:jc w:val="center"/>
            </w:pPr>
          </w:p>
        </w:tc>
        <w:tc>
          <w:tcPr>
            <w:tcW w:w="916" w:type="dxa"/>
            <w:vMerge w:val="continue"/>
            <w:tcMar>
              <w:top w:w="0" w:type="dxa"/>
              <w:left w:w="108" w:type="dxa"/>
              <w:bottom w:w="0" w:type="dxa"/>
              <w:right w:w="108" w:type="dxa"/>
            </w:tcMar>
            <w:vAlign w:val="center"/>
          </w:tcPr>
          <w:p>
            <w:pPr>
              <w:pStyle w:val="49"/>
              <w:spacing w:before="120" w:after="120"/>
              <w:jc w:val="center"/>
            </w:pPr>
          </w:p>
        </w:tc>
        <w:tc>
          <w:tcPr>
            <w:tcW w:w="1238"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883"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c>
          <w:tcPr>
            <w:tcW w:w="1238"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883"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932"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1023" w:type="dxa"/>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93.18%</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150.2</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continue"/>
            <w:tcMar>
              <w:top w:w="0" w:type="dxa"/>
              <w:left w:w="108" w:type="dxa"/>
              <w:bottom w:w="0" w:type="dxa"/>
              <w:right w:w="108" w:type="dxa"/>
            </w:tcMar>
            <w:vAlign w:val="center"/>
          </w:tcPr>
          <w:p>
            <w:pPr>
              <w:pStyle w:val="49"/>
              <w:spacing w:before="120" w:after="120" w:line="252" w:lineRule="auto"/>
              <w:jc w:val="center"/>
            </w:pPr>
          </w:p>
        </w:tc>
        <w:tc>
          <w:tcPr>
            <w:tcW w:w="1023"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149.2</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restart"/>
            <w:tcMar>
              <w:top w:w="0" w:type="dxa"/>
              <w:left w:w="108" w:type="dxa"/>
              <w:bottom w:w="0" w:type="dxa"/>
              <w:right w:w="108" w:type="dxa"/>
            </w:tcMar>
            <w:vAlign w:val="center"/>
          </w:tcPr>
          <w:p>
            <w:pPr>
              <w:pStyle w:val="49"/>
              <w:spacing w:before="120" w:after="120" w:line="252" w:lineRule="auto"/>
              <w:jc w:val="center"/>
            </w:pPr>
            <w:r>
              <w:rPr>
                <w:rFonts w:hint="eastAsia"/>
              </w:rPr>
              <w:t>10</w:t>
            </w:r>
          </w:p>
        </w:tc>
        <w:tc>
          <w:tcPr>
            <w:tcW w:w="1023" w:type="dxa"/>
            <w:vMerge w:val="restart"/>
            <w:tcMar>
              <w:top w:w="0" w:type="dxa"/>
              <w:left w:w="108" w:type="dxa"/>
              <w:bottom w:w="0" w:type="dxa"/>
              <w:right w:w="108" w:type="dxa"/>
            </w:tcMar>
            <w:vAlign w:val="center"/>
          </w:tcPr>
          <w:p>
            <w:pPr>
              <w:pStyle w:val="49"/>
              <w:spacing w:before="120" w:after="120" w:line="252" w:lineRule="auto"/>
              <w:jc w:val="center"/>
              <w:rPr>
                <w:rFonts w:hint="default" w:eastAsia="宋体"/>
                <w:lang w:val="en-US" w:eastAsia="zh-CN"/>
              </w:rPr>
            </w:pPr>
            <w:r>
              <w:rPr>
                <w:rFonts w:hint="eastAsia"/>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rPr>
              <w:t>93%</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151.4</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151.6</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continue"/>
            <w:tcMar>
              <w:top w:w="0" w:type="dxa"/>
              <w:left w:w="108" w:type="dxa"/>
              <w:bottom w:w="0" w:type="dxa"/>
              <w:right w:w="108" w:type="dxa"/>
            </w:tcMar>
            <w:vAlign w:val="center"/>
          </w:tcPr>
          <w:p>
            <w:pPr>
              <w:pStyle w:val="49"/>
              <w:spacing w:before="120" w:after="120" w:line="252" w:lineRule="auto"/>
              <w:jc w:val="center"/>
            </w:pPr>
          </w:p>
        </w:tc>
        <w:tc>
          <w:tcPr>
            <w:tcW w:w="1023"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150.3</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150.5</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1</w:t>
            </w:r>
          </w:p>
        </w:tc>
        <w:tc>
          <w:tcPr>
            <w:tcW w:w="932"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1023" w:type="dxa"/>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83%</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117.2</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117.4</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22.6%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continue"/>
            <w:tcMar>
              <w:top w:w="0" w:type="dxa"/>
              <w:left w:w="108" w:type="dxa"/>
              <w:bottom w:w="0" w:type="dxa"/>
              <w:right w:w="108" w:type="dxa"/>
            </w:tcMar>
            <w:vAlign w:val="center"/>
          </w:tcPr>
          <w:p>
            <w:pPr>
              <w:pStyle w:val="49"/>
              <w:spacing w:before="120" w:after="120" w:line="252" w:lineRule="auto"/>
              <w:jc w:val="center"/>
            </w:pPr>
          </w:p>
        </w:tc>
        <w:tc>
          <w:tcPr>
            <w:tcW w:w="1023"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113.9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114</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24.2%</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restart"/>
            <w:tcMar>
              <w:top w:w="0" w:type="dxa"/>
              <w:left w:w="108" w:type="dxa"/>
              <w:bottom w:w="0" w:type="dxa"/>
              <w:right w:w="108" w:type="dxa"/>
            </w:tcMar>
            <w:vAlign w:val="center"/>
          </w:tcPr>
          <w:p>
            <w:pPr>
              <w:pStyle w:val="49"/>
              <w:spacing w:before="120" w:after="120" w:line="252" w:lineRule="auto"/>
              <w:jc w:val="center"/>
            </w:pPr>
            <w:r>
              <w:rPr>
                <w:rFonts w:hint="eastAsia"/>
              </w:rPr>
              <w:t>10</w:t>
            </w:r>
          </w:p>
        </w:tc>
        <w:tc>
          <w:tcPr>
            <w:tcW w:w="1023" w:type="dxa"/>
            <w:vMerge w:val="restart"/>
            <w:tcMar>
              <w:top w:w="0" w:type="dxa"/>
              <w:left w:w="108" w:type="dxa"/>
              <w:bottom w:w="0" w:type="dxa"/>
              <w:right w:w="108" w:type="dxa"/>
            </w:tcMar>
            <w:vAlign w:val="center"/>
          </w:tcPr>
          <w:p>
            <w:pPr>
              <w:pStyle w:val="49"/>
              <w:spacing w:before="120" w:after="120" w:line="252" w:lineRule="auto"/>
              <w:jc w:val="center"/>
              <w:rPr>
                <w:rFonts w:hint="default" w:eastAsia="宋体"/>
                <w:lang w:val="en-US" w:eastAsia="zh-CN"/>
              </w:rPr>
            </w:pPr>
            <w:r>
              <w:rPr>
                <w:rFonts w:hint="eastAsia"/>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rPr>
              <w:t>85.83%</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118.9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119.1</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21.5%</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continue"/>
            <w:tcMar>
              <w:top w:w="0" w:type="dxa"/>
              <w:left w:w="108" w:type="dxa"/>
              <w:bottom w:w="0" w:type="dxa"/>
              <w:right w:w="108" w:type="dxa"/>
            </w:tcMar>
            <w:vAlign w:val="center"/>
          </w:tcPr>
          <w:p>
            <w:pPr>
              <w:pStyle w:val="49"/>
              <w:spacing w:before="120" w:after="120" w:line="252" w:lineRule="auto"/>
              <w:jc w:val="center"/>
            </w:pPr>
          </w:p>
        </w:tc>
        <w:tc>
          <w:tcPr>
            <w:tcW w:w="1023"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114.9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115</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pPr>
            <w:r>
              <w:rPr>
                <w:rFonts w:hint="eastAsia" w:ascii="Times New Roman" w:hAnsi="Times New Roman" w:cs="Times New Roman"/>
                <w:sz w:val="20"/>
              </w:rPr>
              <w:t>DRX setting 2</w:t>
            </w:r>
          </w:p>
        </w:tc>
        <w:tc>
          <w:tcPr>
            <w:tcW w:w="932" w:type="dxa"/>
            <w:vMerge w:val="restart"/>
            <w:tcMar>
              <w:top w:w="0" w:type="dxa"/>
              <w:left w:w="108" w:type="dxa"/>
              <w:bottom w:w="0" w:type="dxa"/>
              <w:right w:w="108" w:type="dxa"/>
            </w:tcMar>
            <w:vAlign w:val="center"/>
          </w:tcPr>
          <w:p>
            <w:pPr>
              <w:pStyle w:val="49"/>
              <w:spacing w:before="120" w:after="120" w:line="252" w:lineRule="auto"/>
              <w:jc w:val="center"/>
            </w:pPr>
            <w:r>
              <w:rPr>
                <w:rFonts w:hint="eastAsia"/>
              </w:rPr>
              <w:t>11</w:t>
            </w:r>
          </w:p>
        </w:tc>
        <w:tc>
          <w:tcPr>
            <w:tcW w:w="1023" w:type="dxa"/>
            <w:vMerge w:val="restart"/>
            <w:tcMar>
              <w:top w:w="0" w:type="dxa"/>
              <w:left w:w="108" w:type="dxa"/>
              <w:bottom w:w="0" w:type="dxa"/>
              <w:right w:w="108" w:type="dxa"/>
            </w:tcMar>
            <w:vAlign w:val="center"/>
          </w:tcPr>
          <w:p>
            <w:pPr>
              <w:pStyle w:val="49"/>
              <w:spacing w:before="120" w:after="120" w:line="252" w:lineRule="auto"/>
              <w:jc w:val="center"/>
              <w:rPr>
                <w:rFonts w:hint="default" w:eastAsia="宋体"/>
                <w:lang w:val="en-US" w:eastAsia="zh-CN"/>
              </w:rPr>
            </w:pPr>
            <w:r>
              <w:rPr>
                <w:rFonts w:hint="eastAsia"/>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rPr>
              <w:t>87.12%</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117.5</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117.7</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21.7%</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trPr>
        <w:tc>
          <w:tcPr>
            <w:tcW w:w="1445" w:type="dxa"/>
            <w:vMerge w:val="continue"/>
            <w:tcMar>
              <w:top w:w="0" w:type="dxa"/>
              <w:left w:w="108" w:type="dxa"/>
              <w:bottom w:w="0" w:type="dxa"/>
              <w:right w:w="108" w:type="dxa"/>
            </w:tcMar>
            <w:vAlign w:val="center"/>
          </w:tcPr>
          <w:p>
            <w:pPr>
              <w:pStyle w:val="49"/>
              <w:spacing w:before="120" w:after="120" w:line="252" w:lineRule="auto"/>
              <w:jc w:val="center"/>
            </w:pPr>
          </w:p>
        </w:tc>
        <w:tc>
          <w:tcPr>
            <w:tcW w:w="932" w:type="dxa"/>
            <w:vMerge w:val="continue"/>
            <w:tcMar>
              <w:top w:w="0" w:type="dxa"/>
              <w:left w:w="108" w:type="dxa"/>
              <w:bottom w:w="0" w:type="dxa"/>
              <w:right w:w="108" w:type="dxa"/>
            </w:tcMar>
            <w:vAlign w:val="center"/>
          </w:tcPr>
          <w:p>
            <w:pPr>
              <w:pStyle w:val="49"/>
              <w:spacing w:before="120" w:after="120" w:line="252" w:lineRule="auto"/>
              <w:jc w:val="center"/>
            </w:pPr>
          </w:p>
        </w:tc>
        <w:tc>
          <w:tcPr>
            <w:tcW w:w="1023"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114.8</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115</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23.6%</w:t>
            </w:r>
          </w:p>
        </w:tc>
      </w:tr>
    </w:tbl>
    <w:p>
      <w:pPr>
        <w:spacing w:before="120" w:after="120" w:line="256" w:lineRule="auto"/>
      </w:pPr>
    </w:p>
    <w:p>
      <w:pPr>
        <w:spacing w:before="120" w:after="120" w:line="256" w:lineRule="auto"/>
        <w:jc w:val="center"/>
      </w:pPr>
      <w:r>
        <w:rPr>
          <w:rFonts w:hint="eastAsia"/>
          <w:szCs w:val="22"/>
        </w:rPr>
        <w:t>Table 12</w:t>
      </w:r>
      <w:r>
        <w:rPr>
          <w:szCs w:val="22"/>
        </w:rPr>
        <w:t xml:space="preserve"> </w:t>
      </w:r>
      <w:r>
        <w:t xml:space="preserve">FR1 power consumption results in Indoor Hotspot scenario </w:t>
      </w:r>
      <w:r>
        <w:rPr>
          <w:rFonts w:hint="eastAsia"/>
        </w:rPr>
        <w:t>(TM1-2, UL pose traffic)</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80"/>
        <w:gridCol w:w="970"/>
        <w:gridCol w:w="1096"/>
        <w:gridCol w:w="1094"/>
        <w:gridCol w:w="916"/>
        <w:gridCol w:w="1238"/>
        <w:gridCol w:w="883"/>
        <w:gridCol w:w="1238"/>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trPr>
        <w:tc>
          <w:tcPr>
            <w:tcW w:w="138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97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1096"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eastAsia="宋体" w:cs="Times New Roman"/>
                <w:b w:val="0"/>
                <w:sz w:val="20"/>
                <w:szCs w:val="20"/>
                <w:lang w:eastAsia="zh-CN"/>
              </w:rPr>
              <w:t>C1=floor(Capacity)</w:t>
            </w:r>
          </w:p>
        </w:tc>
        <w:tc>
          <w:tcPr>
            <w:tcW w:w="1094"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916"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2121"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Mean power</w:t>
            </w:r>
          </w:p>
        </w:tc>
        <w:tc>
          <w:tcPr>
            <w:tcW w:w="2121"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9" w:hRule="atLeast"/>
        </w:trPr>
        <w:tc>
          <w:tcPr>
            <w:tcW w:w="1380" w:type="dxa"/>
            <w:vMerge w:val="continue"/>
            <w:tcMar>
              <w:top w:w="0" w:type="dxa"/>
              <w:left w:w="108" w:type="dxa"/>
              <w:bottom w:w="0" w:type="dxa"/>
              <w:right w:w="108" w:type="dxa"/>
            </w:tcMar>
            <w:vAlign w:val="center"/>
          </w:tcPr>
          <w:p>
            <w:pPr>
              <w:pStyle w:val="49"/>
              <w:spacing w:before="120" w:after="120"/>
              <w:jc w:val="center"/>
            </w:pPr>
          </w:p>
        </w:tc>
        <w:tc>
          <w:tcPr>
            <w:tcW w:w="970" w:type="dxa"/>
            <w:vMerge w:val="continue"/>
            <w:tcMar>
              <w:top w:w="0" w:type="dxa"/>
              <w:left w:w="108" w:type="dxa"/>
              <w:bottom w:w="0" w:type="dxa"/>
              <w:right w:w="108" w:type="dxa"/>
            </w:tcMar>
            <w:vAlign w:val="center"/>
          </w:tcPr>
          <w:p>
            <w:pPr>
              <w:pStyle w:val="49"/>
              <w:spacing w:before="120" w:after="120"/>
              <w:jc w:val="center"/>
            </w:pPr>
          </w:p>
        </w:tc>
        <w:tc>
          <w:tcPr>
            <w:tcW w:w="1096" w:type="dxa"/>
            <w:vMerge w:val="continue"/>
            <w:tcMar>
              <w:top w:w="0" w:type="dxa"/>
              <w:left w:w="108" w:type="dxa"/>
              <w:bottom w:w="0" w:type="dxa"/>
              <w:right w:w="108" w:type="dxa"/>
            </w:tcMar>
            <w:vAlign w:val="center"/>
          </w:tcPr>
          <w:p>
            <w:pPr>
              <w:pStyle w:val="49"/>
              <w:spacing w:before="120" w:after="120"/>
              <w:jc w:val="center"/>
            </w:pPr>
          </w:p>
        </w:tc>
        <w:tc>
          <w:tcPr>
            <w:tcW w:w="1094" w:type="dxa"/>
            <w:vMerge w:val="continue"/>
            <w:tcMar>
              <w:top w:w="0" w:type="dxa"/>
              <w:left w:w="108" w:type="dxa"/>
              <w:bottom w:w="0" w:type="dxa"/>
              <w:right w:w="108" w:type="dxa"/>
            </w:tcMar>
            <w:vAlign w:val="center"/>
          </w:tcPr>
          <w:p>
            <w:pPr>
              <w:pStyle w:val="49"/>
              <w:spacing w:before="120" w:after="120"/>
              <w:jc w:val="center"/>
            </w:pPr>
          </w:p>
        </w:tc>
        <w:tc>
          <w:tcPr>
            <w:tcW w:w="916" w:type="dxa"/>
            <w:vMerge w:val="continue"/>
            <w:tcMar>
              <w:top w:w="0" w:type="dxa"/>
              <w:left w:w="108" w:type="dxa"/>
              <w:bottom w:w="0" w:type="dxa"/>
              <w:right w:w="108" w:type="dxa"/>
            </w:tcMar>
            <w:vAlign w:val="center"/>
          </w:tcPr>
          <w:p>
            <w:pPr>
              <w:pStyle w:val="49"/>
              <w:spacing w:before="120" w:after="120"/>
              <w:jc w:val="center"/>
            </w:pPr>
          </w:p>
        </w:tc>
        <w:tc>
          <w:tcPr>
            <w:tcW w:w="1238"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883"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c>
          <w:tcPr>
            <w:tcW w:w="1238"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883"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38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97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1096" w:type="dxa"/>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cs="Times New Roman"/>
                <w:sz w:val="20"/>
              </w:rPr>
            </w:pPr>
            <w:r>
              <w:rPr>
                <w:rFonts w:hint="eastAsia" w:ascii="Times New Roman" w:hAnsi="Times New Roman" w:cs="Times New Roman"/>
                <w:sz w:val="20"/>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93.2%</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150.5</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150.6</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380" w:type="dxa"/>
            <w:vMerge w:val="continue"/>
            <w:tcMar>
              <w:top w:w="0" w:type="dxa"/>
              <w:left w:w="108" w:type="dxa"/>
              <w:bottom w:w="0" w:type="dxa"/>
              <w:right w:w="108" w:type="dxa"/>
            </w:tcMar>
            <w:vAlign w:val="center"/>
          </w:tcPr>
          <w:p>
            <w:pPr>
              <w:pStyle w:val="49"/>
              <w:spacing w:before="120" w:after="120" w:line="252" w:lineRule="auto"/>
              <w:jc w:val="center"/>
            </w:pPr>
          </w:p>
        </w:tc>
        <w:tc>
          <w:tcPr>
            <w:tcW w:w="970" w:type="dxa"/>
            <w:vMerge w:val="continue"/>
            <w:tcMar>
              <w:top w:w="0" w:type="dxa"/>
              <w:left w:w="108" w:type="dxa"/>
              <w:bottom w:w="0" w:type="dxa"/>
              <w:right w:w="108" w:type="dxa"/>
            </w:tcMar>
            <w:vAlign w:val="center"/>
          </w:tcPr>
          <w:p>
            <w:pPr>
              <w:pStyle w:val="49"/>
              <w:spacing w:before="120" w:after="120" w:line="252" w:lineRule="auto"/>
              <w:jc w:val="center"/>
            </w:pPr>
          </w:p>
        </w:tc>
        <w:tc>
          <w:tcPr>
            <w:tcW w:w="1096"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149.2</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149.3</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1380" w:type="dxa"/>
            <w:vMerge w:val="continue"/>
            <w:tcMar>
              <w:top w:w="0" w:type="dxa"/>
              <w:left w:w="108" w:type="dxa"/>
              <w:bottom w:w="0" w:type="dxa"/>
              <w:right w:w="108" w:type="dxa"/>
            </w:tcMar>
            <w:vAlign w:val="center"/>
          </w:tcPr>
          <w:p>
            <w:pPr>
              <w:pStyle w:val="49"/>
              <w:spacing w:before="120" w:after="120" w:line="252" w:lineRule="auto"/>
              <w:jc w:val="center"/>
            </w:pPr>
          </w:p>
        </w:tc>
        <w:tc>
          <w:tcPr>
            <w:tcW w:w="970" w:type="dxa"/>
            <w:vMerge w:val="restart"/>
            <w:tcMar>
              <w:top w:w="0" w:type="dxa"/>
              <w:left w:w="108" w:type="dxa"/>
              <w:bottom w:w="0" w:type="dxa"/>
              <w:right w:w="108" w:type="dxa"/>
            </w:tcMar>
            <w:vAlign w:val="center"/>
          </w:tcPr>
          <w:p>
            <w:pPr>
              <w:pStyle w:val="49"/>
              <w:spacing w:before="120" w:after="120" w:line="252" w:lineRule="auto"/>
              <w:jc w:val="center"/>
            </w:pPr>
            <w:r>
              <w:rPr>
                <w:rFonts w:hint="eastAsia"/>
              </w:rPr>
              <w:t>10</w:t>
            </w:r>
          </w:p>
        </w:tc>
        <w:tc>
          <w:tcPr>
            <w:tcW w:w="1096" w:type="dxa"/>
            <w:vMerge w:val="restart"/>
            <w:tcMar>
              <w:top w:w="0" w:type="dxa"/>
              <w:left w:w="108" w:type="dxa"/>
              <w:bottom w:w="0" w:type="dxa"/>
              <w:right w:w="108" w:type="dxa"/>
            </w:tcMar>
            <w:vAlign w:val="center"/>
          </w:tcPr>
          <w:p>
            <w:pPr>
              <w:pStyle w:val="49"/>
              <w:spacing w:before="120" w:after="120" w:line="252" w:lineRule="auto"/>
              <w:jc w:val="center"/>
              <w:rPr>
                <w:rFonts w:hint="eastAsia"/>
              </w:rPr>
            </w:pPr>
            <w:r>
              <w:rPr>
                <w:rFonts w:hint="eastAsia"/>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93.3%</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148.9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149</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1380" w:type="dxa"/>
            <w:vMerge w:val="continue"/>
            <w:tcMar>
              <w:top w:w="0" w:type="dxa"/>
              <w:left w:w="108" w:type="dxa"/>
              <w:bottom w:w="0" w:type="dxa"/>
              <w:right w:w="108" w:type="dxa"/>
            </w:tcMar>
            <w:vAlign w:val="center"/>
          </w:tcPr>
          <w:p>
            <w:pPr>
              <w:pStyle w:val="49"/>
              <w:spacing w:before="120" w:after="120" w:line="252" w:lineRule="auto"/>
              <w:jc w:val="center"/>
            </w:pPr>
          </w:p>
        </w:tc>
        <w:tc>
          <w:tcPr>
            <w:tcW w:w="970" w:type="dxa"/>
            <w:vMerge w:val="continue"/>
            <w:tcMar>
              <w:top w:w="0" w:type="dxa"/>
              <w:left w:w="108" w:type="dxa"/>
              <w:bottom w:w="0" w:type="dxa"/>
              <w:right w:w="108" w:type="dxa"/>
            </w:tcMar>
            <w:vAlign w:val="center"/>
          </w:tcPr>
          <w:p>
            <w:pPr>
              <w:pStyle w:val="49"/>
              <w:spacing w:before="120" w:after="120" w:line="252" w:lineRule="auto"/>
              <w:jc w:val="center"/>
            </w:pPr>
          </w:p>
        </w:tc>
        <w:tc>
          <w:tcPr>
            <w:tcW w:w="1096"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147.9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148</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38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1</w:t>
            </w:r>
          </w:p>
        </w:tc>
        <w:tc>
          <w:tcPr>
            <w:tcW w:w="97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1096" w:type="dxa"/>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cs="Times New Roman"/>
                <w:sz w:val="20"/>
              </w:rPr>
            </w:pPr>
            <w:r>
              <w:rPr>
                <w:rFonts w:hint="eastAsia" w:ascii="Times New Roman" w:hAnsi="Times New Roman" w:cs="Times New Roman"/>
                <w:sz w:val="20"/>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85.6%</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114.9</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115.1</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380" w:type="dxa"/>
            <w:vMerge w:val="continue"/>
            <w:tcMar>
              <w:top w:w="0" w:type="dxa"/>
              <w:left w:w="108" w:type="dxa"/>
              <w:bottom w:w="0" w:type="dxa"/>
              <w:right w:w="108" w:type="dxa"/>
            </w:tcMar>
            <w:vAlign w:val="center"/>
          </w:tcPr>
          <w:p>
            <w:pPr>
              <w:pStyle w:val="49"/>
              <w:spacing w:before="120" w:after="120" w:line="252" w:lineRule="auto"/>
              <w:jc w:val="center"/>
            </w:pPr>
          </w:p>
        </w:tc>
        <w:tc>
          <w:tcPr>
            <w:tcW w:w="970" w:type="dxa"/>
            <w:vMerge w:val="continue"/>
            <w:tcMar>
              <w:top w:w="0" w:type="dxa"/>
              <w:left w:w="108" w:type="dxa"/>
              <w:bottom w:w="0" w:type="dxa"/>
              <w:right w:w="108" w:type="dxa"/>
            </w:tcMar>
            <w:vAlign w:val="center"/>
          </w:tcPr>
          <w:p>
            <w:pPr>
              <w:pStyle w:val="49"/>
              <w:spacing w:before="120" w:after="120" w:line="252" w:lineRule="auto"/>
              <w:jc w:val="center"/>
            </w:pPr>
          </w:p>
        </w:tc>
        <w:tc>
          <w:tcPr>
            <w:tcW w:w="1096"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117.8</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21.2%</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1380" w:type="dxa"/>
            <w:vMerge w:val="continue"/>
            <w:tcMar>
              <w:top w:w="0" w:type="dxa"/>
              <w:left w:w="108" w:type="dxa"/>
              <w:bottom w:w="0" w:type="dxa"/>
              <w:right w:w="108" w:type="dxa"/>
            </w:tcMar>
            <w:vAlign w:val="center"/>
          </w:tcPr>
          <w:p>
            <w:pPr>
              <w:pStyle w:val="49"/>
              <w:spacing w:before="120" w:after="120" w:line="252" w:lineRule="auto"/>
              <w:jc w:val="center"/>
            </w:pPr>
          </w:p>
        </w:tc>
        <w:tc>
          <w:tcPr>
            <w:tcW w:w="970" w:type="dxa"/>
            <w:vMerge w:val="restart"/>
            <w:tcMar>
              <w:top w:w="0" w:type="dxa"/>
              <w:left w:w="108" w:type="dxa"/>
              <w:bottom w:w="0" w:type="dxa"/>
              <w:right w:w="108" w:type="dxa"/>
            </w:tcMar>
            <w:vAlign w:val="center"/>
          </w:tcPr>
          <w:p>
            <w:pPr>
              <w:pStyle w:val="49"/>
              <w:spacing w:before="120" w:after="120" w:line="252" w:lineRule="auto"/>
              <w:jc w:val="center"/>
            </w:pPr>
            <w:r>
              <w:rPr>
                <w:rFonts w:hint="eastAsia"/>
              </w:rPr>
              <w:t>10</w:t>
            </w:r>
          </w:p>
        </w:tc>
        <w:tc>
          <w:tcPr>
            <w:tcW w:w="1096" w:type="dxa"/>
            <w:vMerge w:val="restart"/>
            <w:tcMar>
              <w:top w:w="0" w:type="dxa"/>
              <w:left w:w="108" w:type="dxa"/>
              <w:bottom w:w="0" w:type="dxa"/>
              <w:right w:w="108" w:type="dxa"/>
            </w:tcMar>
            <w:vAlign w:val="center"/>
          </w:tcPr>
          <w:p>
            <w:pPr>
              <w:pStyle w:val="49"/>
              <w:spacing w:before="120" w:after="120" w:line="252" w:lineRule="auto"/>
              <w:jc w:val="center"/>
              <w:rPr>
                <w:rFonts w:hint="eastAsia"/>
              </w:rPr>
            </w:pPr>
            <w:r>
              <w:rPr>
                <w:rFonts w:hint="eastAsia"/>
                <w:lang w:val="en-US" w:eastAsia="zh-CN"/>
              </w:rPr>
              <w:t>11</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90.3%</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115.5</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115.7</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22.4%</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1380" w:type="dxa"/>
            <w:vMerge w:val="continue"/>
            <w:tcMar>
              <w:top w:w="0" w:type="dxa"/>
              <w:left w:w="108" w:type="dxa"/>
              <w:bottom w:w="0" w:type="dxa"/>
              <w:right w:w="108" w:type="dxa"/>
            </w:tcMar>
            <w:vAlign w:val="center"/>
          </w:tcPr>
          <w:p>
            <w:pPr>
              <w:pStyle w:val="49"/>
              <w:spacing w:before="120" w:after="120" w:line="252" w:lineRule="auto"/>
              <w:jc w:val="center"/>
            </w:pPr>
          </w:p>
        </w:tc>
        <w:tc>
          <w:tcPr>
            <w:tcW w:w="970" w:type="dxa"/>
            <w:vMerge w:val="continue"/>
            <w:tcMar>
              <w:top w:w="0" w:type="dxa"/>
              <w:left w:w="108" w:type="dxa"/>
              <w:bottom w:w="0" w:type="dxa"/>
              <w:right w:w="108" w:type="dxa"/>
            </w:tcMar>
            <w:vAlign w:val="center"/>
          </w:tcPr>
          <w:p>
            <w:pPr>
              <w:pStyle w:val="49"/>
              <w:spacing w:before="120" w:after="120" w:line="252" w:lineRule="auto"/>
              <w:jc w:val="center"/>
            </w:pPr>
          </w:p>
        </w:tc>
        <w:tc>
          <w:tcPr>
            <w:tcW w:w="1096"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113.7</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113.9</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23.1%</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23%</w:t>
            </w:r>
          </w:p>
        </w:tc>
      </w:tr>
    </w:tbl>
    <w:p>
      <w:pPr>
        <w:spacing w:before="120" w:after="120" w:line="256" w:lineRule="auto"/>
      </w:pPr>
    </w:p>
    <w:p>
      <w:pPr>
        <w:spacing w:before="120" w:after="120" w:line="256" w:lineRule="auto"/>
        <w:jc w:val="center"/>
      </w:pPr>
      <w:r>
        <w:rPr>
          <w:rFonts w:hint="eastAsia"/>
          <w:szCs w:val="22"/>
        </w:rPr>
        <w:t>Table 13</w:t>
      </w:r>
      <w:r>
        <w:rPr>
          <w:szCs w:val="22"/>
        </w:rPr>
        <w:t xml:space="preserve"> </w:t>
      </w:r>
      <w:r>
        <w:t xml:space="preserve">FR1 power consumption results in Indoor Hotspot scenario </w:t>
      </w:r>
      <w:r>
        <w:rPr>
          <w:rFonts w:hint="eastAsia"/>
        </w:rPr>
        <w:t>(TM3, UL pose traffic)</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0"/>
        <w:gridCol w:w="949"/>
        <w:gridCol w:w="1087"/>
        <w:gridCol w:w="1094"/>
        <w:gridCol w:w="916"/>
        <w:gridCol w:w="1238"/>
        <w:gridCol w:w="883"/>
        <w:gridCol w:w="1238"/>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trPr>
        <w:tc>
          <w:tcPr>
            <w:tcW w:w="141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949"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1087" w:type="dxa"/>
            <w:vMerge w:val="restart"/>
            <w:tcMar>
              <w:top w:w="0" w:type="dxa"/>
              <w:left w:w="108" w:type="dxa"/>
              <w:bottom w:w="0" w:type="dxa"/>
              <w:right w:w="108" w:type="dxa"/>
            </w:tcMar>
            <w:vAlign w:val="center"/>
          </w:tcPr>
          <w:p>
            <w:pPr>
              <w:spacing w:before="120" w:after="120"/>
              <w:jc w:val="center"/>
              <w:rPr>
                <w:rFonts w:ascii="Times New Roman" w:hAnsi="Times New Roman" w:cs="Times New Roman"/>
                <w:sz w:val="20"/>
              </w:rPr>
            </w:pPr>
            <w:r>
              <w:rPr>
                <w:rFonts w:ascii="Times New Roman" w:hAnsi="Times New Roman" w:eastAsia="宋体" w:cs="Times New Roman"/>
                <w:b w:val="0"/>
                <w:sz w:val="20"/>
                <w:szCs w:val="20"/>
                <w:lang w:eastAsia="zh-CN"/>
              </w:rPr>
              <w:t>C1=floor(Capacity)</w:t>
            </w:r>
          </w:p>
        </w:tc>
        <w:tc>
          <w:tcPr>
            <w:tcW w:w="1094"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916"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2121"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Mean power</w:t>
            </w:r>
          </w:p>
        </w:tc>
        <w:tc>
          <w:tcPr>
            <w:tcW w:w="2121"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9" w:hRule="atLeast"/>
        </w:trPr>
        <w:tc>
          <w:tcPr>
            <w:tcW w:w="1410" w:type="dxa"/>
            <w:vMerge w:val="continue"/>
            <w:tcMar>
              <w:top w:w="0" w:type="dxa"/>
              <w:left w:w="108" w:type="dxa"/>
              <w:bottom w:w="0" w:type="dxa"/>
              <w:right w:w="108" w:type="dxa"/>
            </w:tcMar>
            <w:vAlign w:val="center"/>
          </w:tcPr>
          <w:p>
            <w:pPr>
              <w:pStyle w:val="49"/>
              <w:spacing w:before="120" w:after="120"/>
              <w:jc w:val="center"/>
            </w:pPr>
          </w:p>
        </w:tc>
        <w:tc>
          <w:tcPr>
            <w:tcW w:w="949" w:type="dxa"/>
            <w:vMerge w:val="continue"/>
            <w:tcMar>
              <w:top w:w="0" w:type="dxa"/>
              <w:left w:w="108" w:type="dxa"/>
              <w:bottom w:w="0" w:type="dxa"/>
              <w:right w:w="108" w:type="dxa"/>
            </w:tcMar>
            <w:vAlign w:val="center"/>
          </w:tcPr>
          <w:p>
            <w:pPr>
              <w:pStyle w:val="49"/>
              <w:spacing w:before="120" w:after="120"/>
              <w:jc w:val="center"/>
            </w:pPr>
          </w:p>
        </w:tc>
        <w:tc>
          <w:tcPr>
            <w:tcW w:w="1087" w:type="dxa"/>
            <w:vMerge w:val="continue"/>
            <w:tcMar>
              <w:top w:w="0" w:type="dxa"/>
              <w:left w:w="108" w:type="dxa"/>
              <w:bottom w:w="0" w:type="dxa"/>
              <w:right w:w="108" w:type="dxa"/>
            </w:tcMar>
            <w:vAlign w:val="center"/>
          </w:tcPr>
          <w:p>
            <w:pPr>
              <w:pStyle w:val="49"/>
              <w:spacing w:before="120" w:after="120"/>
              <w:jc w:val="center"/>
            </w:pPr>
          </w:p>
        </w:tc>
        <w:tc>
          <w:tcPr>
            <w:tcW w:w="1094" w:type="dxa"/>
            <w:vMerge w:val="continue"/>
            <w:tcMar>
              <w:top w:w="0" w:type="dxa"/>
              <w:left w:w="108" w:type="dxa"/>
              <w:bottom w:w="0" w:type="dxa"/>
              <w:right w:w="108" w:type="dxa"/>
            </w:tcMar>
            <w:vAlign w:val="center"/>
          </w:tcPr>
          <w:p>
            <w:pPr>
              <w:pStyle w:val="49"/>
              <w:spacing w:before="120" w:after="120"/>
              <w:jc w:val="center"/>
            </w:pPr>
          </w:p>
        </w:tc>
        <w:tc>
          <w:tcPr>
            <w:tcW w:w="916" w:type="dxa"/>
            <w:vMerge w:val="continue"/>
            <w:tcMar>
              <w:top w:w="0" w:type="dxa"/>
              <w:left w:w="108" w:type="dxa"/>
              <w:bottom w:w="0" w:type="dxa"/>
              <w:right w:w="108" w:type="dxa"/>
            </w:tcMar>
            <w:vAlign w:val="center"/>
          </w:tcPr>
          <w:p>
            <w:pPr>
              <w:pStyle w:val="49"/>
              <w:spacing w:before="120" w:after="120"/>
              <w:jc w:val="center"/>
            </w:pPr>
          </w:p>
        </w:tc>
        <w:tc>
          <w:tcPr>
            <w:tcW w:w="1238"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883"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c>
          <w:tcPr>
            <w:tcW w:w="1238"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883"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41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949"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w:t>
            </w:r>
          </w:p>
        </w:tc>
        <w:tc>
          <w:tcPr>
            <w:tcW w:w="1087" w:type="dxa"/>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7</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91%</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140</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140</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410" w:type="dxa"/>
            <w:vMerge w:val="continue"/>
            <w:tcMar>
              <w:top w:w="0" w:type="dxa"/>
              <w:left w:w="108" w:type="dxa"/>
              <w:bottom w:w="0" w:type="dxa"/>
              <w:right w:w="108" w:type="dxa"/>
            </w:tcMar>
            <w:vAlign w:val="center"/>
          </w:tcPr>
          <w:p>
            <w:pPr>
              <w:pStyle w:val="49"/>
              <w:spacing w:before="120" w:after="120" w:line="252" w:lineRule="auto"/>
              <w:jc w:val="center"/>
            </w:pPr>
          </w:p>
        </w:tc>
        <w:tc>
          <w:tcPr>
            <w:tcW w:w="949" w:type="dxa"/>
            <w:vMerge w:val="continue"/>
            <w:tcMar>
              <w:top w:w="0" w:type="dxa"/>
              <w:left w:w="108" w:type="dxa"/>
              <w:bottom w:w="0" w:type="dxa"/>
              <w:right w:w="108" w:type="dxa"/>
            </w:tcMar>
            <w:vAlign w:val="center"/>
          </w:tcPr>
          <w:p>
            <w:pPr>
              <w:pStyle w:val="49"/>
              <w:spacing w:before="120" w:after="120" w:line="252" w:lineRule="auto"/>
              <w:jc w:val="center"/>
            </w:pPr>
          </w:p>
        </w:tc>
        <w:tc>
          <w:tcPr>
            <w:tcW w:w="1087"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138.6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138.5</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141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2</w:t>
            </w:r>
          </w:p>
        </w:tc>
        <w:tc>
          <w:tcPr>
            <w:tcW w:w="949"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w:t>
            </w:r>
          </w:p>
        </w:tc>
        <w:tc>
          <w:tcPr>
            <w:tcW w:w="1087" w:type="dxa"/>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7</w:t>
            </w:r>
          </w:p>
        </w:tc>
        <w:tc>
          <w:tcPr>
            <w:tcW w:w="1094"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86.3%</w:t>
            </w: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100</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100.1</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28.6%</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trPr>
        <w:tc>
          <w:tcPr>
            <w:tcW w:w="1410" w:type="dxa"/>
            <w:vMerge w:val="continue"/>
            <w:tcMar>
              <w:top w:w="0" w:type="dxa"/>
              <w:left w:w="108" w:type="dxa"/>
              <w:bottom w:w="0" w:type="dxa"/>
              <w:right w:w="108" w:type="dxa"/>
            </w:tcMar>
            <w:vAlign w:val="center"/>
          </w:tcPr>
          <w:p>
            <w:pPr>
              <w:pStyle w:val="49"/>
              <w:spacing w:before="120" w:after="120" w:line="252" w:lineRule="auto"/>
              <w:jc w:val="center"/>
            </w:pPr>
          </w:p>
        </w:tc>
        <w:tc>
          <w:tcPr>
            <w:tcW w:w="949" w:type="dxa"/>
            <w:vMerge w:val="continue"/>
            <w:tcMar>
              <w:top w:w="0" w:type="dxa"/>
              <w:left w:w="108" w:type="dxa"/>
              <w:bottom w:w="0" w:type="dxa"/>
              <w:right w:w="108" w:type="dxa"/>
            </w:tcMar>
            <w:vAlign w:val="center"/>
          </w:tcPr>
          <w:p>
            <w:pPr>
              <w:pStyle w:val="49"/>
              <w:spacing w:before="120" w:after="120" w:line="252" w:lineRule="auto"/>
              <w:jc w:val="center"/>
            </w:pPr>
          </w:p>
        </w:tc>
        <w:tc>
          <w:tcPr>
            <w:tcW w:w="1087" w:type="dxa"/>
            <w:vMerge w:val="continue"/>
            <w:tcMar>
              <w:top w:w="0" w:type="dxa"/>
              <w:left w:w="108" w:type="dxa"/>
              <w:bottom w:w="0" w:type="dxa"/>
              <w:right w:w="108" w:type="dxa"/>
            </w:tcMar>
            <w:vAlign w:val="center"/>
          </w:tcPr>
          <w:p>
            <w:pPr>
              <w:pStyle w:val="49"/>
              <w:spacing w:before="120" w:after="120" w:line="252" w:lineRule="auto"/>
              <w:jc w:val="center"/>
            </w:pPr>
          </w:p>
        </w:tc>
        <w:tc>
          <w:tcPr>
            <w:tcW w:w="1094" w:type="dxa"/>
            <w:vMerge w:val="continue"/>
            <w:tcMar>
              <w:top w:w="0" w:type="dxa"/>
              <w:left w:w="108" w:type="dxa"/>
              <w:bottom w:w="0" w:type="dxa"/>
              <w:right w:w="108" w:type="dxa"/>
            </w:tcMar>
            <w:vAlign w:val="center"/>
          </w:tcPr>
          <w:p>
            <w:pPr>
              <w:pStyle w:val="49"/>
              <w:spacing w:before="120" w:after="120" w:line="252" w:lineRule="auto"/>
              <w:jc w:val="center"/>
            </w:pPr>
          </w:p>
        </w:tc>
        <w:tc>
          <w:tcPr>
            <w:tcW w:w="916"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103.8</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103.9</w:t>
            </w:r>
          </w:p>
        </w:tc>
        <w:tc>
          <w:tcPr>
            <w:tcW w:w="1238"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25.1%</w:t>
            </w:r>
          </w:p>
        </w:tc>
        <w:tc>
          <w:tcPr>
            <w:tcW w:w="883"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25%</w:t>
            </w:r>
          </w:p>
        </w:tc>
      </w:tr>
    </w:tbl>
    <w:p>
      <w:pPr>
        <w:spacing w:before="120" w:after="120"/>
      </w:pPr>
      <w:r>
        <w:rPr>
          <w:rFonts w:hint="eastAsia"/>
        </w:rPr>
        <w:t>According to the above simulation results, 21%-28% power saving gain can be provided by eCDRX for VR traffic. The percentage</w:t>
      </w:r>
      <w:r>
        <w:t>s</w:t>
      </w:r>
      <w:r>
        <w:rPr>
          <w:rFonts w:hint="eastAsia"/>
        </w:rPr>
        <w:t xml:space="preserve"> of satisfied UE decrease by </w:t>
      </w:r>
      <w:r>
        <w:rPr>
          <w:rFonts w:hint="eastAsia"/>
          <w:lang w:val="en-US" w:eastAsia="zh-CN"/>
        </w:rPr>
        <w:t>3</w:t>
      </w:r>
      <w:r>
        <w:rPr>
          <w:rFonts w:hint="eastAsia"/>
        </w:rPr>
        <w:t>%-10% compared with baseline capacity. And the percentage</w:t>
      </w:r>
      <w:r>
        <w:t>s</w:t>
      </w:r>
      <w:r>
        <w:rPr>
          <w:rFonts w:hint="eastAsia"/>
        </w:rPr>
        <w:t xml:space="preserve"> of satisfied UE decrease little if the number of UE per cell is configured less than the baseline capacity.</w:t>
      </w:r>
    </w:p>
    <w:p>
      <w:pPr>
        <w:pStyle w:val="50"/>
        <w:spacing w:before="120" w:after="120" w:line="276" w:lineRule="auto"/>
        <w:jc w:val="both"/>
      </w:pPr>
      <w:bookmarkStart w:id="27" w:name="_Toc20813"/>
      <w:r>
        <w:t xml:space="preserve">Comparing to UE always on, following is observed for </w:t>
      </w:r>
      <w:r>
        <w:rPr>
          <w:b/>
          <w:bCs/>
          <w:u w:val="single"/>
        </w:rPr>
        <w:t xml:space="preserve">DL </w:t>
      </w:r>
      <w:r>
        <w:rPr>
          <w:rFonts w:hint="eastAsia"/>
          <w:b/>
          <w:bCs/>
          <w:u w:val="single"/>
        </w:rPr>
        <w:t>video</w:t>
      </w:r>
      <w:r>
        <w:rPr>
          <w:b/>
          <w:bCs/>
          <w:u w:val="single"/>
        </w:rPr>
        <w:t>-stream (30Mbps, 10ms PDB</w:t>
      </w:r>
      <w:r>
        <w:rPr>
          <w:rFonts w:hint="eastAsia"/>
          <w:b/>
          <w:bCs/>
          <w:u w:val="single"/>
        </w:rPr>
        <w:t>) +</w:t>
      </w:r>
      <w:r>
        <w:rPr>
          <w:b/>
          <w:bCs/>
          <w:u w:val="single"/>
        </w:rPr>
        <w:t xml:space="preserve"> UL pose/control-stream (0.2Mbps, 10ms PDB)</w:t>
      </w:r>
      <w:r>
        <w:rPr>
          <w:rFonts w:hint="eastAsia"/>
          <w:lang w:val="en-US" w:eastAsia="zh-CN"/>
        </w:rPr>
        <w:t xml:space="preserve"> in Indoor scenario</w:t>
      </w:r>
      <w:r>
        <w:t>:</w:t>
      </w:r>
      <w:bookmarkEnd w:id="27"/>
    </w:p>
    <w:p>
      <w:pPr>
        <w:pStyle w:val="50"/>
        <w:numPr>
          <w:ilvl w:val="-1"/>
          <w:numId w:val="0"/>
        </w:numPr>
        <w:tabs>
          <w:tab w:val="clear" w:pos="0"/>
        </w:tabs>
        <w:spacing w:before="120" w:after="120" w:line="276" w:lineRule="auto"/>
        <w:jc w:val="both"/>
      </w:pPr>
      <w:bookmarkStart w:id="28" w:name="_Toc26225"/>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21.1</w:t>
      </w:r>
      <w:r>
        <w:t>%</w:t>
      </w:r>
      <w:r>
        <w:rPr>
          <w:rFonts w:hint="eastAsia"/>
          <w:lang w:val="en-US" w:eastAsia="zh-CN"/>
        </w:rPr>
        <w:t>,24.3%</w:t>
      </w:r>
      <w:r>
        <w:t xml:space="preserve">} for </w:t>
      </w:r>
      <w:r>
        <w:rPr>
          <w:rFonts w:hint="eastAsia"/>
          <w:lang w:val="en-US" w:eastAsia="zh-CN"/>
        </w:rPr>
        <w:t xml:space="preserve">high </w:t>
      </w:r>
      <w:r>
        <w:t>load with</w:t>
      </w:r>
      <w:r>
        <w:rPr>
          <w:rFonts w:hint="eastAsia"/>
          <w:lang w:val="en-US" w:eastAsia="zh-CN"/>
        </w:rPr>
        <w:t>{3%-10.18%}</w:t>
      </w:r>
      <w:r>
        <w:t xml:space="preserve"> of satisfied UE loss.</w:t>
      </w:r>
      <w:bookmarkEnd w:id="28"/>
    </w:p>
    <w:p>
      <w:pPr>
        <w:pStyle w:val="50"/>
        <w:spacing w:before="120" w:after="120" w:line="276" w:lineRule="auto"/>
        <w:jc w:val="both"/>
      </w:pPr>
      <w:bookmarkStart w:id="29" w:name="_Toc4087"/>
      <w:r>
        <w:t xml:space="preserve">Comparing to UE always on, following is observed for </w:t>
      </w:r>
      <w:r>
        <w:rPr>
          <w:b/>
          <w:bCs/>
          <w:u w:val="single"/>
        </w:rPr>
        <w:t xml:space="preserve">DL </w:t>
      </w:r>
      <w:r>
        <w:rPr>
          <w:rFonts w:hint="eastAsia"/>
          <w:b/>
          <w:bCs/>
          <w:u w:val="single"/>
        </w:rPr>
        <w:t>video</w:t>
      </w:r>
      <w:r>
        <w:rPr>
          <w:b/>
          <w:bCs/>
          <w:u w:val="single"/>
        </w:rPr>
        <w:t>-stream (</w:t>
      </w:r>
      <w:r>
        <w:rPr>
          <w:rFonts w:hint="eastAsia"/>
          <w:b/>
          <w:bCs/>
          <w:u w:val="single"/>
          <w:lang w:val="en-US" w:eastAsia="zh-CN"/>
        </w:rPr>
        <w:t>45</w:t>
      </w:r>
      <w:r>
        <w:rPr>
          <w:b/>
          <w:bCs/>
          <w:u w:val="single"/>
        </w:rPr>
        <w:t>Mbps, 1</w:t>
      </w:r>
      <w:r>
        <w:rPr>
          <w:rFonts w:hint="eastAsia"/>
          <w:b/>
          <w:bCs/>
          <w:u w:val="single"/>
          <w:lang w:val="en-US" w:eastAsia="zh-CN"/>
        </w:rPr>
        <w:t>0</w:t>
      </w:r>
      <w:r>
        <w:rPr>
          <w:b/>
          <w:bCs/>
          <w:u w:val="single"/>
        </w:rPr>
        <w:t>ms PDB</w:t>
      </w:r>
      <w:r>
        <w:rPr>
          <w:rFonts w:hint="eastAsia"/>
          <w:b/>
          <w:bCs/>
          <w:u w:val="single"/>
        </w:rPr>
        <w:t>) +</w:t>
      </w:r>
      <w:r>
        <w:rPr>
          <w:b/>
          <w:bCs/>
          <w:u w:val="single"/>
        </w:rPr>
        <w:t xml:space="preserve"> UL pose/control-stream (0.2Mbps, 10ms PDB)</w:t>
      </w:r>
      <w:r>
        <w:rPr>
          <w:rFonts w:hint="eastAsia"/>
          <w:lang w:val="en-US" w:eastAsia="zh-CN"/>
        </w:rPr>
        <w:t xml:space="preserve"> in Indoor scenario</w:t>
      </w:r>
      <w:r>
        <w:t>:</w:t>
      </w:r>
      <w:bookmarkEnd w:id="29"/>
    </w:p>
    <w:p>
      <w:pPr>
        <w:pStyle w:val="50"/>
        <w:numPr>
          <w:ilvl w:val="-1"/>
          <w:numId w:val="0"/>
        </w:numPr>
        <w:tabs>
          <w:tab w:val="clear" w:pos="0"/>
        </w:tabs>
        <w:spacing w:before="120" w:after="120" w:line="276" w:lineRule="auto"/>
        <w:jc w:val="both"/>
      </w:pPr>
      <w:bookmarkStart w:id="30" w:name="_Toc13695"/>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25</w:t>
      </w:r>
      <w:r>
        <w:t>%</w:t>
      </w:r>
      <w:r>
        <w:rPr>
          <w:rFonts w:hint="eastAsia"/>
          <w:lang w:val="en-US" w:eastAsia="zh-CN"/>
        </w:rPr>
        <w:t>,28.6%</w:t>
      </w:r>
      <w:r>
        <w:t xml:space="preserve">} for </w:t>
      </w:r>
      <w:r>
        <w:rPr>
          <w:rFonts w:hint="eastAsia"/>
          <w:lang w:val="en-US" w:eastAsia="zh-CN"/>
        </w:rPr>
        <w:t xml:space="preserve">high </w:t>
      </w:r>
      <w:r>
        <w:t>load with</w:t>
      </w:r>
      <w:r>
        <w:rPr>
          <w:rFonts w:hint="eastAsia"/>
          <w:lang w:val="en-US" w:eastAsia="zh-CN"/>
        </w:rPr>
        <w:t xml:space="preserve"> 4.7% </w:t>
      </w:r>
      <w:r>
        <w:t>of satisfied UE loss.</w:t>
      </w:r>
      <w:bookmarkEnd w:id="30"/>
    </w:p>
    <w:p>
      <w:pPr>
        <w:pStyle w:val="50"/>
        <w:spacing w:before="120" w:after="120"/>
        <w:jc w:val="both"/>
        <w:rPr>
          <w:lang w:val="en-US" w:eastAsia="zh-CN"/>
        </w:rPr>
      </w:pPr>
      <w:bookmarkStart w:id="31" w:name="_Toc32175"/>
      <w:bookmarkStart w:id="32" w:name="_Toc5686"/>
      <w:bookmarkStart w:id="33" w:name="_Toc9548"/>
      <w:bookmarkStart w:id="34" w:name="_Toc79216220"/>
      <w:r>
        <w:rPr>
          <w:rFonts w:hint="eastAsia"/>
          <w:lang w:val="en-US" w:eastAsia="zh-CN"/>
        </w:rPr>
        <w:t>The difference between power consumption results for all UEs and the counterpart for only satisfied UEs is small.</w:t>
      </w:r>
      <w:bookmarkEnd w:id="31"/>
      <w:bookmarkEnd w:id="32"/>
      <w:bookmarkEnd w:id="33"/>
      <w:bookmarkEnd w:id="34"/>
    </w:p>
    <w:p>
      <w:pPr>
        <w:spacing w:before="120" w:after="120" w:line="256" w:lineRule="auto"/>
        <w:jc w:val="center"/>
      </w:pPr>
      <w:r>
        <w:rPr>
          <w:rFonts w:hint="eastAsia"/>
          <w:szCs w:val="22"/>
        </w:rPr>
        <w:t>Table 14</w:t>
      </w:r>
      <w:r>
        <w:rPr>
          <w:szCs w:val="22"/>
        </w:rPr>
        <w:t xml:space="preserve"> </w:t>
      </w:r>
      <w:r>
        <w:t>FR1 power consumption results in Indoor Hotspot scenario</w:t>
      </w:r>
      <w:r>
        <w:rPr>
          <w:rFonts w:hint="eastAsia"/>
        </w:rPr>
        <w:t xml:space="preserve"> for CG</w:t>
      </w:r>
      <w:r>
        <w:t xml:space="preserve"> </w:t>
      </w:r>
      <w:r>
        <w:rPr>
          <w:rFonts w:hint="eastAsia"/>
        </w:rPr>
        <w:t>(TM2, UL pose traffic)</w:t>
      </w:r>
    </w:p>
    <w:tbl>
      <w:tblPr>
        <w:tblStyle w:val="16"/>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39"/>
        <w:gridCol w:w="910"/>
        <w:gridCol w:w="1110"/>
        <w:gridCol w:w="1070"/>
        <w:gridCol w:w="940"/>
        <w:gridCol w:w="1230"/>
        <w:gridCol w:w="900"/>
        <w:gridCol w:w="1190"/>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atLeast"/>
        </w:trPr>
        <w:tc>
          <w:tcPr>
            <w:tcW w:w="1439"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91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111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eastAsia="宋体" w:cs="Times New Roman"/>
                <w:b w:val="0"/>
                <w:sz w:val="20"/>
                <w:szCs w:val="20"/>
                <w:lang w:eastAsia="zh-CN"/>
              </w:rPr>
              <w:t>C1=floor(Capacity)</w:t>
            </w:r>
          </w:p>
        </w:tc>
        <w:tc>
          <w:tcPr>
            <w:tcW w:w="107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940" w:type="dxa"/>
            <w:vMerge w:val="restar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2130"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Mean power</w:t>
            </w:r>
          </w:p>
        </w:tc>
        <w:tc>
          <w:tcPr>
            <w:tcW w:w="2120" w:type="dxa"/>
            <w:gridSpan w:val="2"/>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9" w:hRule="atLeast"/>
        </w:trPr>
        <w:tc>
          <w:tcPr>
            <w:tcW w:w="1439" w:type="dxa"/>
            <w:vMerge w:val="continue"/>
            <w:tcMar>
              <w:top w:w="0" w:type="dxa"/>
              <w:left w:w="108" w:type="dxa"/>
              <w:bottom w:w="0" w:type="dxa"/>
              <w:right w:w="108" w:type="dxa"/>
            </w:tcMar>
            <w:vAlign w:val="center"/>
          </w:tcPr>
          <w:p>
            <w:pPr>
              <w:pStyle w:val="49"/>
              <w:spacing w:before="120" w:after="120"/>
              <w:jc w:val="center"/>
            </w:pPr>
          </w:p>
        </w:tc>
        <w:tc>
          <w:tcPr>
            <w:tcW w:w="910" w:type="dxa"/>
            <w:vMerge w:val="continue"/>
            <w:tcMar>
              <w:top w:w="0" w:type="dxa"/>
              <w:left w:w="108" w:type="dxa"/>
              <w:bottom w:w="0" w:type="dxa"/>
              <w:right w:w="108" w:type="dxa"/>
            </w:tcMar>
            <w:vAlign w:val="center"/>
          </w:tcPr>
          <w:p>
            <w:pPr>
              <w:pStyle w:val="49"/>
              <w:spacing w:before="120" w:after="120"/>
              <w:jc w:val="center"/>
            </w:pPr>
          </w:p>
        </w:tc>
        <w:tc>
          <w:tcPr>
            <w:tcW w:w="1110" w:type="dxa"/>
            <w:vMerge w:val="continue"/>
            <w:tcMar>
              <w:top w:w="0" w:type="dxa"/>
              <w:left w:w="108" w:type="dxa"/>
              <w:bottom w:w="0" w:type="dxa"/>
              <w:right w:w="108" w:type="dxa"/>
            </w:tcMar>
            <w:vAlign w:val="center"/>
          </w:tcPr>
          <w:p>
            <w:pPr>
              <w:pStyle w:val="49"/>
              <w:spacing w:before="120" w:after="120"/>
              <w:jc w:val="center"/>
            </w:pPr>
          </w:p>
        </w:tc>
        <w:tc>
          <w:tcPr>
            <w:tcW w:w="1070" w:type="dxa"/>
            <w:vMerge w:val="continue"/>
            <w:tcMar>
              <w:top w:w="0" w:type="dxa"/>
              <w:left w:w="108" w:type="dxa"/>
              <w:bottom w:w="0" w:type="dxa"/>
              <w:right w:w="108" w:type="dxa"/>
            </w:tcMar>
            <w:vAlign w:val="center"/>
          </w:tcPr>
          <w:p>
            <w:pPr>
              <w:pStyle w:val="49"/>
              <w:spacing w:before="120" w:after="120"/>
              <w:jc w:val="center"/>
            </w:pPr>
          </w:p>
        </w:tc>
        <w:tc>
          <w:tcPr>
            <w:tcW w:w="940" w:type="dxa"/>
            <w:vMerge w:val="continue"/>
            <w:tcMar>
              <w:top w:w="0" w:type="dxa"/>
              <w:left w:w="108" w:type="dxa"/>
              <w:bottom w:w="0" w:type="dxa"/>
              <w:right w:w="108" w:type="dxa"/>
            </w:tcMar>
            <w:vAlign w:val="center"/>
          </w:tcPr>
          <w:p>
            <w:pPr>
              <w:pStyle w:val="49"/>
              <w:spacing w:before="120" w:after="120"/>
              <w:jc w:val="center"/>
            </w:pPr>
          </w:p>
        </w:tc>
        <w:tc>
          <w:tcPr>
            <w:tcW w:w="1230"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900"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c>
          <w:tcPr>
            <w:tcW w:w="1190"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L</w:t>
            </w:r>
            <w:r>
              <w:rPr>
                <w:rFonts w:hint="eastAsia" w:ascii="Times New Roman" w:hAnsi="Times New Roman" w:cs="Times New Roman"/>
                <w:sz w:val="20"/>
              </w:rPr>
              <w:t>inear</w:t>
            </w:r>
            <w:r>
              <w:rPr>
                <w:rFonts w:ascii="Times New Roman" w:hAnsi="Times New Roman" w:cs="Times New Roman"/>
                <w:sz w:val="20"/>
              </w:rPr>
              <w:t xml:space="preserve"> interpolation</w:t>
            </w:r>
          </w:p>
        </w:tc>
        <w:tc>
          <w:tcPr>
            <w:tcW w:w="930" w:type="dxa"/>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S</w:t>
            </w:r>
            <w:r>
              <w:rPr>
                <w:rFonts w:hint="eastAsia" w:ascii="Times New Roman" w:hAnsi="Times New Roman" w:cs="Times New Roman"/>
                <w:sz w:val="20"/>
              </w:rPr>
              <w:t>tep</w:t>
            </w:r>
            <w:r>
              <w:rPr>
                <w:rFonts w:ascii="Times New Roman" w:hAnsi="Times New Roman" w:cs="Times New Roman"/>
                <w:sz w:val="20"/>
              </w:rPr>
              <w:t xml:space="preserve">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439"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91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12</w:t>
            </w:r>
          </w:p>
        </w:tc>
        <w:tc>
          <w:tcPr>
            <w:tcW w:w="1110" w:type="dxa"/>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12</w:t>
            </w:r>
          </w:p>
        </w:tc>
        <w:tc>
          <w:tcPr>
            <w:tcW w:w="107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96.53%</w:t>
            </w:r>
          </w:p>
        </w:tc>
        <w:tc>
          <w:tcPr>
            <w:tcW w:w="94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151.2</w:t>
            </w:r>
          </w:p>
        </w:tc>
        <w:tc>
          <w:tcPr>
            <w:tcW w:w="90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151.4</w:t>
            </w:r>
          </w:p>
        </w:tc>
        <w:tc>
          <w:tcPr>
            <w:tcW w:w="119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9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439" w:type="dxa"/>
            <w:vMerge w:val="continue"/>
            <w:tcMar>
              <w:top w:w="0" w:type="dxa"/>
              <w:left w:w="108" w:type="dxa"/>
              <w:bottom w:w="0" w:type="dxa"/>
              <w:right w:w="108" w:type="dxa"/>
            </w:tcMar>
            <w:vAlign w:val="center"/>
          </w:tcPr>
          <w:p>
            <w:pPr>
              <w:pStyle w:val="49"/>
              <w:spacing w:before="120" w:after="120" w:line="252" w:lineRule="auto"/>
              <w:jc w:val="center"/>
            </w:pPr>
          </w:p>
        </w:tc>
        <w:tc>
          <w:tcPr>
            <w:tcW w:w="910" w:type="dxa"/>
            <w:vMerge w:val="continue"/>
            <w:tcMar>
              <w:top w:w="0" w:type="dxa"/>
              <w:left w:w="108" w:type="dxa"/>
              <w:bottom w:w="0" w:type="dxa"/>
              <w:right w:w="108" w:type="dxa"/>
            </w:tcMar>
            <w:vAlign w:val="center"/>
          </w:tcPr>
          <w:p>
            <w:pPr>
              <w:pStyle w:val="49"/>
              <w:spacing w:before="120" w:after="120" w:line="252" w:lineRule="auto"/>
              <w:jc w:val="center"/>
            </w:pPr>
          </w:p>
        </w:tc>
        <w:tc>
          <w:tcPr>
            <w:tcW w:w="1110" w:type="dxa"/>
            <w:vMerge w:val="continue"/>
            <w:tcMar>
              <w:top w:w="0" w:type="dxa"/>
              <w:left w:w="108" w:type="dxa"/>
              <w:bottom w:w="0" w:type="dxa"/>
              <w:right w:w="108" w:type="dxa"/>
            </w:tcMar>
            <w:vAlign w:val="center"/>
          </w:tcPr>
          <w:p>
            <w:pPr>
              <w:pStyle w:val="49"/>
              <w:spacing w:before="120" w:after="120" w:line="252" w:lineRule="auto"/>
              <w:jc w:val="center"/>
            </w:pPr>
          </w:p>
        </w:tc>
        <w:tc>
          <w:tcPr>
            <w:tcW w:w="1070" w:type="dxa"/>
            <w:vMerge w:val="continue"/>
            <w:tcMar>
              <w:top w:w="0" w:type="dxa"/>
              <w:left w:w="108" w:type="dxa"/>
              <w:bottom w:w="0" w:type="dxa"/>
              <w:right w:w="108" w:type="dxa"/>
            </w:tcMar>
            <w:vAlign w:val="center"/>
          </w:tcPr>
          <w:p>
            <w:pPr>
              <w:pStyle w:val="49"/>
              <w:spacing w:before="120" w:after="120" w:line="252" w:lineRule="auto"/>
              <w:jc w:val="center"/>
            </w:pPr>
          </w:p>
        </w:tc>
        <w:tc>
          <w:tcPr>
            <w:tcW w:w="94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150.5</w:t>
            </w:r>
          </w:p>
        </w:tc>
        <w:tc>
          <w:tcPr>
            <w:tcW w:w="90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150.6</w:t>
            </w:r>
          </w:p>
        </w:tc>
        <w:tc>
          <w:tcPr>
            <w:tcW w:w="119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c>
          <w:tcPr>
            <w:tcW w:w="9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439"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1</w:t>
            </w:r>
          </w:p>
        </w:tc>
        <w:tc>
          <w:tcPr>
            <w:tcW w:w="91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12</w:t>
            </w:r>
          </w:p>
        </w:tc>
        <w:tc>
          <w:tcPr>
            <w:tcW w:w="1110" w:type="dxa"/>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12</w:t>
            </w:r>
          </w:p>
        </w:tc>
        <w:tc>
          <w:tcPr>
            <w:tcW w:w="1070" w:type="dxa"/>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88.19%</w:t>
            </w:r>
          </w:p>
        </w:tc>
        <w:tc>
          <w:tcPr>
            <w:tcW w:w="94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12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118.9</w:t>
            </w:r>
          </w:p>
        </w:tc>
        <w:tc>
          <w:tcPr>
            <w:tcW w:w="90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119.1</w:t>
            </w:r>
          </w:p>
        </w:tc>
        <w:tc>
          <w:tcPr>
            <w:tcW w:w="119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21.4%</w:t>
            </w:r>
          </w:p>
        </w:tc>
        <w:tc>
          <w:tcPr>
            <w:tcW w:w="9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1439" w:type="dxa"/>
            <w:vMerge w:val="continue"/>
            <w:tcMar>
              <w:top w:w="0" w:type="dxa"/>
              <w:left w:w="108" w:type="dxa"/>
              <w:bottom w:w="0" w:type="dxa"/>
              <w:right w:w="108" w:type="dxa"/>
            </w:tcMar>
            <w:vAlign w:val="center"/>
          </w:tcPr>
          <w:p>
            <w:pPr>
              <w:pStyle w:val="49"/>
              <w:spacing w:before="120" w:after="120" w:line="252" w:lineRule="auto"/>
              <w:jc w:val="center"/>
            </w:pPr>
          </w:p>
        </w:tc>
        <w:tc>
          <w:tcPr>
            <w:tcW w:w="910" w:type="dxa"/>
            <w:vMerge w:val="continue"/>
            <w:tcMar>
              <w:top w:w="0" w:type="dxa"/>
              <w:left w:w="108" w:type="dxa"/>
              <w:bottom w:w="0" w:type="dxa"/>
              <w:right w:w="108" w:type="dxa"/>
            </w:tcMar>
            <w:vAlign w:val="center"/>
          </w:tcPr>
          <w:p>
            <w:pPr>
              <w:pStyle w:val="49"/>
              <w:spacing w:before="120" w:after="120" w:line="252" w:lineRule="auto"/>
              <w:jc w:val="center"/>
            </w:pPr>
          </w:p>
        </w:tc>
        <w:tc>
          <w:tcPr>
            <w:tcW w:w="1110" w:type="dxa"/>
            <w:vMerge w:val="continue"/>
            <w:tcMar>
              <w:top w:w="0" w:type="dxa"/>
              <w:left w:w="108" w:type="dxa"/>
              <w:bottom w:w="0" w:type="dxa"/>
              <w:right w:w="108" w:type="dxa"/>
            </w:tcMar>
            <w:vAlign w:val="center"/>
          </w:tcPr>
          <w:p>
            <w:pPr>
              <w:pStyle w:val="49"/>
              <w:spacing w:before="120" w:after="120" w:line="252" w:lineRule="auto"/>
              <w:jc w:val="center"/>
            </w:pPr>
          </w:p>
        </w:tc>
        <w:tc>
          <w:tcPr>
            <w:tcW w:w="1070" w:type="dxa"/>
            <w:vMerge w:val="continue"/>
            <w:tcMar>
              <w:top w:w="0" w:type="dxa"/>
              <w:left w:w="108" w:type="dxa"/>
              <w:bottom w:w="0" w:type="dxa"/>
              <w:right w:w="108" w:type="dxa"/>
            </w:tcMar>
            <w:vAlign w:val="center"/>
          </w:tcPr>
          <w:p>
            <w:pPr>
              <w:pStyle w:val="49"/>
              <w:spacing w:before="120" w:after="120" w:line="252" w:lineRule="auto"/>
              <w:jc w:val="center"/>
            </w:pPr>
          </w:p>
        </w:tc>
        <w:tc>
          <w:tcPr>
            <w:tcW w:w="94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12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116.2</w:t>
            </w:r>
          </w:p>
        </w:tc>
        <w:tc>
          <w:tcPr>
            <w:tcW w:w="90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116.4</w:t>
            </w:r>
          </w:p>
        </w:tc>
        <w:tc>
          <w:tcPr>
            <w:tcW w:w="119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22.8%</w:t>
            </w:r>
          </w:p>
        </w:tc>
        <w:tc>
          <w:tcPr>
            <w:tcW w:w="930" w:type="dxa"/>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22.7%</w:t>
            </w:r>
          </w:p>
        </w:tc>
      </w:tr>
    </w:tbl>
    <w:p>
      <w:pPr>
        <w:spacing w:before="120" w:after="120" w:line="256" w:lineRule="auto"/>
        <w:ind w:firstLine="0" w:firstLineChars="0"/>
      </w:pPr>
      <w:r>
        <w:rPr>
          <w:rFonts w:hint="eastAsia"/>
        </w:rPr>
        <w:t xml:space="preserve">According to the simulation results for CG in </w:t>
      </w:r>
      <w:r>
        <w:rPr>
          <w:rFonts w:hint="eastAsia"/>
          <w:b/>
          <w:bCs/>
        </w:rPr>
        <w:t>Table 14</w:t>
      </w:r>
      <w:r>
        <w:rPr>
          <w:rFonts w:hint="eastAsia"/>
        </w:rPr>
        <w:t>, the following can be observed:</w:t>
      </w:r>
    </w:p>
    <w:p>
      <w:pPr>
        <w:pStyle w:val="50"/>
        <w:spacing w:before="120" w:after="120" w:line="276" w:lineRule="auto"/>
        <w:jc w:val="both"/>
      </w:pPr>
      <w:bookmarkStart w:id="35" w:name="_Toc5113"/>
      <w:bookmarkStart w:id="36" w:name="_Toc26188"/>
      <w:bookmarkStart w:id="37" w:name="_Toc79216221"/>
      <w:bookmarkStart w:id="38" w:name="_Toc26756"/>
      <w:r>
        <w:t xml:space="preserve">Comparing to UE always on, following is observed for </w:t>
      </w:r>
      <w:r>
        <w:rPr>
          <w:b/>
          <w:bCs/>
          <w:u w:val="single"/>
        </w:rPr>
        <w:t xml:space="preserve">DL </w:t>
      </w:r>
      <w:r>
        <w:rPr>
          <w:rFonts w:hint="eastAsia"/>
          <w:b/>
          <w:bCs/>
          <w:u w:val="single"/>
        </w:rPr>
        <w:t>video</w:t>
      </w:r>
      <w:r>
        <w:rPr>
          <w:b/>
          <w:bCs/>
          <w:u w:val="single"/>
        </w:rPr>
        <w:t>-stream (</w:t>
      </w:r>
      <w:r>
        <w:rPr>
          <w:rFonts w:hint="eastAsia"/>
          <w:b/>
          <w:bCs/>
          <w:u w:val="single"/>
          <w:lang w:val="en-US" w:eastAsia="zh-CN"/>
        </w:rPr>
        <w:t>30</w:t>
      </w:r>
      <w:r>
        <w:rPr>
          <w:b/>
          <w:bCs/>
          <w:u w:val="single"/>
        </w:rPr>
        <w:t>Mbps, 1</w:t>
      </w:r>
      <w:r>
        <w:rPr>
          <w:rFonts w:hint="eastAsia"/>
          <w:b/>
          <w:bCs/>
          <w:u w:val="single"/>
          <w:lang w:val="en-US" w:eastAsia="zh-CN"/>
        </w:rPr>
        <w:t>5</w:t>
      </w:r>
      <w:r>
        <w:rPr>
          <w:b/>
          <w:bCs/>
          <w:u w:val="single"/>
        </w:rPr>
        <w:t>ms PDB</w:t>
      </w:r>
      <w:r>
        <w:rPr>
          <w:rFonts w:hint="eastAsia"/>
          <w:b/>
          <w:bCs/>
          <w:u w:val="single"/>
        </w:rPr>
        <w:t>) +</w:t>
      </w:r>
      <w:r>
        <w:rPr>
          <w:b/>
          <w:bCs/>
          <w:u w:val="single"/>
        </w:rPr>
        <w:t xml:space="preserve"> UL pose/control-stream (0.2Mbps, 10ms PDB)</w:t>
      </w:r>
      <w:r>
        <w:rPr>
          <w:rFonts w:hint="eastAsia"/>
          <w:lang w:val="en-US" w:eastAsia="zh-CN"/>
        </w:rPr>
        <w:t xml:space="preserve"> in Indoor scenario</w:t>
      </w:r>
      <w:r>
        <w:t>:</w:t>
      </w:r>
      <w:bookmarkEnd w:id="35"/>
    </w:p>
    <w:p>
      <w:pPr>
        <w:pStyle w:val="50"/>
        <w:numPr>
          <w:ilvl w:val="-1"/>
          <w:numId w:val="0"/>
        </w:numPr>
        <w:tabs>
          <w:tab w:val="clear" w:pos="0"/>
        </w:tabs>
        <w:spacing w:before="120" w:after="120" w:line="276" w:lineRule="auto"/>
        <w:jc w:val="both"/>
      </w:pPr>
      <w:bookmarkStart w:id="39" w:name="_Toc7356"/>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21.3</w:t>
      </w:r>
      <w:r>
        <w:t>%</w:t>
      </w:r>
      <w:r>
        <w:rPr>
          <w:rFonts w:hint="eastAsia"/>
          <w:lang w:val="en-US" w:eastAsia="zh-CN"/>
        </w:rPr>
        <w:t>,22.7%</w:t>
      </w:r>
      <w:r>
        <w:t xml:space="preserve">} for </w:t>
      </w:r>
      <w:r>
        <w:rPr>
          <w:rFonts w:hint="eastAsia"/>
          <w:lang w:val="en-US" w:eastAsia="zh-CN"/>
        </w:rPr>
        <w:t xml:space="preserve">high </w:t>
      </w:r>
      <w:r>
        <w:t>load with</w:t>
      </w:r>
      <w:r>
        <w:rPr>
          <w:rFonts w:hint="eastAsia"/>
          <w:lang w:val="en-US" w:eastAsia="zh-CN"/>
        </w:rPr>
        <w:t xml:space="preserve"> 8.34% </w:t>
      </w:r>
      <w:r>
        <w:t>of satisfied UE loss.</w:t>
      </w:r>
      <w:bookmarkEnd w:id="39"/>
    </w:p>
    <w:bookmarkEnd w:id="36"/>
    <w:bookmarkEnd w:id="37"/>
    <w:bookmarkEnd w:id="38"/>
    <w:p>
      <w:pPr>
        <w:pStyle w:val="3"/>
        <w:spacing w:before="120" w:after="120"/>
        <w:ind w:left="991" w:right="210" w:hanging="991" w:hangingChars="354"/>
        <w:rPr>
          <w:rFonts w:eastAsia="宋体"/>
          <w:szCs w:val="22"/>
        </w:rPr>
      </w:pPr>
      <w:r>
        <w:rPr>
          <w:rFonts w:hint="eastAsia" w:eastAsia="宋体"/>
          <w:szCs w:val="22"/>
        </w:rPr>
        <w:t>DL simulation results</w:t>
      </w:r>
    </w:p>
    <w:p>
      <w:pPr>
        <w:spacing w:before="120" w:after="120"/>
      </w:pPr>
      <w:r>
        <w:t xml:space="preserve">The </w:t>
      </w:r>
      <w:r>
        <w:rPr>
          <w:rFonts w:hint="eastAsia"/>
        </w:rPr>
        <w:t>results</w:t>
      </w:r>
      <w:r>
        <w:t xml:space="preserve"> considering </w:t>
      </w:r>
      <w:r>
        <w:rPr>
          <w:rFonts w:hint="eastAsia"/>
        </w:rPr>
        <w:t>only</w:t>
      </w:r>
      <w:r>
        <w:t xml:space="preserve"> </w:t>
      </w:r>
      <w:r>
        <w:rPr>
          <w:rFonts w:hint="eastAsia"/>
        </w:rPr>
        <w:t>DL state</w:t>
      </w:r>
      <w:r>
        <w:t>s</w:t>
      </w:r>
      <w:r>
        <w:rPr>
          <w:rFonts w:hint="eastAsia"/>
        </w:rPr>
        <w:t xml:space="preserve"> </w:t>
      </w:r>
      <w:r>
        <w:t>in the evaluation</w:t>
      </w:r>
      <w:r>
        <w:rPr>
          <w:rFonts w:hint="eastAsia"/>
        </w:rPr>
        <w:t xml:space="preserve"> are provided in this section. In </w:t>
      </w:r>
      <w:r>
        <w:t xml:space="preserve">the </w:t>
      </w:r>
      <w:r>
        <w:rPr>
          <w:rFonts w:hint="eastAsia"/>
        </w:rPr>
        <w:t xml:space="preserve">DL only evaluation, the state of UL slots are all set to </w:t>
      </w:r>
      <w:r>
        <w:t>“</w:t>
      </w:r>
      <w:r>
        <w:rPr>
          <w:rFonts w:hint="eastAsia"/>
        </w:rPr>
        <w:t>sleep state</w:t>
      </w:r>
      <w:r>
        <w:t>”</w:t>
      </w:r>
      <w:r>
        <w:rPr>
          <w:rFonts w:hint="eastAsia"/>
        </w:rPr>
        <w:t>.</w:t>
      </w:r>
    </w:p>
    <w:p>
      <w:pPr>
        <w:pStyle w:val="4"/>
        <w:spacing w:after="120"/>
        <w:ind w:right="210"/>
      </w:pPr>
      <w:r>
        <w:rPr>
          <w:rFonts w:hint="eastAsia"/>
        </w:rPr>
        <w:t>FR1 InH DL</w:t>
      </w:r>
    </w:p>
    <w:p>
      <w:pPr>
        <w:spacing w:before="120" w:after="120"/>
      </w:pPr>
      <w:r>
        <w:rPr>
          <w:rFonts w:hint="eastAsia"/>
        </w:rPr>
        <w:t xml:space="preserve">The power </w:t>
      </w:r>
      <w:r>
        <w:t xml:space="preserve">consumption </w:t>
      </w:r>
      <w:r>
        <w:rPr>
          <w:rFonts w:hint="eastAsia"/>
        </w:rPr>
        <w:t xml:space="preserve">results of only DL VR traffic with 10ms PDB are shown in </w:t>
      </w:r>
      <w:r>
        <w:rPr>
          <w:rFonts w:hint="eastAsia"/>
          <w:b/>
          <w:bCs/>
        </w:rPr>
        <w:t>Table 15-17</w:t>
      </w:r>
      <w:r>
        <w:rPr>
          <w:rFonts w:hint="eastAsia"/>
        </w:rPr>
        <w:t xml:space="preserve">. The power </w:t>
      </w:r>
      <w:r>
        <w:t xml:space="preserve">consumption </w:t>
      </w:r>
      <w:r>
        <w:rPr>
          <w:rFonts w:hint="eastAsia"/>
        </w:rPr>
        <w:t xml:space="preserve">results of only DL CG traffic with 15ms PDB are shown in </w:t>
      </w:r>
      <w:r>
        <w:rPr>
          <w:rFonts w:hint="eastAsia"/>
          <w:b/>
          <w:bCs/>
        </w:rPr>
        <w:t>Table 18</w:t>
      </w:r>
      <w:r>
        <w:rPr>
          <w:rFonts w:hint="eastAsia"/>
        </w:rPr>
        <w:t>.</w:t>
      </w:r>
    </w:p>
    <w:p>
      <w:pPr>
        <w:spacing w:before="120" w:after="120" w:line="256" w:lineRule="auto"/>
        <w:jc w:val="center"/>
      </w:pPr>
      <w:r>
        <w:rPr>
          <w:rFonts w:hint="eastAsia"/>
          <w:szCs w:val="22"/>
        </w:rPr>
        <w:t>Table 15</w:t>
      </w:r>
      <w:r>
        <w:rPr>
          <w:szCs w:val="22"/>
        </w:rPr>
        <w:t xml:space="preserve"> </w:t>
      </w:r>
      <w:r>
        <w:t xml:space="preserve">FR1 power consumption results in Indoor Hotspot scenario </w:t>
      </w:r>
      <w:r>
        <w:rPr>
          <w:rFonts w:hint="eastAsia"/>
        </w:rPr>
        <w:t>(TM1-1 only)</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6"/>
        <w:gridCol w:w="941"/>
        <w:gridCol w:w="1751"/>
        <w:gridCol w:w="1639"/>
        <w:gridCol w:w="1348"/>
        <w:gridCol w:w="937"/>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06" w:type="pc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476" w:type="pc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886" w:type="pct"/>
            <w:tcMar>
              <w:top w:w="0" w:type="dxa"/>
              <w:left w:w="108" w:type="dxa"/>
              <w:bottom w:w="0" w:type="dxa"/>
              <w:right w:w="108" w:type="dxa"/>
            </w:tcMar>
            <w:vAlign w:val="center"/>
          </w:tcPr>
          <w:p>
            <w:pPr>
              <w:pStyle w:val="49"/>
              <w:spacing w:before="120" w:after="120"/>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C1=floor(capacity)</w:t>
            </w:r>
          </w:p>
        </w:tc>
        <w:tc>
          <w:tcPr>
            <w:tcW w:w="829" w:type="pc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682" w:type="pc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474" w:type="pc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Mean power</w:t>
            </w:r>
          </w:p>
        </w:tc>
        <w:tc>
          <w:tcPr>
            <w:tcW w:w="943" w:type="pct"/>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706"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476"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886" w:type="pct"/>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11</w:t>
            </w:r>
          </w:p>
        </w:tc>
        <w:tc>
          <w:tcPr>
            <w:tcW w:w="829"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93.18%</w:t>
            </w: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119.2</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continue"/>
            <w:tcMar>
              <w:top w:w="0" w:type="dxa"/>
              <w:left w:w="108" w:type="dxa"/>
              <w:bottom w:w="0" w:type="dxa"/>
              <w:right w:w="108" w:type="dxa"/>
            </w:tcMar>
            <w:vAlign w:val="center"/>
          </w:tcPr>
          <w:p>
            <w:pPr>
              <w:pStyle w:val="49"/>
              <w:spacing w:before="120" w:after="120" w:line="252" w:lineRule="auto"/>
              <w:jc w:val="center"/>
            </w:pPr>
          </w:p>
        </w:tc>
        <w:tc>
          <w:tcPr>
            <w:tcW w:w="886" w:type="pct"/>
            <w:vMerge w:val="continue"/>
            <w:tcMar>
              <w:top w:w="0" w:type="dxa"/>
              <w:left w:w="108" w:type="dxa"/>
              <w:bottom w:w="0" w:type="dxa"/>
              <w:right w:w="108" w:type="dxa"/>
            </w:tcMar>
            <w:vAlign w:val="center"/>
          </w:tcPr>
          <w:p>
            <w:pPr>
              <w:pStyle w:val="49"/>
              <w:spacing w:before="120" w:after="120" w:line="252" w:lineRule="auto"/>
              <w:jc w:val="center"/>
            </w:pPr>
          </w:p>
        </w:tc>
        <w:tc>
          <w:tcPr>
            <w:tcW w:w="829" w:type="pct"/>
            <w:vMerge w:val="continue"/>
            <w:tcMar>
              <w:top w:w="0" w:type="dxa"/>
              <w:left w:w="108" w:type="dxa"/>
              <w:bottom w:w="0" w:type="dxa"/>
              <w:right w:w="108" w:type="dxa"/>
            </w:tcMar>
            <w:vAlign w:val="center"/>
          </w:tcPr>
          <w:p>
            <w:pPr>
              <w:pStyle w:val="49"/>
              <w:spacing w:before="120" w:after="120" w:line="252" w:lineRule="auto"/>
              <w:jc w:val="center"/>
            </w:pP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118.2</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lang w:val="en-US" w:eastAsia="zh-CN"/>
              </w:rPr>
              <w:t>10</w:t>
            </w:r>
          </w:p>
        </w:tc>
        <w:tc>
          <w:tcPr>
            <w:tcW w:w="886" w:type="pct"/>
            <w:vMerge w:val="restart"/>
            <w:tcMar>
              <w:top w:w="0" w:type="dxa"/>
              <w:left w:w="108" w:type="dxa"/>
              <w:bottom w:w="0" w:type="dxa"/>
              <w:right w:w="108" w:type="dxa"/>
            </w:tcMar>
            <w:vAlign w:val="center"/>
          </w:tcPr>
          <w:p>
            <w:pPr>
              <w:pStyle w:val="49"/>
              <w:spacing w:before="120" w:after="120" w:line="252" w:lineRule="auto"/>
              <w:jc w:val="center"/>
              <w:rPr>
                <w:rFonts w:hint="default" w:eastAsia="宋体"/>
                <w:lang w:val="en-US" w:eastAsia="zh-CN"/>
              </w:rPr>
            </w:pPr>
            <w:r>
              <w:rPr>
                <w:rFonts w:hint="eastAsia" w:ascii="Times New Roman" w:hAnsi="Times New Roman" w:cs="Times New Roman"/>
                <w:sz w:val="20"/>
                <w:lang w:val="en-US" w:eastAsia="zh-CN"/>
              </w:rPr>
              <w:t>11</w:t>
            </w:r>
          </w:p>
        </w:tc>
        <w:tc>
          <w:tcPr>
            <w:tcW w:w="829" w:type="pct"/>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rPr>
              <w:t>93%</w:t>
            </w: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120.6</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continue"/>
            <w:tcMar>
              <w:top w:w="0" w:type="dxa"/>
              <w:left w:w="108" w:type="dxa"/>
              <w:bottom w:w="0" w:type="dxa"/>
              <w:right w:w="108" w:type="dxa"/>
            </w:tcMar>
            <w:vAlign w:val="center"/>
          </w:tcPr>
          <w:p>
            <w:pPr>
              <w:pStyle w:val="49"/>
              <w:spacing w:before="120" w:after="120" w:line="252" w:lineRule="auto"/>
              <w:jc w:val="center"/>
            </w:pPr>
          </w:p>
        </w:tc>
        <w:tc>
          <w:tcPr>
            <w:tcW w:w="886" w:type="pct"/>
            <w:vMerge w:val="continue"/>
            <w:tcMar>
              <w:top w:w="0" w:type="dxa"/>
              <w:left w:w="108" w:type="dxa"/>
              <w:bottom w:w="0" w:type="dxa"/>
              <w:right w:w="108" w:type="dxa"/>
            </w:tcMar>
            <w:vAlign w:val="center"/>
          </w:tcPr>
          <w:p>
            <w:pPr>
              <w:pStyle w:val="49"/>
              <w:spacing w:before="120" w:after="120" w:line="252" w:lineRule="auto"/>
              <w:jc w:val="center"/>
            </w:pPr>
          </w:p>
        </w:tc>
        <w:tc>
          <w:tcPr>
            <w:tcW w:w="829" w:type="pct"/>
            <w:vMerge w:val="continue"/>
            <w:tcMar>
              <w:top w:w="0" w:type="dxa"/>
              <w:left w:w="108" w:type="dxa"/>
              <w:bottom w:w="0" w:type="dxa"/>
              <w:right w:w="108" w:type="dxa"/>
            </w:tcMar>
            <w:vAlign w:val="center"/>
          </w:tcPr>
          <w:p>
            <w:pPr>
              <w:pStyle w:val="49"/>
              <w:spacing w:before="120" w:after="120" w:line="252" w:lineRule="auto"/>
              <w:jc w:val="center"/>
            </w:pP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119.5</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706"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1</w:t>
            </w:r>
          </w:p>
        </w:tc>
        <w:tc>
          <w:tcPr>
            <w:tcW w:w="476"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886" w:type="pct"/>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11</w:t>
            </w:r>
          </w:p>
        </w:tc>
        <w:tc>
          <w:tcPr>
            <w:tcW w:w="829"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83%</w:t>
            </w: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79.8</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continue"/>
            <w:tcMar>
              <w:top w:w="0" w:type="dxa"/>
              <w:left w:w="108" w:type="dxa"/>
              <w:bottom w:w="0" w:type="dxa"/>
              <w:right w:w="108" w:type="dxa"/>
            </w:tcMar>
            <w:vAlign w:val="center"/>
          </w:tcPr>
          <w:p>
            <w:pPr>
              <w:pStyle w:val="49"/>
              <w:spacing w:before="120" w:after="120" w:line="252" w:lineRule="auto"/>
              <w:jc w:val="center"/>
            </w:pPr>
          </w:p>
        </w:tc>
        <w:tc>
          <w:tcPr>
            <w:tcW w:w="886" w:type="pct"/>
            <w:vMerge w:val="continue"/>
            <w:tcMar>
              <w:top w:w="0" w:type="dxa"/>
              <w:left w:w="108" w:type="dxa"/>
              <w:bottom w:w="0" w:type="dxa"/>
              <w:right w:w="108" w:type="dxa"/>
            </w:tcMar>
            <w:vAlign w:val="center"/>
          </w:tcPr>
          <w:p>
            <w:pPr>
              <w:pStyle w:val="49"/>
              <w:spacing w:before="120" w:after="120" w:line="252" w:lineRule="auto"/>
              <w:jc w:val="center"/>
            </w:pPr>
          </w:p>
        </w:tc>
        <w:tc>
          <w:tcPr>
            <w:tcW w:w="829" w:type="pct"/>
            <w:vMerge w:val="continue"/>
            <w:tcMar>
              <w:top w:w="0" w:type="dxa"/>
              <w:left w:w="108" w:type="dxa"/>
              <w:bottom w:w="0" w:type="dxa"/>
              <w:right w:w="108" w:type="dxa"/>
            </w:tcMar>
            <w:vAlign w:val="center"/>
          </w:tcPr>
          <w:p>
            <w:pPr>
              <w:pStyle w:val="49"/>
              <w:spacing w:before="120" w:after="120" w:line="252" w:lineRule="auto"/>
              <w:jc w:val="center"/>
            </w:pP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77</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cs="Times New Roman"/>
                <w:sz w:val="20"/>
              </w:rPr>
            </w:pPr>
            <w:r>
              <w:rPr>
                <w:rFonts w:hint="eastAsia" w:ascii="Times New Roman" w:hAnsi="Times New Roman" w:cs="Times New Roman"/>
                <w:sz w:val="20"/>
              </w:rPr>
              <w:t>10</w:t>
            </w:r>
          </w:p>
        </w:tc>
        <w:tc>
          <w:tcPr>
            <w:tcW w:w="886" w:type="pct"/>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11</w:t>
            </w:r>
          </w:p>
        </w:tc>
        <w:tc>
          <w:tcPr>
            <w:tcW w:w="829" w:type="pct"/>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rPr>
              <w:t>85.83%</w:t>
            </w: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81.6</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continue"/>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cs="Times New Roman"/>
                <w:sz w:val="20"/>
              </w:rPr>
            </w:pPr>
          </w:p>
        </w:tc>
        <w:tc>
          <w:tcPr>
            <w:tcW w:w="886" w:type="pct"/>
            <w:vMerge w:val="continue"/>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cs="Times New Roman"/>
                <w:sz w:val="20"/>
              </w:rPr>
            </w:pPr>
          </w:p>
        </w:tc>
        <w:tc>
          <w:tcPr>
            <w:tcW w:w="829" w:type="pct"/>
            <w:vMerge w:val="continue"/>
            <w:tcMar>
              <w:top w:w="0" w:type="dxa"/>
              <w:left w:w="108" w:type="dxa"/>
              <w:bottom w:w="0" w:type="dxa"/>
              <w:right w:w="108" w:type="dxa"/>
            </w:tcMar>
            <w:vAlign w:val="center"/>
          </w:tcPr>
          <w:p>
            <w:pPr>
              <w:pStyle w:val="49"/>
              <w:spacing w:before="120" w:after="120" w:line="252" w:lineRule="auto"/>
              <w:jc w:val="center"/>
            </w:pP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78</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706" w:type="pct"/>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pPr>
            <w:r>
              <w:rPr>
                <w:rFonts w:hint="eastAsia" w:ascii="Times New Roman" w:hAnsi="Times New Roman" w:cs="Times New Roman"/>
                <w:sz w:val="20"/>
              </w:rPr>
              <w:t>DRX setting 2</w:t>
            </w:r>
          </w:p>
        </w:tc>
        <w:tc>
          <w:tcPr>
            <w:tcW w:w="476" w:type="pct"/>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cs="Times New Roman"/>
                <w:sz w:val="20"/>
              </w:rPr>
            </w:pPr>
            <w:r>
              <w:rPr>
                <w:rFonts w:hint="eastAsia" w:ascii="Times New Roman" w:hAnsi="Times New Roman" w:cs="Times New Roman"/>
                <w:sz w:val="20"/>
              </w:rPr>
              <w:t>11</w:t>
            </w:r>
          </w:p>
        </w:tc>
        <w:tc>
          <w:tcPr>
            <w:tcW w:w="886" w:type="pct"/>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11</w:t>
            </w:r>
          </w:p>
        </w:tc>
        <w:tc>
          <w:tcPr>
            <w:tcW w:w="829" w:type="pct"/>
            <w:vMerge w:val="restart"/>
            <w:tcMar>
              <w:top w:w="0" w:type="dxa"/>
              <w:left w:w="108" w:type="dxa"/>
              <w:bottom w:w="0" w:type="dxa"/>
              <w:right w:w="108" w:type="dxa"/>
            </w:tcMar>
            <w:vAlign w:val="center"/>
          </w:tcPr>
          <w:p>
            <w:pPr>
              <w:pStyle w:val="49"/>
              <w:spacing w:before="120" w:after="120" w:line="252" w:lineRule="auto"/>
              <w:jc w:val="center"/>
            </w:pPr>
            <w:r>
              <w:rPr>
                <w:rFonts w:hint="eastAsia" w:ascii="Times New Roman" w:hAnsi="Times New Roman" w:cs="Times New Roman"/>
                <w:sz w:val="20"/>
              </w:rPr>
              <w:t>87.12%</w:t>
            </w: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84.7</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1" w:hRule="atLeast"/>
          <w:jc w:val="center"/>
        </w:trPr>
        <w:tc>
          <w:tcPr>
            <w:tcW w:w="706" w:type="pct"/>
            <w:vMerge w:val="continue"/>
            <w:tcMar>
              <w:top w:w="0" w:type="dxa"/>
              <w:left w:w="108" w:type="dxa"/>
              <w:bottom w:w="0" w:type="dxa"/>
              <w:right w:w="108" w:type="dxa"/>
            </w:tcMar>
            <w:vAlign w:val="center"/>
          </w:tcPr>
          <w:p>
            <w:pPr>
              <w:pStyle w:val="49"/>
              <w:spacing w:before="120" w:after="120" w:line="252" w:lineRule="auto"/>
              <w:jc w:val="center"/>
            </w:pPr>
          </w:p>
        </w:tc>
        <w:tc>
          <w:tcPr>
            <w:tcW w:w="476" w:type="pct"/>
            <w:vMerge w:val="continue"/>
            <w:tcMar>
              <w:top w:w="0" w:type="dxa"/>
              <w:left w:w="108" w:type="dxa"/>
              <w:bottom w:w="0" w:type="dxa"/>
              <w:right w:w="108" w:type="dxa"/>
            </w:tcMar>
            <w:vAlign w:val="center"/>
          </w:tcPr>
          <w:p>
            <w:pPr>
              <w:pStyle w:val="49"/>
              <w:spacing w:before="120" w:after="120" w:line="252" w:lineRule="auto"/>
              <w:jc w:val="center"/>
            </w:pPr>
          </w:p>
        </w:tc>
        <w:tc>
          <w:tcPr>
            <w:tcW w:w="886" w:type="pct"/>
            <w:vMerge w:val="continue"/>
            <w:tcMar>
              <w:top w:w="0" w:type="dxa"/>
              <w:left w:w="108" w:type="dxa"/>
              <w:bottom w:w="0" w:type="dxa"/>
              <w:right w:w="108" w:type="dxa"/>
            </w:tcMar>
            <w:vAlign w:val="center"/>
          </w:tcPr>
          <w:p>
            <w:pPr>
              <w:pStyle w:val="49"/>
              <w:spacing w:before="120" w:after="120" w:line="252" w:lineRule="auto"/>
              <w:jc w:val="center"/>
            </w:pPr>
          </w:p>
        </w:tc>
        <w:tc>
          <w:tcPr>
            <w:tcW w:w="829" w:type="pct"/>
            <w:vMerge w:val="continue"/>
            <w:tcMar>
              <w:top w:w="0" w:type="dxa"/>
              <w:left w:w="108" w:type="dxa"/>
              <w:bottom w:w="0" w:type="dxa"/>
              <w:right w:w="108" w:type="dxa"/>
            </w:tcMar>
            <w:vAlign w:val="center"/>
          </w:tcPr>
          <w:p>
            <w:pPr>
              <w:pStyle w:val="49"/>
              <w:spacing w:before="120" w:after="120" w:line="252" w:lineRule="auto"/>
              <w:jc w:val="center"/>
            </w:pPr>
          </w:p>
        </w:tc>
        <w:tc>
          <w:tcPr>
            <w:tcW w:w="682"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474"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82.9</w:t>
            </w:r>
          </w:p>
        </w:tc>
        <w:tc>
          <w:tcPr>
            <w:tcW w:w="943" w:type="pc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30%</w:t>
            </w:r>
          </w:p>
        </w:tc>
      </w:tr>
    </w:tbl>
    <w:p>
      <w:pPr>
        <w:spacing w:before="120" w:after="120" w:line="256" w:lineRule="auto"/>
        <w:jc w:val="center"/>
      </w:pPr>
      <w:r>
        <w:rPr>
          <w:rFonts w:hint="eastAsia"/>
          <w:szCs w:val="22"/>
        </w:rPr>
        <w:t>Table 16</w:t>
      </w:r>
      <w:r>
        <w:rPr>
          <w:szCs w:val="22"/>
        </w:rPr>
        <w:t xml:space="preserve"> </w:t>
      </w:r>
      <w:r>
        <w:t xml:space="preserve">FR1 power consumption results in Indoor Hotspot scenario </w:t>
      </w:r>
      <w:r>
        <w:rPr>
          <w:rFonts w:hint="eastAsia"/>
        </w:rPr>
        <w:t>(TM1-2 only)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5"/>
        <w:gridCol w:w="942"/>
        <w:gridCol w:w="1751"/>
        <w:gridCol w:w="1639"/>
        <w:gridCol w:w="1349"/>
        <w:gridCol w:w="937"/>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1" w:hRule="atLeast"/>
        </w:trPr>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pPr>
              <w:pStyle w:val="49"/>
              <w:spacing w:before="120" w:after="120"/>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C1=floor(capacity)</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Mean power</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93.2%</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119.6</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118.4</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restart"/>
            <w:tcMar>
              <w:top w:w="0" w:type="dxa"/>
              <w:left w:w="108" w:type="dxa"/>
              <w:bottom w:w="0" w:type="dxa"/>
              <w:right w:w="108" w:type="dxa"/>
            </w:tcMar>
            <w:vAlign w:val="center"/>
          </w:tcPr>
          <w:p>
            <w:pPr>
              <w:pStyle w:val="49"/>
              <w:spacing w:before="120" w:after="120" w:line="252" w:lineRule="auto"/>
              <w:jc w:val="center"/>
            </w:pPr>
            <w:r>
              <w:rPr>
                <w:rFonts w:hint="eastAsia"/>
              </w:rPr>
              <w:t>10</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default" w:eastAsia="宋体"/>
                <w:lang w:val="en-US" w:eastAsia="zh-CN"/>
              </w:rPr>
            </w:pPr>
            <w:r>
              <w:rPr>
                <w:rFonts w:hint="eastAsia"/>
                <w:lang w:val="en-US" w:eastAsia="zh-CN"/>
              </w:rPr>
              <w:t>11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93.3%</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118</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117</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85.6%</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80.2</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77.2</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restart"/>
            <w:tcMar>
              <w:top w:w="0" w:type="dxa"/>
              <w:left w:w="108" w:type="dxa"/>
              <w:bottom w:w="0" w:type="dxa"/>
              <w:right w:w="108" w:type="dxa"/>
            </w:tcMar>
            <w:vAlign w:val="center"/>
          </w:tcPr>
          <w:p>
            <w:pPr>
              <w:pStyle w:val="49"/>
              <w:spacing w:before="120" w:after="120" w:line="252" w:lineRule="auto"/>
              <w:jc w:val="center"/>
            </w:pPr>
            <w:r>
              <w:rPr>
                <w:rFonts w:hint="eastAsia"/>
              </w:rPr>
              <w:t>10</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default" w:eastAsia="宋体"/>
                <w:lang w:val="en-US" w:eastAsia="zh-CN"/>
              </w:rPr>
            </w:pPr>
            <w:r>
              <w:rPr>
                <w:rFonts w:hint="eastAsia"/>
                <w:lang w:val="en-US" w:eastAsia="zh-CN"/>
              </w:rPr>
              <w:t>11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90.3%</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77.8</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76.7</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34.4%</w:t>
            </w:r>
          </w:p>
        </w:tc>
      </w:tr>
    </w:tbl>
    <w:p>
      <w:pPr>
        <w:spacing w:before="120" w:after="120" w:line="256" w:lineRule="auto"/>
        <w:jc w:val="center"/>
      </w:pPr>
      <w:r>
        <w:rPr>
          <w:rFonts w:hint="eastAsia"/>
          <w:szCs w:val="22"/>
        </w:rPr>
        <w:t>Table 17</w:t>
      </w:r>
      <w:r>
        <w:rPr>
          <w:szCs w:val="22"/>
        </w:rPr>
        <w:t xml:space="preserve"> </w:t>
      </w:r>
      <w:r>
        <w:t xml:space="preserve">FR1 power consumption results in Indoor Hotspot scenario </w:t>
      </w:r>
      <w:r>
        <w:rPr>
          <w:rFonts w:hint="eastAsia"/>
        </w:rPr>
        <w:t>(TM3 only)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5"/>
        <w:gridCol w:w="942"/>
        <w:gridCol w:w="1751"/>
        <w:gridCol w:w="1639"/>
        <w:gridCol w:w="1349"/>
        <w:gridCol w:w="937"/>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pPr>
              <w:pStyle w:val="49"/>
              <w:spacing w:before="120" w:after="120"/>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C1=floor(capacity)</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0" w:type="auto"/>
            <w:tcMar>
              <w:top w:w="0" w:type="dxa"/>
              <w:left w:w="108" w:type="dxa"/>
              <w:bottom w:w="0" w:type="dxa"/>
              <w:right w:w="108" w:type="dxa"/>
            </w:tcMar>
            <w:vAlign w:val="center"/>
          </w:tcPr>
          <w:p>
            <w:pPr>
              <w:pStyle w:val="49"/>
              <w:spacing w:before="120" w:after="120"/>
              <w:jc w:val="center"/>
            </w:pPr>
            <w:r>
              <w:rPr>
                <w:rFonts w:hint="eastAsia" w:ascii="Times New Roman" w:hAnsi="Times New Roman" w:cs="Times New Roman"/>
                <w:sz w:val="20"/>
              </w:rPr>
              <w:t>Mean power</w:t>
            </w:r>
          </w:p>
        </w:tc>
        <w:tc>
          <w:tcPr>
            <w:tcW w:w="0" w:type="auto"/>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91%</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113.4</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1</w:t>
            </w:r>
            <w:r>
              <w:rPr>
                <w:rFonts w:hint="eastAsia" w:ascii="Times New Roman" w:hAnsi="Times New Roman" w:cs="Times New Roman"/>
                <w:sz w:val="20"/>
              </w:rPr>
              <w:t>12.2</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2</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86.3%</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79.7</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76</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32.3%</w:t>
            </w:r>
          </w:p>
        </w:tc>
      </w:tr>
    </w:tbl>
    <w:p>
      <w:pPr>
        <w:spacing w:before="120" w:after="120" w:line="256" w:lineRule="auto"/>
        <w:jc w:val="center"/>
      </w:pPr>
      <w:r>
        <w:rPr>
          <w:rFonts w:hint="eastAsia"/>
          <w:szCs w:val="22"/>
        </w:rPr>
        <w:t>Table 18</w:t>
      </w:r>
      <w:r>
        <w:rPr>
          <w:szCs w:val="22"/>
        </w:rPr>
        <w:t xml:space="preserve"> </w:t>
      </w:r>
      <w:r>
        <w:t>FR1 power consumption results in Indoor Hotspot scenario</w:t>
      </w:r>
      <w:r>
        <w:rPr>
          <w:rFonts w:hint="eastAsia"/>
        </w:rPr>
        <w:t xml:space="preserve"> for CG</w:t>
      </w:r>
      <w:r>
        <w:t xml:space="preserve"> </w:t>
      </w:r>
      <w:r>
        <w:rPr>
          <w:rFonts w:hint="eastAsia"/>
        </w:rPr>
        <w:t>(TM2 only)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2"/>
        <w:gridCol w:w="940"/>
        <w:gridCol w:w="1751"/>
        <w:gridCol w:w="1634"/>
        <w:gridCol w:w="1345"/>
        <w:gridCol w:w="959"/>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3" w:hRule="atLeast"/>
        </w:trPr>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pPr>
              <w:pStyle w:val="49"/>
              <w:spacing w:before="120" w:after="120"/>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C1=floor(capacity)</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0" w:type="auto"/>
            <w:tcMar>
              <w:top w:w="0" w:type="dxa"/>
              <w:left w:w="108" w:type="dxa"/>
              <w:bottom w:w="0" w:type="dxa"/>
              <w:right w:w="108" w:type="dxa"/>
            </w:tcMar>
            <w:vAlign w:val="center"/>
          </w:tcPr>
          <w:p>
            <w:pPr>
              <w:pStyle w:val="49"/>
              <w:spacing w:before="120" w:after="120"/>
              <w:jc w:val="center"/>
            </w:pPr>
            <w:r>
              <w:rPr>
                <w:rFonts w:hint="eastAsia" w:ascii="Times New Roman" w:hAnsi="Times New Roman" w:cs="Times New Roman"/>
                <w:sz w:val="20"/>
              </w:rPr>
              <w:t>Mean power</w:t>
            </w:r>
          </w:p>
        </w:tc>
        <w:tc>
          <w:tcPr>
            <w:tcW w:w="0" w:type="auto"/>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12</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12</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96.53%</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120.4</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119.64</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1</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12</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12</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88.19%</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81.4</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78.4</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34.5%</w:t>
            </w:r>
          </w:p>
        </w:tc>
      </w:tr>
    </w:tbl>
    <w:p>
      <w:pPr>
        <w:spacing w:before="120" w:after="120"/>
        <w:rPr>
          <w:rFonts w:hint="eastAsia"/>
        </w:rPr>
      </w:pPr>
      <w:r>
        <w:rPr>
          <w:rFonts w:hint="eastAsia"/>
        </w:rPr>
        <w:t xml:space="preserve">According to the power evaluation results in </w:t>
      </w:r>
      <w:r>
        <w:rPr>
          <w:rFonts w:hint="eastAsia"/>
          <w:b/>
          <w:bCs/>
        </w:rPr>
        <w:t>Table 15-1</w:t>
      </w:r>
      <w:r>
        <w:rPr>
          <w:rFonts w:hint="eastAsia"/>
          <w:b/>
          <w:bCs/>
          <w:lang w:val="en-US" w:eastAsia="zh-CN"/>
        </w:rPr>
        <w:t>8</w:t>
      </w:r>
      <w:r>
        <w:rPr>
          <w:rFonts w:hint="eastAsia"/>
        </w:rPr>
        <w:t xml:space="preserve">, eCDRX can provide 29%-34% power saving gain with 3%-10% capacity loss. </w:t>
      </w:r>
      <w:r>
        <w:t>As</w:t>
      </w:r>
      <w:r>
        <w:rPr>
          <w:rFonts w:hint="eastAsia"/>
        </w:rPr>
        <w:t xml:space="preserve"> the UL slots are all set to </w:t>
      </w:r>
      <w:r>
        <w:t>“</w:t>
      </w:r>
      <w:r>
        <w:rPr>
          <w:rFonts w:hint="eastAsia"/>
        </w:rPr>
        <w:t>sleep states</w:t>
      </w:r>
      <w:r>
        <w:t>”</w:t>
      </w:r>
      <w:r>
        <w:rPr>
          <w:rFonts w:hint="eastAsia"/>
        </w:rPr>
        <w:t xml:space="preserve"> in DL only evaluation, the power saving gain for DL only evaluation is greater than the</w:t>
      </w:r>
      <w:r>
        <w:t xml:space="preserve"> gain obtained in</w:t>
      </w:r>
      <w:r>
        <w:rPr>
          <w:rFonts w:hint="eastAsia"/>
        </w:rPr>
        <w:t xml:space="preserve"> DL+UL evaluation.</w:t>
      </w:r>
    </w:p>
    <w:p>
      <w:pPr>
        <w:pStyle w:val="50"/>
        <w:spacing w:before="120" w:after="120" w:line="276" w:lineRule="auto"/>
        <w:jc w:val="both"/>
      </w:pPr>
      <w:bookmarkStart w:id="40" w:name="_Toc17496"/>
      <w:r>
        <w:t xml:space="preserve">Comparing to UE always on, following is observed for </w:t>
      </w:r>
      <w:r>
        <w:rPr>
          <w:b/>
          <w:bCs/>
          <w:u w:val="single"/>
        </w:rPr>
        <w:t>VR/AR, 30Mbps, 10ms PDB, 60 FPS</w:t>
      </w:r>
      <w:r>
        <w:rPr>
          <w:rFonts w:hint="eastAsia"/>
          <w:lang w:val="en-US" w:eastAsia="zh-CN"/>
        </w:rPr>
        <w:t xml:space="preserve"> in Indoor scenario</w:t>
      </w:r>
      <w:r>
        <w:t>:</w:t>
      </w:r>
      <w:bookmarkEnd w:id="40"/>
    </w:p>
    <w:p>
      <w:pPr>
        <w:pStyle w:val="50"/>
        <w:numPr>
          <w:ilvl w:val="-1"/>
          <w:numId w:val="0"/>
        </w:numPr>
        <w:tabs>
          <w:tab w:val="clear" w:pos="0"/>
        </w:tabs>
        <w:spacing w:before="120" w:after="120" w:line="276" w:lineRule="auto"/>
        <w:jc w:val="both"/>
      </w:pPr>
      <w:bookmarkStart w:id="41" w:name="_Toc15072"/>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29</w:t>
      </w:r>
      <w:r>
        <w:t>%</w:t>
      </w:r>
      <w:r>
        <w:rPr>
          <w:rFonts w:hint="eastAsia"/>
          <w:lang w:val="en-US" w:eastAsia="zh-CN"/>
        </w:rPr>
        <w:t>, 34.8%</w:t>
      </w:r>
      <w:r>
        <w:t xml:space="preserve">} for </w:t>
      </w:r>
      <w:r>
        <w:rPr>
          <w:rFonts w:hint="eastAsia"/>
          <w:lang w:val="en-US" w:eastAsia="zh-CN"/>
        </w:rPr>
        <w:t xml:space="preserve">high </w:t>
      </w:r>
      <w:r>
        <w:t>load with</w:t>
      </w:r>
      <w:r>
        <w:rPr>
          <w:rFonts w:hint="eastAsia"/>
          <w:lang w:val="en-US" w:eastAsia="zh-CN"/>
        </w:rPr>
        <w:t xml:space="preserve"> {3%, 10.18%} </w:t>
      </w:r>
      <w:r>
        <w:t>of satisfied UE loss.</w:t>
      </w:r>
      <w:bookmarkEnd w:id="41"/>
    </w:p>
    <w:p>
      <w:pPr>
        <w:pStyle w:val="50"/>
        <w:spacing w:before="120" w:after="120" w:line="276" w:lineRule="auto"/>
        <w:jc w:val="both"/>
      </w:pPr>
      <w:bookmarkStart w:id="42" w:name="_Toc8867"/>
      <w:r>
        <w:t xml:space="preserve">Comparing to UE always on, following is observed for </w:t>
      </w:r>
      <w:r>
        <w:rPr>
          <w:b/>
          <w:bCs/>
          <w:u w:val="single"/>
        </w:rPr>
        <w:t xml:space="preserve">VR/AR, </w:t>
      </w:r>
      <w:r>
        <w:rPr>
          <w:rFonts w:hint="eastAsia"/>
          <w:b/>
          <w:bCs/>
          <w:u w:val="single"/>
          <w:lang w:val="en-US" w:eastAsia="zh-CN"/>
        </w:rPr>
        <w:t>45</w:t>
      </w:r>
      <w:r>
        <w:rPr>
          <w:b/>
          <w:bCs/>
          <w:u w:val="single"/>
        </w:rPr>
        <w:t>Mbps, 10ms PDB, 60 FPS</w:t>
      </w:r>
      <w:r>
        <w:rPr>
          <w:rFonts w:hint="eastAsia"/>
          <w:lang w:val="en-US" w:eastAsia="zh-CN"/>
        </w:rPr>
        <w:t xml:space="preserve"> in Indoor scenario</w:t>
      </w:r>
      <w:r>
        <w:t>:</w:t>
      </w:r>
      <w:bookmarkEnd w:id="42"/>
    </w:p>
    <w:p>
      <w:pPr>
        <w:pStyle w:val="50"/>
        <w:numPr>
          <w:ilvl w:val="-1"/>
          <w:numId w:val="0"/>
        </w:numPr>
        <w:tabs>
          <w:tab w:val="clear" w:pos="0"/>
        </w:tabs>
        <w:spacing w:before="120" w:after="120" w:line="276" w:lineRule="auto"/>
        <w:jc w:val="both"/>
      </w:pPr>
      <w:bookmarkStart w:id="43" w:name="_Toc949"/>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29.7</w:t>
      </w:r>
      <w:r>
        <w:t>%</w:t>
      </w:r>
      <w:r>
        <w:rPr>
          <w:rFonts w:hint="eastAsia"/>
          <w:lang w:val="en-US" w:eastAsia="zh-CN"/>
        </w:rPr>
        <w:t>, 32.3%</w:t>
      </w:r>
      <w:r>
        <w:t xml:space="preserve">} for </w:t>
      </w:r>
      <w:r>
        <w:rPr>
          <w:rFonts w:hint="eastAsia"/>
          <w:lang w:val="en-US" w:eastAsia="zh-CN"/>
        </w:rPr>
        <w:t xml:space="preserve">high </w:t>
      </w:r>
      <w:r>
        <w:t>load with</w:t>
      </w:r>
      <w:r>
        <w:rPr>
          <w:rFonts w:hint="eastAsia"/>
          <w:lang w:val="en-US" w:eastAsia="zh-CN"/>
        </w:rPr>
        <w:t xml:space="preserve"> 4.7% </w:t>
      </w:r>
      <w:r>
        <w:t>of satisfied UE loss.</w:t>
      </w:r>
      <w:bookmarkEnd w:id="43"/>
    </w:p>
    <w:p>
      <w:pPr>
        <w:pStyle w:val="50"/>
        <w:spacing w:before="120" w:after="120" w:line="276" w:lineRule="auto"/>
        <w:jc w:val="both"/>
      </w:pPr>
      <w:bookmarkStart w:id="44" w:name="_Toc26652"/>
      <w:r>
        <w:t xml:space="preserve">Comparing to UE always on, following is observed for </w:t>
      </w:r>
      <w:r>
        <w:rPr>
          <w:rFonts w:hint="eastAsia"/>
          <w:b/>
          <w:bCs/>
          <w:u w:val="single"/>
          <w:lang w:val="en-US" w:eastAsia="zh-CN"/>
        </w:rPr>
        <w:t>CG</w:t>
      </w:r>
      <w:r>
        <w:rPr>
          <w:b/>
          <w:bCs/>
          <w:u w:val="single"/>
        </w:rPr>
        <w:t>, 30Mbps, 1</w:t>
      </w:r>
      <w:r>
        <w:rPr>
          <w:rFonts w:hint="eastAsia"/>
          <w:b/>
          <w:bCs/>
          <w:u w:val="single"/>
          <w:lang w:val="en-US" w:eastAsia="zh-CN"/>
        </w:rPr>
        <w:t>5</w:t>
      </w:r>
      <w:r>
        <w:rPr>
          <w:b/>
          <w:bCs/>
          <w:u w:val="single"/>
        </w:rPr>
        <w:t>ms PDB, 60 FPS</w:t>
      </w:r>
      <w:r>
        <w:rPr>
          <w:rFonts w:hint="eastAsia"/>
          <w:lang w:val="en-US" w:eastAsia="zh-CN"/>
        </w:rPr>
        <w:t xml:space="preserve"> in Indoor scenario</w:t>
      </w:r>
      <w:r>
        <w:t>:</w:t>
      </w:r>
      <w:bookmarkEnd w:id="44"/>
    </w:p>
    <w:p>
      <w:pPr>
        <w:pStyle w:val="50"/>
        <w:numPr>
          <w:ilvl w:val="-1"/>
          <w:numId w:val="0"/>
        </w:numPr>
        <w:tabs>
          <w:tab w:val="clear" w:pos="0"/>
        </w:tabs>
        <w:spacing w:before="120" w:after="120" w:line="276" w:lineRule="auto"/>
        <w:jc w:val="both"/>
      </w:pPr>
      <w:bookmarkStart w:id="45" w:name="_Toc29191"/>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32.4</w:t>
      </w:r>
      <w:r>
        <w:t>%</w:t>
      </w:r>
      <w:r>
        <w:rPr>
          <w:rFonts w:hint="eastAsia"/>
          <w:lang w:val="en-US" w:eastAsia="zh-CN"/>
        </w:rPr>
        <w:t>, 34.5%</w:t>
      </w:r>
      <w:r>
        <w:t xml:space="preserve">} for </w:t>
      </w:r>
      <w:r>
        <w:rPr>
          <w:rFonts w:hint="eastAsia"/>
          <w:lang w:val="en-US" w:eastAsia="zh-CN"/>
        </w:rPr>
        <w:t xml:space="preserve">high </w:t>
      </w:r>
      <w:r>
        <w:t>load with</w:t>
      </w:r>
      <w:r>
        <w:rPr>
          <w:rFonts w:hint="eastAsia"/>
          <w:lang w:val="en-US" w:eastAsia="zh-CN"/>
        </w:rPr>
        <w:t xml:space="preserve"> 8.34% </w:t>
      </w:r>
      <w:r>
        <w:t>of satisfied UE loss.</w:t>
      </w:r>
      <w:bookmarkEnd w:id="45"/>
    </w:p>
    <w:p>
      <w:pPr>
        <w:pStyle w:val="4"/>
        <w:spacing w:after="120"/>
        <w:ind w:right="210"/>
      </w:pPr>
      <w:r>
        <w:rPr>
          <w:rFonts w:hint="eastAsia"/>
        </w:rPr>
        <w:t xml:space="preserve">FR1 </w:t>
      </w:r>
      <w:r>
        <w:t>DU</w:t>
      </w:r>
      <w:r>
        <w:rPr>
          <w:rFonts w:hint="eastAsia"/>
        </w:rPr>
        <w:t xml:space="preserve"> DL</w:t>
      </w:r>
    </w:p>
    <w:p>
      <w:pPr>
        <w:spacing w:before="120" w:after="120" w:line="256" w:lineRule="auto"/>
        <w:jc w:val="center"/>
      </w:pPr>
      <w:r>
        <w:rPr>
          <w:rFonts w:hint="eastAsia"/>
          <w:szCs w:val="22"/>
        </w:rPr>
        <w:t>Table 19</w:t>
      </w:r>
      <w:r>
        <w:rPr>
          <w:szCs w:val="22"/>
        </w:rPr>
        <w:t xml:space="preserve"> </w:t>
      </w:r>
      <w:r>
        <w:t xml:space="preserve">FR1 power consumption results in </w:t>
      </w:r>
      <w:r>
        <w:rPr>
          <w:rFonts w:hint="eastAsia"/>
        </w:rPr>
        <w:t>Dense urban</w:t>
      </w:r>
      <w:r>
        <w:t xml:space="preserve"> scenario </w:t>
      </w:r>
      <w:r>
        <w:rPr>
          <w:rFonts w:hint="eastAsia"/>
        </w:rPr>
        <w:t>(TM3 only)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95"/>
        <w:gridCol w:w="942"/>
        <w:gridCol w:w="1751"/>
        <w:gridCol w:w="1639"/>
        <w:gridCol w:w="1349"/>
        <w:gridCol w:w="937"/>
        <w:gridCol w:w="1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1" w:hRule="atLeast"/>
        </w:trPr>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Power Saving Scheme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#UEs per cell</w:t>
            </w:r>
          </w:p>
        </w:tc>
        <w:tc>
          <w:tcPr>
            <w:tcW w:w="0" w:type="auto"/>
            <w:tcMar>
              <w:top w:w="0" w:type="dxa"/>
              <w:left w:w="108" w:type="dxa"/>
              <w:bottom w:w="0" w:type="dxa"/>
              <w:right w:w="108" w:type="dxa"/>
            </w:tcMar>
            <w:vAlign w:val="center"/>
          </w:tcPr>
          <w:p>
            <w:pPr>
              <w:pStyle w:val="49"/>
              <w:spacing w:before="120" w:after="120"/>
              <w:jc w:val="center"/>
              <w:rPr>
                <w:rFonts w:hint="default" w:ascii="Times New Roman" w:hAnsi="Times New Roman" w:eastAsia="宋体" w:cs="Times New Roman"/>
                <w:sz w:val="20"/>
                <w:lang w:val="en-US" w:eastAsia="zh-CN"/>
              </w:rPr>
            </w:pPr>
            <w:r>
              <w:rPr>
                <w:rFonts w:hint="eastAsia" w:ascii="Times New Roman" w:hAnsi="Times New Roman" w:cs="Times New Roman"/>
                <w:sz w:val="20"/>
                <w:lang w:val="en-US" w:eastAsia="zh-CN"/>
              </w:rPr>
              <w:t>C1=floor(capacity)</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hint="eastAsia" w:ascii="Times New Roman" w:hAnsi="Times New Roman" w:cs="Times New Roman"/>
                <w:sz w:val="20"/>
              </w:rPr>
              <w:t>Percentage of satisfied UE</w:t>
            </w:r>
          </w:p>
        </w:tc>
        <w:tc>
          <w:tcPr>
            <w:tcW w:w="0" w:type="auto"/>
            <w:tcMar>
              <w:top w:w="0" w:type="dxa"/>
              <w:left w:w="108" w:type="dxa"/>
              <w:bottom w:w="0" w:type="dxa"/>
              <w:right w:w="108" w:type="dxa"/>
            </w:tcMar>
            <w:vAlign w:val="center"/>
          </w:tcPr>
          <w:p>
            <w:pPr>
              <w:pStyle w:val="49"/>
              <w:spacing w:before="120" w:after="120"/>
              <w:jc w:val="center"/>
              <w:rPr>
                <w:rFonts w:ascii="Times New Roman" w:hAnsi="Times New Roman" w:cs="Times New Roman"/>
                <w:sz w:val="20"/>
              </w:rPr>
            </w:pPr>
            <w:r>
              <w:rPr>
                <w:rFonts w:ascii="Times New Roman" w:hAnsi="Times New Roman" w:cs="Times New Roman"/>
                <w:sz w:val="20"/>
              </w:rPr>
              <w:t>Type of counted UE</w:t>
            </w:r>
            <w:r>
              <w:rPr>
                <w:rFonts w:hint="eastAsia" w:ascii="Times New Roman" w:hAnsi="Times New Roman" w:cs="Times New Roman"/>
                <w:sz w:val="20"/>
              </w:rPr>
              <w:t>s</w:t>
            </w:r>
          </w:p>
        </w:tc>
        <w:tc>
          <w:tcPr>
            <w:tcW w:w="0" w:type="auto"/>
            <w:tcMar>
              <w:top w:w="0" w:type="dxa"/>
              <w:left w:w="108" w:type="dxa"/>
              <w:bottom w:w="0" w:type="dxa"/>
              <w:right w:w="108" w:type="dxa"/>
            </w:tcMar>
            <w:vAlign w:val="center"/>
          </w:tcPr>
          <w:p>
            <w:pPr>
              <w:pStyle w:val="49"/>
              <w:spacing w:before="120" w:after="120"/>
              <w:jc w:val="center"/>
            </w:pPr>
            <w:r>
              <w:rPr>
                <w:rFonts w:hint="eastAsia" w:ascii="Times New Roman" w:hAnsi="Times New Roman" w:cs="Times New Roman"/>
                <w:sz w:val="20"/>
              </w:rPr>
              <w:t>Mean power</w:t>
            </w:r>
          </w:p>
        </w:tc>
        <w:tc>
          <w:tcPr>
            <w:tcW w:w="0" w:type="auto"/>
            <w:tcMar>
              <w:top w:w="0" w:type="dxa"/>
              <w:left w:w="108" w:type="dxa"/>
              <w:bottom w:w="0" w:type="dxa"/>
              <w:right w:w="108" w:type="dxa"/>
            </w:tcMar>
            <w:vAlign w:val="center"/>
          </w:tcPr>
          <w:p>
            <w:pPr>
              <w:pStyle w:val="49"/>
              <w:spacing w:before="120" w:after="120"/>
              <w:jc w:val="center"/>
            </w:pPr>
            <w:r>
              <w:rPr>
                <w:rFonts w:ascii="Times New Roman" w:hAnsi="Times New Roman" w:cs="Times New Roman"/>
                <w:sz w:val="20"/>
              </w:rPr>
              <w:t>Mean PS gain</w:t>
            </w:r>
            <w:r>
              <w:rPr>
                <w:rFonts w:hint="eastAsia" w:ascii="Times New Roman" w:hAnsi="Times New Roman" w:cs="Times New Roman"/>
                <w:sz w:val="20"/>
              </w:rPr>
              <w:t xml:space="preserve"> compared to Case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ascii="Times New Roman" w:hAnsi="Times New Roman" w:cs="Times New Roman"/>
                <w:sz w:val="20"/>
              </w:rPr>
              <w:t>Case 1</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Always On</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96.6%</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109.8</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109.2</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eCDRX</w:t>
            </w:r>
            <w:r>
              <w:rPr>
                <w:rFonts w:ascii="Times New Roman" w:hAnsi="Times New Roman" w:cs="Times New Roman"/>
                <w:sz w:val="20"/>
              </w:rPr>
              <w:t>:</w:t>
            </w:r>
          </w:p>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DRX setting 2</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hint="eastAsia" w:ascii="Times New Roman" w:hAnsi="Times New Roman" w:eastAsia="宋体" w:cs="Times New Roman"/>
                <w:sz w:val="20"/>
                <w:lang w:val="en-US" w:eastAsia="zh-CN"/>
              </w:rPr>
            </w:pPr>
            <w:r>
              <w:rPr>
                <w:rFonts w:hint="eastAsia" w:ascii="Times New Roman" w:hAnsi="Times New Roman" w:cs="Times New Roman"/>
                <w:sz w:val="20"/>
                <w:lang w:val="en-US" w:eastAsia="zh-CN"/>
              </w:rPr>
              <w:t>7</w:t>
            </w:r>
          </w:p>
        </w:tc>
        <w:tc>
          <w:tcPr>
            <w:tcW w:w="0" w:type="auto"/>
            <w:vMerge w:val="restart"/>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90%</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All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77</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5" w:hRule="atLeast"/>
        </w:trPr>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vMerge w:val="continue"/>
            <w:tcMar>
              <w:top w:w="0" w:type="dxa"/>
              <w:left w:w="108" w:type="dxa"/>
              <w:bottom w:w="0" w:type="dxa"/>
              <w:right w:w="108" w:type="dxa"/>
            </w:tcMar>
            <w:vAlign w:val="center"/>
          </w:tcPr>
          <w:p>
            <w:pPr>
              <w:pStyle w:val="49"/>
              <w:spacing w:before="120" w:after="120" w:line="252" w:lineRule="auto"/>
              <w:jc w:val="center"/>
            </w:pP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Satisfied UE</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75.2</w:t>
            </w:r>
          </w:p>
        </w:tc>
        <w:tc>
          <w:tcPr>
            <w:tcW w:w="0" w:type="auto"/>
            <w:tcMar>
              <w:top w:w="0" w:type="dxa"/>
              <w:left w:w="108" w:type="dxa"/>
              <w:bottom w:w="0" w:type="dxa"/>
              <w:right w:w="108" w:type="dxa"/>
            </w:tcMar>
            <w:vAlign w:val="center"/>
          </w:tcPr>
          <w:p>
            <w:pPr>
              <w:pStyle w:val="49"/>
              <w:spacing w:before="120" w:after="120" w:line="252" w:lineRule="auto"/>
              <w:jc w:val="center"/>
              <w:rPr>
                <w:rFonts w:ascii="Times New Roman" w:hAnsi="Times New Roman" w:cs="Times New Roman"/>
                <w:sz w:val="20"/>
              </w:rPr>
            </w:pPr>
            <w:r>
              <w:rPr>
                <w:rFonts w:hint="eastAsia" w:ascii="Times New Roman" w:hAnsi="Times New Roman" w:cs="Times New Roman"/>
                <w:sz w:val="20"/>
              </w:rPr>
              <w:t>31.2%</w:t>
            </w:r>
          </w:p>
        </w:tc>
      </w:tr>
    </w:tbl>
    <w:p>
      <w:pPr>
        <w:pStyle w:val="50"/>
        <w:spacing w:before="120" w:after="120" w:line="276" w:lineRule="auto"/>
        <w:jc w:val="both"/>
      </w:pPr>
      <w:bookmarkStart w:id="46" w:name="_Toc10277"/>
      <w:r>
        <w:t xml:space="preserve">Comparing to UE always on, following is observed for </w:t>
      </w:r>
      <w:r>
        <w:rPr>
          <w:b/>
          <w:bCs/>
          <w:u w:val="single"/>
        </w:rPr>
        <w:t xml:space="preserve">VR/AR, </w:t>
      </w:r>
      <w:r>
        <w:rPr>
          <w:rFonts w:hint="eastAsia"/>
          <w:b/>
          <w:bCs/>
          <w:u w:val="single"/>
          <w:lang w:val="en-US" w:eastAsia="zh-CN"/>
        </w:rPr>
        <w:t>45</w:t>
      </w:r>
      <w:r>
        <w:rPr>
          <w:b/>
          <w:bCs/>
          <w:u w:val="single"/>
        </w:rPr>
        <w:t>Mbps, 10ms PDB, 60 FPS</w:t>
      </w:r>
      <w:r>
        <w:rPr>
          <w:rFonts w:hint="eastAsia"/>
          <w:lang w:val="en-US" w:eastAsia="zh-CN"/>
        </w:rPr>
        <w:t xml:space="preserve"> in dense urban scenario</w:t>
      </w:r>
      <w:r>
        <w:t>:</w:t>
      </w:r>
      <w:bookmarkEnd w:id="46"/>
    </w:p>
    <w:p>
      <w:pPr>
        <w:pStyle w:val="50"/>
        <w:numPr>
          <w:ilvl w:val="-1"/>
          <w:numId w:val="0"/>
        </w:numPr>
        <w:tabs>
          <w:tab w:val="clear" w:pos="0"/>
        </w:tabs>
        <w:spacing w:before="120" w:after="120" w:line="276" w:lineRule="auto"/>
        <w:jc w:val="both"/>
        <w:rPr>
          <w:lang w:val="en-US" w:eastAsia="zh-CN"/>
        </w:rPr>
      </w:pPr>
      <w:bookmarkStart w:id="47" w:name="_Toc10558"/>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29.9</w:t>
      </w:r>
      <w:r>
        <w:t>%</w:t>
      </w:r>
      <w:r>
        <w:rPr>
          <w:rFonts w:hint="eastAsia"/>
          <w:lang w:val="en-US" w:eastAsia="zh-CN"/>
        </w:rPr>
        <w:t>, 31.23%</w:t>
      </w:r>
      <w:r>
        <w:t xml:space="preserve">} for </w:t>
      </w:r>
      <w:r>
        <w:rPr>
          <w:rFonts w:hint="eastAsia"/>
          <w:lang w:val="en-US" w:eastAsia="zh-CN"/>
        </w:rPr>
        <w:t xml:space="preserve">high </w:t>
      </w:r>
      <w:r>
        <w:t>load with</w:t>
      </w:r>
      <w:r>
        <w:rPr>
          <w:rFonts w:hint="eastAsia"/>
          <w:lang w:val="en-US" w:eastAsia="zh-CN"/>
        </w:rPr>
        <w:t xml:space="preserve"> 6.6% </w:t>
      </w:r>
      <w:r>
        <w:t>of satisfied UE loss.</w:t>
      </w:r>
      <w:bookmarkEnd w:id="47"/>
    </w:p>
    <w:p>
      <w:pPr>
        <w:pStyle w:val="2"/>
        <w:spacing w:before="120" w:after="120"/>
        <w:ind w:left="0"/>
        <w:rPr>
          <w:rFonts w:eastAsia="宋体"/>
        </w:rPr>
      </w:pPr>
      <w:r>
        <w:rPr>
          <w:rFonts w:hint="eastAsia" w:eastAsia="宋体"/>
        </w:rPr>
        <w:t>Conclusion</w:t>
      </w:r>
    </w:p>
    <w:p>
      <w:pPr>
        <w:spacing w:before="120" w:after="120"/>
      </w:pPr>
      <w:r>
        <w:rPr>
          <w:rFonts w:hint="eastAsia"/>
        </w:rPr>
        <w:t>In this contribution, capacity results for single stream, multiple stream, power consumption results and preemption scheme for XR enhancement are presented</w:t>
      </w:r>
      <w:r>
        <w:t>, and</w:t>
      </w:r>
      <w:r>
        <w:rPr>
          <w:rFonts w:hint="eastAsia"/>
        </w:rPr>
        <w:t xml:space="preserve"> we have the following observations:</w:t>
      </w:r>
    </w:p>
    <w:p>
      <w:pPr>
        <w:pStyle w:val="13"/>
        <w:tabs>
          <w:tab w:val="right" w:leader="dot" w:pos="9660"/>
          <w:tab w:val="clear" w:pos="0"/>
        </w:tabs>
        <w:jc w:val="both"/>
        <w:rPr>
          <w:szCs w:val="22"/>
        </w:rPr>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_Toc11715 </w:instrText>
      </w:r>
      <w:r>
        <w:rPr>
          <w:szCs w:val="22"/>
        </w:rPr>
        <w:fldChar w:fldCharType="separate"/>
      </w:r>
      <w:r>
        <w:rPr>
          <w:rFonts w:hint="default" w:ascii="Times New Roman" w:hAnsi="Times New Roman" w:eastAsia="宋体" w:cs="Times New Roman"/>
          <w:bCs/>
          <w:i/>
          <w:iCs/>
          <w:lang w:val="en-US" w:eastAsia="zh-CN"/>
        </w:rPr>
        <w:t xml:space="preserve">Observation 1: </w:t>
      </w:r>
      <w:r>
        <w:rPr>
          <w:rFonts w:hint="eastAsia" w:eastAsia="宋体"/>
          <w:lang w:val="en-US" w:eastAsia="zh-CN"/>
        </w:rPr>
        <w:t>For FR1 DL transmission with 99% reliability requirement, the capacity results can be summarized as follows.</w:t>
      </w:r>
      <w:r>
        <w:rPr>
          <w:szCs w:val="22"/>
        </w:rPr>
        <w:fldChar w:fldCharType="end"/>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1392"/>
        <w:gridCol w:w="1392"/>
        <w:gridCol w:w="1392"/>
        <w:gridCol w:w="1392"/>
        <w:gridCol w:w="1392"/>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523" w:type="dxa"/>
            <w:vMerge w:val="restart"/>
            <w:vAlign w:val="center"/>
          </w:tcPr>
          <w:p>
            <w:pPr>
              <w:snapToGrid w:val="0"/>
              <w:spacing w:before="120" w:after="120"/>
              <w:jc w:val="center"/>
              <w:rPr>
                <w:b/>
                <w:bCs/>
                <w:i/>
                <w:iCs/>
                <w:sz w:val="20"/>
              </w:rPr>
            </w:pPr>
            <w:r>
              <w:rPr>
                <w:rFonts w:hint="eastAsia"/>
                <w:b/>
                <w:bCs/>
                <w:i/>
                <w:iCs/>
                <w:sz w:val="20"/>
              </w:rPr>
              <w:t>Scenario</w:t>
            </w:r>
          </w:p>
          <w:p>
            <w:pPr>
              <w:snapToGrid w:val="0"/>
              <w:spacing w:before="120" w:after="120"/>
              <w:jc w:val="center"/>
              <w:rPr>
                <w:b/>
                <w:bCs/>
                <w:i/>
                <w:iCs/>
                <w:sz w:val="20"/>
              </w:rPr>
            </w:pPr>
          </w:p>
          <w:p>
            <w:pPr>
              <w:spacing w:before="120" w:after="120"/>
              <w:jc w:val="center"/>
              <w:rPr>
                <w:b/>
                <w:bCs/>
                <w:i/>
                <w:iCs/>
                <w:sz w:val="20"/>
              </w:rPr>
            </w:pPr>
            <w:r>
              <w:rPr>
                <w:rFonts w:hint="eastAsia"/>
                <w:b/>
                <w:bCs/>
                <w:i/>
                <w:iCs/>
                <w:sz w:val="20"/>
              </w:rPr>
              <w:t>Traffic</w:t>
            </w:r>
          </w:p>
        </w:tc>
        <w:tc>
          <w:tcPr>
            <w:tcW w:w="2784" w:type="dxa"/>
            <w:gridSpan w:val="2"/>
            <w:vAlign w:val="center"/>
          </w:tcPr>
          <w:p>
            <w:pPr>
              <w:spacing w:before="120" w:after="120"/>
              <w:jc w:val="center"/>
              <w:rPr>
                <w:b/>
                <w:bCs/>
                <w:i/>
                <w:iCs/>
                <w:sz w:val="20"/>
              </w:rPr>
            </w:pPr>
            <w:r>
              <w:rPr>
                <w:rFonts w:hint="eastAsia"/>
                <w:b/>
                <w:bCs/>
                <w:i/>
                <w:iCs/>
                <w:sz w:val="20"/>
              </w:rPr>
              <w:t>AR/VR, 30Mbps</w:t>
            </w:r>
          </w:p>
        </w:tc>
        <w:tc>
          <w:tcPr>
            <w:tcW w:w="2784" w:type="dxa"/>
            <w:gridSpan w:val="2"/>
            <w:vAlign w:val="center"/>
          </w:tcPr>
          <w:p>
            <w:pPr>
              <w:spacing w:before="120" w:after="120"/>
              <w:jc w:val="center"/>
              <w:rPr>
                <w:b/>
                <w:bCs/>
                <w:i/>
                <w:iCs/>
                <w:sz w:val="20"/>
              </w:rPr>
            </w:pPr>
            <w:r>
              <w:rPr>
                <w:rFonts w:hint="eastAsia"/>
                <w:b/>
                <w:bCs/>
                <w:i/>
                <w:iCs/>
                <w:sz w:val="20"/>
              </w:rPr>
              <w:t>CG, 30Mbps</w:t>
            </w:r>
          </w:p>
        </w:tc>
        <w:tc>
          <w:tcPr>
            <w:tcW w:w="2785" w:type="dxa"/>
            <w:gridSpan w:val="2"/>
            <w:vAlign w:val="center"/>
          </w:tcPr>
          <w:p>
            <w:pPr>
              <w:spacing w:before="120" w:after="120"/>
              <w:jc w:val="center"/>
              <w:rPr>
                <w:b/>
                <w:bCs/>
                <w:i/>
                <w:iCs/>
                <w:sz w:val="20"/>
              </w:rPr>
            </w:pPr>
            <w:r>
              <w:rPr>
                <w:rFonts w:hint="eastAsia"/>
                <w:b/>
                <w:bCs/>
                <w:i/>
                <w:iCs/>
                <w:sz w:val="20"/>
              </w:rPr>
              <w:t>AR/VR, 45Mbps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Merge w:val="continue"/>
            <w:vAlign w:val="center"/>
          </w:tcPr>
          <w:p>
            <w:pPr>
              <w:spacing w:before="120" w:after="120"/>
              <w:jc w:val="center"/>
              <w:rPr>
                <w:b/>
                <w:bCs/>
                <w:i/>
                <w:iCs/>
                <w:sz w:val="20"/>
              </w:rPr>
            </w:pPr>
          </w:p>
        </w:tc>
        <w:tc>
          <w:tcPr>
            <w:tcW w:w="1392" w:type="dxa"/>
            <w:vAlign w:val="center"/>
          </w:tcPr>
          <w:p>
            <w:pPr>
              <w:spacing w:before="120" w:after="120"/>
              <w:jc w:val="center"/>
              <w:rPr>
                <w:b/>
                <w:bCs/>
                <w:i/>
                <w:iCs/>
                <w:sz w:val="20"/>
              </w:rPr>
            </w:pPr>
            <w:r>
              <w:rPr>
                <w:rFonts w:hint="eastAsia"/>
                <w:b/>
                <w:bCs/>
                <w:i/>
                <w:iCs/>
                <w:sz w:val="20"/>
              </w:rPr>
              <w:t>[10.5,150,50]</w:t>
            </w:r>
          </w:p>
        </w:tc>
        <w:tc>
          <w:tcPr>
            <w:tcW w:w="1392" w:type="dxa"/>
            <w:vAlign w:val="center"/>
          </w:tcPr>
          <w:p>
            <w:pPr>
              <w:spacing w:before="120" w:after="120"/>
              <w:jc w:val="center"/>
              <w:rPr>
                <w:b/>
                <w:bCs/>
                <w:i/>
                <w:iCs/>
                <w:sz w:val="20"/>
              </w:rPr>
            </w:pPr>
            <w:r>
              <w:rPr>
                <w:rFonts w:hint="eastAsia"/>
                <w:b/>
                <w:bCs/>
                <w:i/>
                <w:iCs/>
                <w:sz w:val="20"/>
              </w:rPr>
              <w:t>[3,109,91]</w:t>
            </w:r>
          </w:p>
        </w:tc>
        <w:tc>
          <w:tcPr>
            <w:tcW w:w="1392" w:type="dxa"/>
            <w:vAlign w:val="center"/>
          </w:tcPr>
          <w:p>
            <w:pPr>
              <w:spacing w:before="120" w:after="120"/>
              <w:jc w:val="center"/>
              <w:rPr>
                <w:b/>
                <w:bCs/>
                <w:i/>
                <w:iCs/>
                <w:sz w:val="20"/>
              </w:rPr>
            </w:pPr>
            <w:r>
              <w:rPr>
                <w:rFonts w:hint="eastAsia"/>
                <w:b/>
                <w:bCs/>
                <w:i/>
                <w:iCs/>
                <w:sz w:val="20"/>
              </w:rPr>
              <w:t>[10.5,150,50]</w:t>
            </w:r>
          </w:p>
        </w:tc>
        <w:tc>
          <w:tcPr>
            <w:tcW w:w="1392" w:type="dxa"/>
            <w:vAlign w:val="center"/>
          </w:tcPr>
          <w:p>
            <w:pPr>
              <w:spacing w:before="120" w:after="120"/>
              <w:jc w:val="center"/>
              <w:rPr>
                <w:b/>
                <w:bCs/>
                <w:i/>
                <w:iCs/>
                <w:sz w:val="20"/>
              </w:rPr>
            </w:pPr>
            <w:r>
              <w:rPr>
                <w:rFonts w:hint="eastAsia"/>
                <w:b/>
                <w:bCs/>
                <w:i/>
                <w:iCs/>
                <w:sz w:val="20"/>
              </w:rPr>
              <w:t>[3,109,91]</w:t>
            </w:r>
          </w:p>
        </w:tc>
        <w:tc>
          <w:tcPr>
            <w:tcW w:w="1392" w:type="dxa"/>
            <w:vAlign w:val="center"/>
          </w:tcPr>
          <w:p>
            <w:pPr>
              <w:spacing w:before="120" w:after="120"/>
              <w:jc w:val="center"/>
              <w:rPr>
                <w:b/>
                <w:bCs/>
                <w:i/>
                <w:iCs/>
                <w:sz w:val="20"/>
              </w:rPr>
            </w:pPr>
            <w:r>
              <w:rPr>
                <w:rFonts w:hint="eastAsia"/>
                <w:b/>
                <w:bCs/>
                <w:i/>
                <w:iCs/>
                <w:sz w:val="20"/>
              </w:rPr>
              <w:t>[10.5,150,50]</w:t>
            </w:r>
          </w:p>
        </w:tc>
        <w:tc>
          <w:tcPr>
            <w:tcW w:w="1393" w:type="dxa"/>
            <w:vAlign w:val="center"/>
          </w:tcPr>
          <w:p>
            <w:pPr>
              <w:spacing w:before="120" w:after="120"/>
              <w:jc w:val="center"/>
              <w:rPr>
                <w:b/>
                <w:bCs/>
                <w:i/>
                <w:iCs/>
                <w:sz w:val="20"/>
              </w:rPr>
            </w:pPr>
            <w:r>
              <w:rPr>
                <w:rFonts w:hint="eastAsia"/>
                <w:b/>
                <w:bCs/>
                <w:i/>
                <w:iCs/>
                <w:sz w:val="20"/>
              </w:rPr>
              <w:t>[3,109,91]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rPr>
                <w:b/>
                <w:bCs/>
                <w:i/>
                <w:iCs/>
                <w:sz w:val="20"/>
              </w:rPr>
            </w:pPr>
            <w:r>
              <w:rPr>
                <w:rFonts w:hint="eastAsia"/>
                <w:b/>
                <w:bCs/>
                <w:i/>
                <w:iCs/>
                <w:sz w:val="20"/>
              </w:rPr>
              <w:t>Indoor Hotspot</w:t>
            </w:r>
          </w:p>
        </w:tc>
        <w:tc>
          <w:tcPr>
            <w:tcW w:w="1392" w:type="dxa"/>
            <w:vAlign w:val="center"/>
          </w:tcPr>
          <w:p>
            <w:pPr>
              <w:spacing w:before="120" w:after="120"/>
              <w:jc w:val="center"/>
              <w:rPr>
                <w:b/>
                <w:bCs/>
                <w:i/>
                <w:iCs/>
                <w:sz w:val="20"/>
              </w:rPr>
            </w:pPr>
            <w:r>
              <w:rPr>
                <w:rFonts w:hint="eastAsia"/>
                <w:b/>
                <w:bCs/>
                <w:i/>
                <w:iCs/>
                <w:sz w:val="20"/>
              </w:rPr>
              <w:t>11.4</w:t>
            </w:r>
          </w:p>
        </w:tc>
        <w:tc>
          <w:tcPr>
            <w:tcW w:w="1392" w:type="dxa"/>
            <w:vAlign w:val="center"/>
          </w:tcPr>
          <w:p>
            <w:pPr>
              <w:spacing w:before="120" w:after="120"/>
              <w:jc w:val="center"/>
              <w:rPr>
                <w:b/>
                <w:bCs/>
                <w:i/>
                <w:iCs/>
                <w:sz w:val="20"/>
              </w:rPr>
            </w:pPr>
            <w:r>
              <w:rPr>
                <w:rFonts w:hint="eastAsia"/>
                <w:b/>
                <w:bCs/>
                <w:i/>
                <w:iCs/>
                <w:sz w:val="20"/>
              </w:rPr>
              <w:t>11.7</w:t>
            </w:r>
          </w:p>
        </w:tc>
        <w:tc>
          <w:tcPr>
            <w:tcW w:w="1392" w:type="dxa"/>
            <w:vAlign w:val="center"/>
          </w:tcPr>
          <w:p>
            <w:pPr>
              <w:spacing w:before="120" w:after="120"/>
              <w:jc w:val="center"/>
              <w:rPr>
                <w:b/>
                <w:bCs/>
                <w:i/>
                <w:iCs/>
                <w:sz w:val="20"/>
              </w:rPr>
            </w:pPr>
            <w:r>
              <w:rPr>
                <w:rFonts w:hint="eastAsia"/>
                <w:b/>
                <w:bCs/>
                <w:i/>
                <w:iCs/>
                <w:sz w:val="20"/>
              </w:rPr>
              <w:t>12.9</w:t>
            </w:r>
          </w:p>
        </w:tc>
        <w:tc>
          <w:tcPr>
            <w:tcW w:w="1392" w:type="dxa"/>
            <w:vAlign w:val="center"/>
          </w:tcPr>
          <w:p>
            <w:pPr>
              <w:spacing w:before="120" w:after="120"/>
              <w:jc w:val="center"/>
              <w:rPr>
                <w:b/>
                <w:bCs/>
                <w:i/>
                <w:iCs/>
                <w:sz w:val="20"/>
              </w:rPr>
            </w:pPr>
            <w:r>
              <w:rPr>
                <w:rFonts w:hint="eastAsia"/>
                <w:b/>
                <w:bCs/>
                <w:i/>
                <w:iCs/>
                <w:sz w:val="20"/>
              </w:rPr>
              <w:t>13.3</w:t>
            </w:r>
          </w:p>
        </w:tc>
        <w:tc>
          <w:tcPr>
            <w:tcW w:w="1392" w:type="dxa"/>
            <w:vAlign w:val="center"/>
          </w:tcPr>
          <w:p>
            <w:pPr>
              <w:spacing w:before="120" w:after="120"/>
              <w:jc w:val="center"/>
              <w:rPr>
                <w:b/>
                <w:bCs/>
                <w:i/>
                <w:iCs/>
                <w:sz w:val="20"/>
              </w:rPr>
            </w:pPr>
            <w:r>
              <w:rPr>
                <w:rFonts w:hint="eastAsia"/>
                <w:b/>
                <w:bCs/>
                <w:i/>
                <w:iCs/>
                <w:sz w:val="20"/>
              </w:rPr>
              <w:t>7.2</w:t>
            </w:r>
          </w:p>
        </w:tc>
        <w:tc>
          <w:tcPr>
            <w:tcW w:w="1393" w:type="dxa"/>
            <w:vAlign w:val="center"/>
          </w:tcPr>
          <w:p>
            <w:pPr>
              <w:spacing w:before="120" w:after="120"/>
              <w:jc w:val="center"/>
              <w:rPr>
                <w:b/>
                <w:bCs/>
                <w:i/>
                <w:iCs/>
                <w:sz w:val="20"/>
              </w:rPr>
            </w:pPr>
            <w:r>
              <w:rPr>
                <w:rFonts w:hint="eastAsia"/>
                <w:b/>
                <w:bCs/>
                <w:i/>
                <w:iCs/>
                <w:sz w:val="20"/>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rPr>
                <w:b/>
                <w:bCs/>
                <w:i/>
                <w:iCs/>
                <w:sz w:val="20"/>
              </w:rPr>
            </w:pPr>
            <w:r>
              <w:rPr>
                <w:rFonts w:hint="eastAsia"/>
                <w:b/>
                <w:bCs/>
                <w:i/>
                <w:iCs/>
                <w:sz w:val="20"/>
              </w:rPr>
              <w:t>Dense Urban</w:t>
            </w:r>
          </w:p>
        </w:tc>
        <w:tc>
          <w:tcPr>
            <w:tcW w:w="1392" w:type="dxa"/>
            <w:vAlign w:val="center"/>
          </w:tcPr>
          <w:p>
            <w:pPr>
              <w:spacing w:before="120" w:after="120"/>
              <w:jc w:val="center"/>
              <w:rPr>
                <w:b/>
                <w:bCs/>
                <w:i/>
                <w:iCs/>
                <w:sz w:val="20"/>
              </w:rPr>
            </w:pPr>
            <w:r>
              <w:rPr>
                <w:rFonts w:hint="eastAsia"/>
                <w:b/>
                <w:bCs/>
                <w:i/>
                <w:iCs/>
                <w:sz w:val="20"/>
              </w:rPr>
              <w:t>12.5</w:t>
            </w:r>
          </w:p>
        </w:tc>
        <w:tc>
          <w:tcPr>
            <w:tcW w:w="1392" w:type="dxa"/>
            <w:vAlign w:val="center"/>
          </w:tcPr>
          <w:p>
            <w:pPr>
              <w:spacing w:before="120" w:after="120"/>
              <w:jc w:val="center"/>
              <w:rPr>
                <w:b/>
                <w:bCs/>
                <w:i/>
                <w:iCs/>
                <w:sz w:val="20"/>
              </w:rPr>
            </w:pPr>
            <w:r>
              <w:rPr>
                <w:rFonts w:hint="eastAsia"/>
                <w:b/>
                <w:bCs/>
                <w:i/>
                <w:iCs/>
                <w:sz w:val="20"/>
              </w:rPr>
              <w:t>13.2</w:t>
            </w:r>
          </w:p>
        </w:tc>
        <w:tc>
          <w:tcPr>
            <w:tcW w:w="1392" w:type="dxa"/>
            <w:vAlign w:val="center"/>
          </w:tcPr>
          <w:p>
            <w:pPr>
              <w:spacing w:before="120" w:after="120"/>
              <w:jc w:val="center"/>
              <w:rPr>
                <w:b/>
                <w:bCs/>
                <w:i/>
                <w:iCs/>
                <w:sz w:val="20"/>
              </w:rPr>
            </w:pPr>
            <w:r>
              <w:rPr>
                <w:rFonts w:hint="eastAsia"/>
                <w:b/>
                <w:bCs/>
                <w:i/>
                <w:iCs/>
                <w:sz w:val="20"/>
              </w:rPr>
              <w:t>14.7</w:t>
            </w:r>
          </w:p>
        </w:tc>
        <w:tc>
          <w:tcPr>
            <w:tcW w:w="1392" w:type="dxa"/>
            <w:vAlign w:val="center"/>
          </w:tcPr>
          <w:p>
            <w:pPr>
              <w:spacing w:before="120" w:after="120"/>
              <w:jc w:val="center"/>
              <w:rPr>
                <w:b/>
                <w:bCs/>
                <w:i/>
                <w:iCs/>
                <w:sz w:val="20"/>
              </w:rPr>
            </w:pPr>
            <w:r>
              <w:rPr>
                <w:rFonts w:hint="eastAsia"/>
                <w:b/>
                <w:bCs/>
                <w:i/>
                <w:iCs/>
                <w:sz w:val="20"/>
              </w:rPr>
              <w:t>14.8</w:t>
            </w:r>
          </w:p>
        </w:tc>
        <w:tc>
          <w:tcPr>
            <w:tcW w:w="1392" w:type="dxa"/>
            <w:vAlign w:val="center"/>
          </w:tcPr>
          <w:p>
            <w:pPr>
              <w:spacing w:before="120" w:after="120"/>
              <w:jc w:val="center"/>
              <w:rPr>
                <w:b/>
                <w:bCs/>
                <w:i/>
                <w:iCs/>
                <w:sz w:val="20"/>
              </w:rPr>
            </w:pPr>
            <w:r>
              <w:rPr>
                <w:rFonts w:hint="eastAsia"/>
                <w:b/>
                <w:bCs/>
                <w:i/>
                <w:iCs/>
                <w:sz w:val="20"/>
              </w:rPr>
              <w:t>7.8</w:t>
            </w:r>
          </w:p>
        </w:tc>
        <w:tc>
          <w:tcPr>
            <w:tcW w:w="1393" w:type="dxa"/>
            <w:vAlign w:val="center"/>
          </w:tcPr>
          <w:p>
            <w:pPr>
              <w:spacing w:before="120" w:after="120"/>
              <w:jc w:val="center"/>
              <w:rPr>
                <w:b/>
                <w:bCs/>
                <w:i/>
                <w:iCs/>
                <w:sz w:val="20"/>
              </w:rPr>
            </w:pPr>
            <w:r>
              <w:rPr>
                <w:rFonts w:hint="eastAsia"/>
                <w:b/>
                <w:bCs/>
                <w:i/>
                <w:iCs/>
                <w:sz w:val="20"/>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vAlign w:val="center"/>
          </w:tcPr>
          <w:p>
            <w:pPr>
              <w:spacing w:before="120" w:after="120"/>
              <w:jc w:val="center"/>
              <w:rPr>
                <w:b/>
                <w:bCs/>
                <w:i/>
                <w:iCs/>
                <w:sz w:val="20"/>
              </w:rPr>
            </w:pPr>
            <w:r>
              <w:rPr>
                <w:rFonts w:hint="eastAsia"/>
                <w:b/>
                <w:bCs/>
                <w:i/>
                <w:iCs/>
                <w:sz w:val="20"/>
              </w:rPr>
              <w:t>Urban Marco</w:t>
            </w:r>
          </w:p>
        </w:tc>
        <w:tc>
          <w:tcPr>
            <w:tcW w:w="1392" w:type="dxa"/>
            <w:vAlign w:val="center"/>
          </w:tcPr>
          <w:p>
            <w:pPr>
              <w:spacing w:before="120" w:after="120"/>
              <w:jc w:val="center"/>
              <w:rPr>
                <w:b/>
                <w:bCs/>
                <w:i/>
                <w:iCs/>
                <w:sz w:val="20"/>
              </w:rPr>
            </w:pPr>
            <w:r>
              <w:rPr>
                <w:rFonts w:hint="eastAsia"/>
                <w:b/>
                <w:bCs/>
                <w:i/>
                <w:iCs/>
                <w:sz w:val="20"/>
              </w:rPr>
              <w:t>10.0</w:t>
            </w:r>
          </w:p>
        </w:tc>
        <w:tc>
          <w:tcPr>
            <w:tcW w:w="1392" w:type="dxa"/>
            <w:vAlign w:val="center"/>
          </w:tcPr>
          <w:p>
            <w:pPr>
              <w:spacing w:before="120" w:after="120"/>
              <w:jc w:val="center"/>
              <w:rPr>
                <w:b/>
                <w:bCs/>
                <w:i/>
                <w:iCs/>
                <w:sz w:val="20"/>
              </w:rPr>
            </w:pPr>
            <w:r>
              <w:rPr>
                <w:rFonts w:hint="eastAsia"/>
                <w:b/>
                <w:bCs/>
                <w:i/>
                <w:iCs/>
                <w:sz w:val="20"/>
              </w:rPr>
              <w:t>-</w:t>
            </w:r>
          </w:p>
        </w:tc>
        <w:tc>
          <w:tcPr>
            <w:tcW w:w="1392" w:type="dxa"/>
            <w:vAlign w:val="center"/>
          </w:tcPr>
          <w:p>
            <w:pPr>
              <w:spacing w:before="120" w:after="120"/>
              <w:jc w:val="center"/>
              <w:rPr>
                <w:b/>
                <w:bCs/>
                <w:i/>
                <w:iCs/>
                <w:sz w:val="20"/>
              </w:rPr>
            </w:pPr>
            <w:r>
              <w:rPr>
                <w:rFonts w:hint="eastAsia"/>
                <w:b/>
                <w:bCs/>
                <w:i/>
                <w:iCs/>
                <w:sz w:val="20"/>
              </w:rPr>
              <w:t>11.6</w:t>
            </w:r>
          </w:p>
        </w:tc>
        <w:tc>
          <w:tcPr>
            <w:tcW w:w="1392" w:type="dxa"/>
            <w:vAlign w:val="center"/>
          </w:tcPr>
          <w:p>
            <w:pPr>
              <w:spacing w:before="120" w:after="120"/>
              <w:jc w:val="center"/>
              <w:rPr>
                <w:b/>
                <w:bCs/>
                <w:i/>
                <w:iCs/>
                <w:sz w:val="20"/>
              </w:rPr>
            </w:pPr>
            <w:r>
              <w:rPr>
                <w:rFonts w:hint="eastAsia"/>
                <w:b/>
                <w:bCs/>
                <w:i/>
                <w:iCs/>
                <w:sz w:val="20"/>
              </w:rPr>
              <w:t>-</w:t>
            </w:r>
          </w:p>
        </w:tc>
        <w:tc>
          <w:tcPr>
            <w:tcW w:w="1392" w:type="dxa"/>
            <w:vAlign w:val="center"/>
          </w:tcPr>
          <w:p>
            <w:pPr>
              <w:spacing w:before="120" w:after="120"/>
              <w:jc w:val="center"/>
              <w:rPr>
                <w:b/>
                <w:bCs/>
                <w:i/>
                <w:iCs/>
                <w:sz w:val="20"/>
              </w:rPr>
            </w:pPr>
            <w:r>
              <w:rPr>
                <w:rFonts w:hint="eastAsia"/>
                <w:b/>
                <w:bCs/>
                <w:i/>
                <w:iCs/>
                <w:sz w:val="20"/>
              </w:rPr>
              <w:t>6.0</w:t>
            </w:r>
          </w:p>
        </w:tc>
        <w:tc>
          <w:tcPr>
            <w:tcW w:w="1393" w:type="dxa"/>
            <w:vAlign w:val="center"/>
          </w:tcPr>
          <w:p>
            <w:pPr>
              <w:spacing w:before="120" w:after="120"/>
              <w:jc w:val="center"/>
              <w:rPr>
                <w:b/>
                <w:bCs/>
                <w:i/>
                <w:iCs/>
                <w:sz w:val="20"/>
              </w:rPr>
            </w:pPr>
            <w:r>
              <w:rPr>
                <w:rFonts w:hint="eastAsia"/>
                <w:b/>
                <w:bCs/>
                <w:i/>
                <w:iCs/>
                <w:sz w:val="20"/>
              </w:rPr>
              <w:t>-</w:t>
            </w:r>
          </w:p>
        </w:tc>
      </w:tr>
    </w:tbl>
    <w:p/>
    <w:p>
      <w:pPr>
        <w:pStyle w:val="13"/>
        <w:tabs>
          <w:tab w:val="right" w:leader="dot" w:pos="9660"/>
          <w:tab w:val="clear" w:pos="0"/>
        </w:tabs>
        <w:jc w:val="both"/>
      </w:pPr>
      <w:r>
        <w:rPr>
          <w:szCs w:val="22"/>
        </w:rPr>
        <w:fldChar w:fldCharType="begin"/>
      </w:r>
      <w:r>
        <w:rPr>
          <w:szCs w:val="22"/>
        </w:rPr>
        <w:instrText xml:space="preserve"> HYPERLINK \l _Toc31810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eastAsia="宋体"/>
          <w:lang w:val="en-US" w:eastAsia="zh-CN"/>
        </w:rPr>
        <w:t>Some performance difference can be observed under different traffic model ratios.</w:t>
      </w:r>
      <w:r>
        <w:rPr>
          <w:szCs w:val="22"/>
        </w:rPr>
        <w:fldChar w:fldCharType="end"/>
      </w:r>
    </w:p>
    <w:p>
      <w:pPr>
        <w:pStyle w:val="13"/>
        <w:tabs>
          <w:tab w:val="right" w:leader="dot" w:pos="9660"/>
          <w:tab w:val="clear" w:pos="0"/>
        </w:tabs>
        <w:jc w:val="both"/>
        <w:rPr>
          <w:szCs w:val="22"/>
        </w:rPr>
      </w:pPr>
      <w:r>
        <w:rPr>
          <w:szCs w:val="22"/>
        </w:rPr>
        <w:fldChar w:fldCharType="begin"/>
      </w:r>
      <w:r>
        <w:rPr>
          <w:szCs w:val="22"/>
        </w:rPr>
        <w:instrText xml:space="preserve"> HYPERLINK \l _Toc18722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eastAsia="宋体"/>
          <w:lang w:val="en-US" w:eastAsia="zh-CN"/>
        </w:rPr>
        <w:t>For FR1 UL transmission with 99% reliability, the capacity results can be summarized as follows.</w:t>
      </w:r>
      <w:r>
        <w:rPr>
          <w:szCs w:val="22"/>
        </w:rPr>
        <w:fldChar w:fldCharType="end"/>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278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523" w:type="dxa"/>
            <w:vAlign w:val="center"/>
          </w:tcPr>
          <w:p>
            <w:pPr>
              <w:snapToGrid w:val="0"/>
              <w:spacing w:before="120" w:after="120"/>
              <w:jc w:val="center"/>
              <w:rPr>
                <w:b/>
                <w:bCs/>
                <w:i/>
                <w:iCs/>
              </w:rPr>
            </w:pPr>
            <w:r>
              <w:rPr>
                <w:rFonts w:hint="eastAsia"/>
                <w:b/>
                <w:bCs/>
                <w:i/>
                <w:iCs/>
              </w:rPr>
              <w:t>Scenario</w:t>
            </w:r>
          </w:p>
          <w:p>
            <w:pPr>
              <w:spacing w:before="120" w:after="120"/>
              <w:jc w:val="center"/>
              <w:rPr>
                <w:b/>
                <w:bCs/>
                <w:i/>
                <w:iCs/>
              </w:rPr>
            </w:pPr>
            <w:r>
              <w:rPr>
                <w:rFonts w:hint="eastAsia"/>
                <w:b/>
                <w:bCs/>
                <w:i/>
                <w:iCs/>
              </w:rPr>
              <w:t>Traffic</w:t>
            </w:r>
          </w:p>
        </w:tc>
        <w:tc>
          <w:tcPr>
            <w:tcW w:w="2784" w:type="dxa"/>
            <w:vAlign w:val="center"/>
          </w:tcPr>
          <w:p>
            <w:pPr>
              <w:spacing w:before="120" w:after="120"/>
              <w:jc w:val="center"/>
              <w:rPr>
                <w:b/>
                <w:bCs/>
                <w:i/>
                <w:iCs/>
              </w:rPr>
            </w:pPr>
            <w:r>
              <w:rPr>
                <w:rFonts w:hint="eastAsia"/>
                <w:b/>
                <w:bCs/>
                <w:i/>
                <w:iCs/>
              </w:rPr>
              <w:t>Pose/Control Fixed 100 Byte</w:t>
            </w:r>
          </w:p>
        </w:tc>
        <w:tc>
          <w:tcPr>
            <w:tcW w:w="2784" w:type="dxa"/>
            <w:vAlign w:val="center"/>
          </w:tcPr>
          <w:p>
            <w:pPr>
              <w:spacing w:before="120" w:after="120"/>
              <w:jc w:val="center"/>
              <w:rPr>
                <w:b/>
                <w:bCs/>
                <w:i/>
                <w:iCs/>
              </w:rPr>
            </w:pPr>
            <w:r>
              <w:rPr>
                <w:rFonts w:hint="eastAsia"/>
                <w:b/>
                <w:bCs/>
                <w:i/>
                <w:iCs/>
              </w:rPr>
              <w:t>AR, 10Mbps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rPr>
                <w:b/>
                <w:bCs/>
                <w:i/>
                <w:iCs/>
              </w:rPr>
            </w:pPr>
            <w:r>
              <w:rPr>
                <w:rFonts w:hint="eastAsia"/>
                <w:b/>
                <w:bCs/>
                <w:i/>
                <w:iCs/>
              </w:rPr>
              <w:t>Indoor Hotspot</w:t>
            </w:r>
          </w:p>
        </w:tc>
        <w:tc>
          <w:tcPr>
            <w:tcW w:w="2784" w:type="dxa"/>
            <w:vAlign w:val="center"/>
          </w:tcPr>
          <w:p>
            <w:pPr>
              <w:spacing w:before="120" w:after="120"/>
              <w:jc w:val="center"/>
              <w:rPr>
                <w:b/>
                <w:bCs/>
                <w:i/>
                <w:iCs/>
              </w:rPr>
            </w:pPr>
            <w:r>
              <w:rPr>
                <w:rFonts w:hint="eastAsia"/>
                <w:b/>
                <w:bCs/>
                <w:i/>
                <w:iCs/>
              </w:rPr>
              <w:t>&gt;40</w:t>
            </w:r>
          </w:p>
        </w:tc>
        <w:tc>
          <w:tcPr>
            <w:tcW w:w="2784" w:type="dxa"/>
            <w:vAlign w:val="center"/>
          </w:tcPr>
          <w:p>
            <w:pPr>
              <w:spacing w:before="120" w:after="120"/>
              <w:jc w:val="center"/>
              <w:rPr>
                <w:b/>
                <w:bCs/>
                <w:i/>
                <w:iCs/>
              </w:rPr>
            </w:pPr>
            <w:r>
              <w:rPr>
                <w:rFonts w:hint="eastAsia"/>
                <w:b/>
                <w:bCs/>
                <w:i/>
                <w:i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rPr>
                <w:b/>
                <w:bCs/>
                <w:i/>
                <w:iCs/>
              </w:rPr>
            </w:pPr>
            <w:r>
              <w:rPr>
                <w:rFonts w:hint="eastAsia"/>
                <w:b/>
                <w:bCs/>
                <w:i/>
                <w:iCs/>
              </w:rPr>
              <w:t>Dense Urban</w:t>
            </w:r>
          </w:p>
        </w:tc>
        <w:tc>
          <w:tcPr>
            <w:tcW w:w="2784" w:type="dxa"/>
            <w:vAlign w:val="center"/>
          </w:tcPr>
          <w:p>
            <w:pPr>
              <w:spacing w:before="120" w:after="120"/>
              <w:jc w:val="center"/>
              <w:rPr>
                <w:b/>
                <w:bCs/>
                <w:i/>
                <w:iCs/>
              </w:rPr>
            </w:pPr>
            <w:r>
              <w:rPr>
                <w:rFonts w:hint="eastAsia"/>
                <w:b/>
                <w:bCs/>
                <w:i/>
                <w:iCs/>
              </w:rPr>
              <w:t>-</w:t>
            </w:r>
          </w:p>
        </w:tc>
        <w:tc>
          <w:tcPr>
            <w:tcW w:w="2784" w:type="dxa"/>
            <w:vAlign w:val="center"/>
          </w:tcPr>
          <w:p>
            <w:pPr>
              <w:spacing w:before="120" w:after="120"/>
              <w:jc w:val="center"/>
              <w:rPr>
                <w:b/>
                <w:bCs/>
                <w:i/>
                <w:iCs/>
              </w:rPr>
            </w:pPr>
            <w:r>
              <w:rPr>
                <w:rFonts w:hint="eastAsia"/>
                <w:b/>
                <w:bCs/>
                <w:i/>
                <w:iCs/>
              </w:rPr>
              <w:t>10.9</w:t>
            </w:r>
          </w:p>
        </w:tc>
      </w:tr>
    </w:tbl>
    <w:p/>
    <w:p>
      <w:pPr>
        <w:pStyle w:val="13"/>
        <w:tabs>
          <w:tab w:val="right" w:leader="dot" w:pos="9660"/>
          <w:tab w:val="clear" w:pos="0"/>
        </w:tabs>
        <w:jc w:val="both"/>
        <w:rPr>
          <w:szCs w:val="22"/>
        </w:rPr>
      </w:pPr>
      <w:r>
        <w:rPr>
          <w:szCs w:val="22"/>
        </w:rPr>
        <w:fldChar w:fldCharType="begin"/>
      </w:r>
      <w:r>
        <w:rPr>
          <w:szCs w:val="22"/>
        </w:rPr>
        <w:instrText xml:space="preserve"> HYPERLINK \l _Toc26009 </w:instrText>
      </w:r>
      <w:r>
        <w:rPr>
          <w:szCs w:val="22"/>
        </w:rPr>
        <w:fldChar w:fldCharType="separate"/>
      </w:r>
      <w:r>
        <w:rPr>
          <w:rFonts w:hint="default" w:ascii="Times New Roman" w:hAnsi="Times New Roman" w:eastAsia="宋体" w:cs="Times New Roman"/>
          <w:bCs/>
          <w:i/>
          <w:iCs/>
          <w:lang w:val="en-US" w:eastAsia="zh-CN"/>
        </w:rPr>
        <w:t xml:space="preserve">Observation 4: </w:t>
      </w:r>
      <w:r>
        <w:rPr>
          <w:rFonts w:hint="eastAsia" w:eastAsia="宋体"/>
          <w:lang w:val="en-US" w:eastAsia="zh-CN"/>
        </w:rPr>
        <w:t>For FR2 DL transmission with 99% reliability, the capacity results can be summarized as follows.</w:t>
      </w:r>
      <w:r>
        <w:rPr>
          <w:szCs w:val="22"/>
        </w:rPr>
        <w:fldChar w:fldCharType="end"/>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2784"/>
        <w:gridCol w:w="2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523" w:type="dxa"/>
            <w:vAlign w:val="center"/>
          </w:tcPr>
          <w:p>
            <w:pPr>
              <w:snapToGrid w:val="0"/>
              <w:spacing w:before="120" w:after="120"/>
              <w:jc w:val="center"/>
              <w:rPr>
                <w:b/>
                <w:bCs/>
                <w:i/>
                <w:iCs/>
              </w:rPr>
            </w:pPr>
            <w:r>
              <w:rPr>
                <w:rFonts w:hint="eastAsia"/>
                <w:b/>
                <w:bCs/>
                <w:i/>
                <w:iCs/>
              </w:rPr>
              <w:t>Scenario</w:t>
            </w:r>
          </w:p>
          <w:p>
            <w:pPr>
              <w:spacing w:before="120" w:after="120"/>
              <w:jc w:val="center"/>
              <w:rPr>
                <w:b/>
                <w:bCs/>
                <w:i/>
                <w:iCs/>
              </w:rPr>
            </w:pPr>
            <w:r>
              <w:rPr>
                <w:rFonts w:hint="eastAsia"/>
                <w:b/>
                <w:bCs/>
                <w:i/>
                <w:iCs/>
              </w:rPr>
              <w:t>Traffic</w:t>
            </w:r>
          </w:p>
        </w:tc>
        <w:tc>
          <w:tcPr>
            <w:tcW w:w="2784" w:type="dxa"/>
            <w:vAlign w:val="center"/>
          </w:tcPr>
          <w:p>
            <w:pPr>
              <w:spacing w:before="120" w:after="120"/>
              <w:jc w:val="center"/>
              <w:rPr>
                <w:b/>
                <w:bCs/>
                <w:i/>
                <w:iCs/>
              </w:rPr>
            </w:pPr>
            <w:r>
              <w:rPr>
                <w:rFonts w:hint="eastAsia"/>
                <w:b/>
                <w:bCs/>
                <w:i/>
                <w:iCs/>
              </w:rPr>
              <w:t>AR/VR, 30Mbps</w:t>
            </w:r>
          </w:p>
        </w:tc>
        <w:tc>
          <w:tcPr>
            <w:tcW w:w="2784" w:type="dxa"/>
            <w:vAlign w:val="center"/>
          </w:tcPr>
          <w:p>
            <w:pPr>
              <w:spacing w:before="120" w:after="120"/>
              <w:jc w:val="center"/>
              <w:rPr>
                <w:b/>
                <w:bCs/>
                <w:i/>
                <w:iCs/>
              </w:rPr>
            </w:pPr>
            <w:r>
              <w:rPr>
                <w:rFonts w:hint="eastAsia"/>
                <w:b/>
                <w:bCs/>
                <w:i/>
                <w:iCs/>
              </w:rPr>
              <w:t>CG, 30Mbps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3" w:type="dxa"/>
            <w:vAlign w:val="center"/>
          </w:tcPr>
          <w:p>
            <w:pPr>
              <w:spacing w:before="120" w:after="120"/>
              <w:jc w:val="center"/>
              <w:rPr>
                <w:b/>
                <w:bCs/>
                <w:i/>
                <w:iCs/>
              </w:rPr>
            </w:pPr>
            <w:r>
              <w:rPr>
                <w:rFonts w:hint="eastAsia"/>
                <w:b/>
                <w:bCs/>
                <w:i/>
                <w:iCs/>
              </w:rPr>
              <w:t>Indoor Hotspot</w:t>
            </w:r>
          </w:p>
        </w:tc>
        <w:tc>
          <w:tcPr>
            <w:tcW w:w="2784" w:type="dxa"/>
            <w:vAlign w:val="center"/>
          </w:tcPr>
          <w:p>
            <w:pPr>
              <w:spacing w:before="120" w:after="120"/>
              <w:jc w:val="center"/>
              <w:rPr>
                <w:b/>
                <w:bCs/>
                <w:i/>
                <w:iCs/>
              </w:rPr>
            </w:pPr>
            <w:r>
              <w:rPr>
                <w:rFonts w:hint="eastAsia"/>
                <w:b/>
                <w:bCs/>
                <w:i/>
                <w:iCs/>
              </w:rPr>
              <w:t>7.8</w:t>
            </w:r>
          </w:p>
        </w:tc>
        <w:tc>
          <w:tcPr>
            <w:tcW w:w="2784" w:type="dxa"/>
            <w:vAlign w:val="center"/>
          </w:tcPr>
          <w:p>
            <w:pPr>
              <w:spacing w:before="120" w:after="120"/>
              <w:jc w:val="center"/>
              <w:rPr>
                <w:b/>
                <w:bCs/>
                <w:i/>
                <w:iCs/>
              </w:rPr>
            </w:pPr>
            <w:r>
              <w:rPr>
                <w:rFonts w:hint="eastAsia"/>
                <w:b/>
                <w:bCs/>
                <w:i/>
                <w:iCs/>
              </w:rPr>
              <w:t>9.9</w:t>
            </w:r>
          </w:p>
        </w:tc>
      </w:tr>
    </w:tbl>
    <w:p/>
    <w:p>
      <w:pPr>
        <w:pStyle w:val="13"/>
        <w:tabs>
          <w:tab w:val="right" w:leader="dot" w:pos="9660"/>
          <w:tab w:val="clear" w:pos="0"/>
        </w:tabs>
      </w:pPr>
      <w:r>
        <w:rPr>
          <w:szCs w:val="22"/>
        </w:rPr>
        <w:fldChar w:fldCharType="begin"/>
      </w:r>
      <w:r>
        <w:rPr>
          <w:szCs w:val="22"/>
        </w:rPr>
        <w:instrText xml:space="preserve"> HYPERLINK \l _Toc16987 </w:instrText>
      </w:r>
      <w:r>
        <w:rPr>
          <w:szCs w:val="22"/>
        </w:rPr>
        <w:fldChar w:fldCharType="separate"/>
      </w:r>
      <w:r>
        <w:rPr>
          <w:rFonts w:hint="default" w:ascii="Times New Roman" w:hAnsi="Times New Roman" w:eastAsia="宋体" w:cs="Times New Roman"/>
          <w:bCs/>
          <w:i/>
          <w:iCs/>
          <w:lang w:val="en-US" w:eastAsia="zh-CN"/>
        </w:rPr>
        <w:t xml:space="preserve">Observation 5: </w:t>
      </w:r>
      <w:r>
        <w:rPr>
          <w:rFonts w:hint="eastAsia" w:eastAsia="宋体"/>
          <w:lang w:val="en-US" w:eastAsia="zh-CN"/>
        </w:rPr>
        <w:t>Reducing the data rate requirement can increase system capacity.</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_Toc9038 </w:instrText>
      </w:r>
      <w:r>
        <w:rPr>
          <w:szCs w:val="22"/>
        </w:rPr>
        <w:fldChar w:fldCharType="separate"/>
      </w:r>
      <w:r>
        <w:rPr>
          <w:rFonts w:hint="default" w:ascii="Times New Roman" w:hAnsi="Times New Roman" w:eastAsia="宋体" w:cs="Times New Roman"/>
          <w:bCs/>
          <w:i/>
          <w:iCs/>
          <w:lang w:val="en-US" w:eastAsia="zh-CN"/>
        </w:rPr>
        <w:t xml:space="preserve">Observation 6: </w:t>
      </w:r>
      <w:r>
        <w:rPr>
          <w:rFonts w:hint="eastAsia" w:eastAsia="宋体"/>
          <w:lang w:val="en-US" w:eastAsia="zh-CN"/>
        </w:rPr>
        <w:t>Relaxing the PDB can increase system capacity</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_Toc12731 </w:instrText>
      </w:r>
      <w:r>
        <w:rPr>
          <w:szCs w:val="22"/>
        </w:rPr>
        <w:fldChar w:fldCharType="separate"/>
      </w:r>
      <w:r>
        <w:rPr>
          <w:rFonts w:hint="default" w:ascii="Times New Roman" w:hAnsi="Times New Roman" w:eastAsia="宋体" w:cs="Times New Roman"/>
          <w:bCs/>
          <w:i/>
          <w:iCs/>
          <w:lang w:val="en-US" w:eastAsia="zh-CN"/>
        </w:rPr>
        <w:t xml:space="preserve">Observation 7: </w:t>
      </w:r>
      <w:r>
        <w:rPr>
          <w:rFonts w:hint="eastAsia" w:eastAsia="宋体"/>
          <w:lang w:val="en-US" w:eastAsia="zh-CN"/>
        </w:rPr>
        <w:t>Relaxing the PER can increase system capacity.</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_Toc28116 </w:instrText>
      </w:r>
      <w:r>
        <w:rPr>
          <w:szCs w:val="22"/>
        </w:rPr>
        <w:fldChar w:fldCharType="separate"/>
      </w:r>
      <w:r>
        <w:rPr>
          <w:rFonts w:hint="default" w:ascii="Times New Roman" w:hAnsi="Times New Roman" w:eastAsia="宋体" w:cs="Times New Roman"/>
          <w:bCs/>
          <w:i/>
          <w:iCs/>
          <w:lang w:val="en-US" w:eastAsia="zh-CN"/>
        </w:rPr>
        <w:t xml:space="preserve">Observation 8: </w:t>
      </w:r>
      <w:r>
        <w:rPr>
          <w:rFonts w:hint="eastAsia" w:eastAsia="宋体"/>
          <w:lang w:val="en-US" w:eastAsia="zh-CN"/>
        </w:rPr>
        <w:t>For GOP-based traffic model, relaxing the reliability of I-frame is capable of significantly improving system capacity while relaxing the reliability of P-frame slightly improves system capacity.</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_Toc20951 </w:instrText>
      </w:r>
      <w:r>
        <w:rPr>
          <w:szCs w:val="22"/>
        </w:rPr>
        <w:fldChar w:fldCharType="separate"/>
      </w:r>
      <w:r>
        <w:rPr>
          <w:rFonts w:hint="default" w:ascii="Times New Roman" w:hAnsi="Times New Roman" w:eastAsia="宋体" w:cs="Times New Roman"/>
          <w:bCs/>
          <w:i/>
          <w:iCs/>
          <w:lang w:val="en-US" w:eastAsia="zh-CN"/>
        </w:rPr>
        <w:t xml:space="preserve">Observation 9: </w:t>
      </w:r>
      <w:r>
        <w:rPr>
          <w:rFonts w:hint="eastAsia" w:eastAsia="宋体"/>
          <w:lang w:val="en-US" w:eastAsia="zh-CN"/>
        </w:rPr>
        <w:t>For Slice-based traffic model, relaxing the reliability of P slice is capable of significantly improving system capacity.</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_Toc12695 </w:instrText>
      </w:r>
      <w:r>
        <w:rPr>
          <w:szCs w:val="22"/>
        </w:rPr>
        <w:fldChar w:fldCharType="separate"/>
      </w:r>
      <w:r>
        <w:rPr>
          <w:rFonts w:hint="default" w:ascii="Times New Roman" w:hAnsi="Times New Roman" w:eastAsia="宋体" w:cs="Times New Roman"/>
          <w:bCs/>
          <w:i/>
          <w:iCs/>
          <w:lang w:val="en-US" w:eastAsia="zh-CN"/>
        </w:rPr>
        <w:t xml:space="preserve">Observation 10: </w:t>
      </w:r>
      <w:r>
        <w:rPr>
          <w:rFonts w:hint="eastAsia" w:eastAsia="宋体"/>
          <w:lang w:val="en-US" w:eastAsia="zh-CN"/>
        </w:rPr>
        <w:t>Finer granularity preemption indication should be considered for XR coexistence.</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_Toc12527 </w:instrText>
      </w:r>
      <w:r>
        <w:rPr>
          <w:szCs w:val="22"/>
        </w:rPr>
        <w:fldChar w:fldCharType="separate"/>
      </w:r>
      <w:r>
        <w:rPr>
          <w:rFonts w:hint="default" w:ascii="Times New Roman" w:hAnsi="Times New Roman" w:eastAsia="宋体" w:cs="Times New Roman"/>
          <w:bCs/>
          <w:i/>
          <w:iCs/>
          <w:lang w:val="en-US" w:eastAsia="zh-CN"/>
        </w:rPr>
        <w:t xml:space="preserve">Observation 11: </w:t>
      </w:r>
      <w:r>
        <w:rPr>
          <w:rFonts w:hint="eastAsia" w:eastAsia="宋体"/>
          <w:lang w:val="en-US" w:eastAsia="zh-CN"/>
        </w:rPr>
        <w:t>The system capacity of enhanced preemption indication scheme can be improved by finer granularity indication, and the resource utilization of enhanced preemption indication scheme can be reduced by finer granularity indication.</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_Toc20813 </w:instrText>
      </w:r>
      <w:r>
        <w:rPr>
          <w:szCs w:val="22"/>
        </w:rPr>
        <w:fldChar w:fldCharType="separate"/>
      </w:r>
      <w:r>
        <w:rPr>
          <w:rFonts w:hint="default" w:ascii="Times New Roman" w:hAnsi="Times New Roman" w:eastAsia="宋体" w:cs="Times New Roman"/>
          <w:bCs/>
          <w:i/>
          <w:iCs/>
          <w:lang w:val="en-US"/>
        </w:rPr>
        <w:t xml:space="preserve">Observation 12: </w:t>
      </w:r>
      <w:r>
        <w:t xml:space="preserve">Comparing to UE always on, following is observed for </w:t>
      </w:r>
      <w:r>
        <w:rPr>
          <w:bCs/>
        </w:rPr>
        <w:t xml:space="preserve">DL </w:t>
      </w:r>
      <w:r>
        <w:rPr>
          <w:rFonts w:hint="eastAsia"/>
          <w:bCs/>
        </w:rPr>
        <w:t>video</w:t>
      </w:r>
      <w:r>
        <w:rPr>
          <w:bCs/>
        </w:rPr>
        <w:t>-stream (30Mbps, 10ms PDB</w:t>
      </w:r>
      <w:r>
        <w:rPr>
          <w:rFonts w:hint="eastAsia"/>
          <w:bCs/>
        </w:rPr>
        <w:t>) +</w:t>
      </w:r>
      <w:r>
        <w:rPr>
          <w:bCs/>
        </w:rPr>
        <w:t xml:space="preserve"> UL pose/control-stream (0.2Mbps, 10ms PDB)</w:t>
      </w:r>
      <w:r>
        <w:rPr>
          <w:rFonts w:hint="eastAsia"/>
          <w:lang w:val="en-US" w:eastAsia="zh-CN"/>
        </w:rPr>
        <w:t xml:space="preserve"> in Indoor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_Toc26225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21.1</w:t>
      </w:r>
      <w:r>
        <w:t>%</w:t>
      </w:r>
      <w:r>
        <w:rPr>
          <w:rFonts w:hint="eastAsia"/>
          <w:lang w:val="en-US" w:eastAsia="zh-CN"/>
        </w:rPr>
        <w:t>,24.3%</w:t>
      </w:r>
      <w:r>
        <w:t xml:space="preserve">} for </w:t>
      </w:r>
      <w:r>
        <w:rPr>
          <w:rFonts w:hint="eastAsia"/>
          <w:lang w:val="en-US" w:eastAsia="zh-CN"/>
        </w:rPr>
        <w:t xml:space="preserve">high </w:t>
      </w:r>
      <w:r>
        <w:t>load with</w:t>
      </w:r>
      <w:r>
        <w:rPr>
          <w:rFonts w:hint="eastAsia"/>
          <w:lang w:val="en-US" w:eastAsia="zh-CN"/>
        </w:rPr>
        <w:t>{3%-10.18%}</w:t>
      </w:r>
      <w:r>
        <w:t xml:space="preserve"> of satisfied UE loss.</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_Toc4087 </w:instrText>
      </w:r>
      <w:r>
        <w:rPr>
          <w:szCs w:val="22"/>
        </w:rPr>
        <w:fldChar w:fldCharType="separate"/>
      </w:r>
      <w:r>
        <w:rPr>
          <w:rFonts w:hint="default" w:ascii="Times New Roman" w:hAnsi="Times New Roman" w:eastAsia="宋体" w:cs="Times New Roman"/>
          <w:bCs/>
          <w:i/>
          <w:iCs/>
          <w:lang w:val="en-US"/>
        </w:rPr>
        <w:t xml:space="preserve">Observation 13: </w:t>
      </w:r>
      <w:r>
        <w:t xml:space="preserve">Comparing to UE always on, following is observed for </w:t>
      </w:r>
      <w:r>
        <w:rPr>
          <w:bCs/>
        </w:rPr>
        <w:t xml:space="preserve">DL </w:t>
      </w:r>
      <w:r>
        <w:rPr>
          <w:rFonts w:hint="eastAsia"/>
          <w:bCs/>
        </w:rPr>
        <w:t>video</w:t>
      </w:r>
      <w:r>
        <w:rPr>
          <w:bCs/>
        </w:rPr>
        <w:t>-stream (</w:t>
      </w:r>
      <w:r>
        <w:rPr>
          <w:rFonts w:hint="eastAsia"/>
          <w:bCs/>
          <w:lang w:val="en-US" w:eastAsia="zh-CN"/>
        </w:rPr>
        <w:t>45</w:t>
      </w:r>
      <w:r>
        <w:rPr>
          <w:bCs/>
        </w:rPr>
        <w:t>Mbps, 1</w:t>
      </w:r>
      <w:r>
        <w:rPr>
          <w:rFonts w:hint="eastAsia"/>
          <w:bCs/>
          <w:lang w:val="en-US" w:eastAsia="zh-CN"/>
        </w:rPr>
        <w:t>0</w:t>
      </w:r>
      <w:r>
        <w:rPr>
          <w:bCs/>
        </w:rPr>
        <w:t>ms PDB</w:t>
      </w:r>
      <w:r>
        <w:rPr>
          <w:rFonts w:hint="eastAsia"/>
          <w:bCs/>
        </w:rPr>
        <w:t>) +</w:t>
      </w:r>
      <w:r>
        <w:rPr>
          <w:bCs/>
        </w:rPr>
        <w:t xml:space="preserve"> UL pose/control-stream (0.2Mbps, 10ms PDB)</w:t>
      </w:r>
      <w:r>
        <w:rPr>
          <w:rFonts w:hint="eastAsia"/>
          <w:lang w:val="en-US" w:eastAsia="zh-CN"/>
        </w:rPr>
        <w:t xml:space="preserve"> in Indoor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_Toc13695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25</w:t>
      </w:r>
      <w:r>
        <w:t>%</w:t>
      </w:r>
      <w:r>
        <w:rPr>
          <w:rFonts w:hint="eastAsia"/>
          <w:lang w:val="en-US" w:eastAsia="zh-CN"/>
        </w:rPr>
        <w:t>,28.6%</w:t>
      </w:r>
      <w:r>
        <w:t xml:space="preserve">} for </w:t>
      </w:r>
      <w:r>
        <w:rPr>
          <w:rFonts w:hint="eastAsia"/>
          <w:lang w:val="en-US" w:eastAsia="zh-CN"/>
        </w:rPr>
        <w:t xml:space="preserve">high </w:t>
      </w:r>
      <w:r>
        <w:t>load with</w:t>
      </w:r>
      <w:r>
        <w:rPr>
          <w:rFonts w:hint="eastAsia"/>
          <w:lang w:val="en-US" w:eastAsia="zh-CN"/>
        </w:rPr>
        <w:t xml:space="preserve"> 4.7% </w:t>
      </w:r>
      <w:r>
        <w:t>of satisfied UE loss.</w:t>
      </w:r>
      <w:r>
        <w:rPr>
          <w:szCs w:val="22"/>
        </w:rPr>
        <w:fldChar w:fldCharType="end"/>
      </w:r>
      <w:r>
        <w:rPr>
          <w:szCs w:val="22"/>
        </w:rPr>
        <w:fldChar w:fldCharType="begin"/>
      </w:r>
      <w:r>
        <w:rPr>
          <w:szCs w:val="22"/>
        </w:rPr>
        <w:instrText xml:space="preserve"> HYPERLINK \l _Toc3227 </w:instrText>
      </w:r>
      <w:r>
        <w:rPr>
          <w:szCs w:val="22"/>
        </w:rPr>
        <w:fldChar w:fldCharType="separate"/>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_Toc32175 </w:instrText>
      </w:r>
      <w:r>
        <w:rPr>
          <w:szCs w:val="22"/>
        </w:rPr>
        <w:fldChar w:fldCharType="separate"/>
      </w:r>
      <w:r>
        <w:rPr>
          <w:rFonts w:hint="default" w:ascii="Times New Roman" w:hAnsi="Times New Roman" w:eastAsia="宋体" w:cs="Times New Roman"/>
          <w:bCs/>
          <w:i/>
          <w:iCs/>
          <w:lang w:val="en-US" w:eastAsia="zh-CN"/>
        </w:rPr>
        <w:t xml:space="preserve">Observation 14: </w:t>
      </w:r>
      <w:r>
        <w:rPr>
          <w:rFonts w:hint="eastAsia"/>
          <w:lang w:val="en-US" w:eastAsia="zh-CN"/>
        </w:rPr>
        <w:t>The difference between power consumption results for all UEs and the counterpart for only satisfied UEs is small.</w:t>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_Toc5113 </w:instrText>
      </w:r>
      <w:r>
        <w:rPr>
          <w:szCs w:val="22"/>
        </w:rPr>
        <w:fldChar w:fldCharType="separate"/>
      </w:r>
      <w:r>
        <w:rPr>
          <w:rFonts w:hint="default" w:ascii="Times New Roman" w:hAnsi="Times New Roman" w:eastAsia="宋体" w:cs="Times New Roman"/>
          <w:bCs/>
          <w:i/>
          <w:iCs/>
          <w:lang w:val="en-US"/>
        </w:rPr>
        <w:t xml:space="preserve">Observation 15: </w:t>
      </w:r>
      <w:r>
        <w:t xml:space="preserve">Comparing to UE always on, following is observed for </w:t>
      </w:r>
      <w:bookmarkStart w:id="55" w:name="_GoBack"/>
      <w:bookmarkEnd w:id="55"/>
      <w:r>
        <w:rPr>
          <w:bCs/>
        </w:rPr>
        <w:t xml:space="preserve">DL </w:t>
      </w:r>
      <w:r>
        <w:rPr>
          <w:rFonts w:hint="eastAsia"/>
          <w:bCs/>
        </w:rPr>
        <w:t>video</w:t>
      </w:r>
      <w:r>
        <w:rPr>
          <w:bCs/>
        </w:rPr>
        <w:t>-stream (</w:t>
      </w:r>
      <w:r>
        <w:rPr>
          <w:rFonts w:hint="eastAsia"/>
          <w:bCs/>
          <w:lang w:val="en-US" w:eastAsia="zh-CN"/>
        </w:rPr>
        <w:t>30</w:t>
      </w:r>
      <w:r>
        <w:rPr>
          <w:bCs/>
        </w:rPr>
        <w:t>Mbps, 1</w:t>
      </w:r>
      <w:r>
        <w:rPr>
          <w:rFonts w:hint="eastAsia"/>
          <w:bCs/>
          <w:lang w:val="en-US" w:eastAsia="zh-CN"/>
        </w:rPr>
        <w:t>5</w:t>
      </w:r>
      <w:r>
        <w:rPr>
          <w:bCs/>
        </w:rPr>
        <w:t>ms PDB</w:t>
      </w:r>
      <w:r>
        <w:rPr>
          <w:rFonts w:hint="eastAsia"/>
          <w:bCs/>
        </w:rPr>
        <w:t>) +</w:t>
      </w:r>
      <w:r>
        <w:rPr>
          <w:bCs/>
        </w:rPr>
        <w:t xml:space="preserve"> UL pose/control-stream (0.2Mbps, 10ms PDB)</w:t>
      </w:r>
      <w:r>
        <w:rPr>
          <w:rFonts w:hint="eastAsia"/>
          <w:lang w:val="en-US" w:eastAsia="zh-CN"/>
        </w:rPr>
        <w:t xml:space="preserve"> in Indoor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_Toc7356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21.3</w:t>
      </w:r>
      <w:r>
        <w:t>%</w:t>
      </w:r>
      <w:r>
        <w:rPr>
          <w:rFonts w:hint="eastAsia"/>
          <w:lang w:val="en-US" w:eastAsia="zh-CN"/>
        </w:rPr>
        <w:t>,22.7%</w:t>
      </w:r>
      <w:r>
        <w:t xml:space="preserve">} for </w:t>
      </w:r>
      <w:r>
        <w:rPr>
          <w:rFonts w:hint="eastAsia"/>
          <w:lang w:val="en-US" w:eastAsia="zh-CN"/>
        </w:rPr>
        <w:t xml:space="preserve">high </w:t>
      </w:r>
      <w:r>
        <w:t>load with</w:t>
      </w:r>
      <w:r>
        <w:rPr>
          <w:rFonts w:hint="eastAsia"/>
          <w:lang w:val="en-US" w:eastAsia="zh-CN"/>
        </w:rPr>
        <w:t xml:space="preserve"> 8.34% </w:t>
      </w:r>
      <w:r>
        <w:t>of satisfied UE loss.</w:t>
      </w:r>
      <w:r>
        <w:rPr>
          <w:szCs w:val="22"/>
        </w:rPr>
        <w:fldChar w:fldCharType="end"/>
      </w:r>
      <w:r>
        <w:rPr>
          <w:szCs w:val="22"/>
        </w:rPr>
        <w:fldChar w:fldCharType="begin"/>
      </w:r>
      <w:r>
        <w:rPr>
          <w:szCs w:val="22"/>
        </w:rPr>
        <w:instrText xml:space="preserve"> HYPERLINK \l _Toc18172 </w:instrText>
      </w:r>
      <w:r>
        <w:rPr>
          <w:szCs w:val="22"/>
        </w:rPr>
        <w:fldChar w:fldCharType="separate"/>
      </w:r>
      <w:r>
        <w:rPr>
          <w:szCs w:val="22"/>
        </w:rPr>
        <w:fldChar w:fldCharType="end"/>
      </w:r>
    </w:p>
    <w:p>
      <w:pPr>
        <w:pStyle w:val="13"/>
        <w:tabs>
          <w:tab w:val="right" w:leader="dot" w:pos="9660"/>
          <w:tab w:val="clear" w:pos="0"/>
        </w:tabs>
      </w:pPr>
      <w:r>
        <w:rPr>
          <w:szCs w:val="22"/>
        </w:rPr>
        <w:fldChar w:fldCharType="begin"/>
      </w:r>
      <w:r>
        <w:rPr>
          <w:szCs w:val="22"/>
        </w:rPr>
        <w:instrText xml:space="preserve"> HYPERLINK \l _Toc17496 </w:instrText>
      </w:r>
      <w:r>
        <w:rPr>
          <w:szCs w:val="22"/>
        </w:rPr>
        <w:fldChar w:fldCharType="separate"/>
      </w:r>
      <w:r>
        <w:rPr>
          <w:rFonts w:hint="default" w:ascii="Times New Roman" w:hAnsi="Times New Roman" w:eastAsia="宋体" w:cs="Times New Roman"/>
          <w:bCs/>
          <w:i/>
          <w:iCs/>
          <w:lang w:val="en-US"/>
        </w:rPr>
        <w:t xml:space="preserve">Observation 16: </w:t>
      </w:r>
      <w:r>
        <w:t xml:space="preserve">Comparing to UE always on, following is observed for </w:t>
      </w:r>
      <w:r>
        <w:rPr>
          <w:bCs/>
        </w:rPr>
        <w:t>VR/AR, 30Mbps, 10ms PDB, 60 FPS</w:t>
      </w:r>
      <w:r>
        <w:rPr>
          <w:rFonts w:hint="eastAsia"/>
          <w:lang w:val="en-US" w:eastAsia="zh-CN"/>
        </w:rPr>
        <w:t xml:space="preserve"> in Indoor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_Toc15072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29</w:t>
      </w:r>
      <w:r>
        <w:t>%</w:t>
      </w:r>
      <w:r>
        <w:rPr>
          <w:rFonts w:hint="eastAsia"/>
          <w:lang w:val="en-US" w:eastAsia="zh-CN"/>
        </w:rPr>
        <w:t>, 34.8%</w:t>
      </w:r>
      <w:r>
        <w:t xml:space="preserve">} for </w:t>
      </w:r>
      <w:r>
        <w:rPr>
          <w:rFonts w:hint="eastAsia"/>
          <w:lang w:val="en-US" w:eastAsia="zh-CN"/>
        </w:rPr>
        <w:t xml:space="preserve">high </w:t>
      </w:r>
      <w:r>
        <w:t>load with</w:t>
      </w:r>
      <w:r>
        <w:rPr>
          <w:rFonts w:hint="eastAsia"/>
          <w:lang w:val="en-US" w:eastAsia="zh-CN"/>
        </w:rPr>
        <w:t xml:space="preserve"> {3%, 10.18%} </w:t>
      </w:r>
      <w:r>
        <w:t>of satisfied UE loss.</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_Toc8867 </w:instrText>
      </w:r>
      <w:r>
        <w:rPr>
          <w:szCs w:val="22"/>
        </w:rPr>
        <w:fldChar w:fldCharType="separate"/>
      </w:r>
      <w:r>
        <w:rPr>
          <w:rFonts w:hint="default" w:ascii="Times New Roman" w:hAnsi="Times New Roman" w:eastAsia="宋体" w:cs="Times New Roman"/>
          <w:bCs/>
          <w:i/>
          <w:iCs/>
          <w:lang w:val="en-US"/>
        </w:rPr>
        <w:t xml:space="preserve">Observation 17: </w:t>
      </w:r>
      <w:r>
        <w:t xml:space="preserve">Comparing to UE always on, following is observed for </w:t>
      </w:r>
      <w:r>
        <w:rPr>
          <w:bCs/>
        </w:rPr>
        <w:t xml:space="preserve">VR/AR, </w:t>
      </w:r>
      <w:r>
        <w:rPr>
          <w:rFonts w:hint="eastAsia"/>
          <w:bCs/>
          <w:lang w:val="en-US" w:eastAsia="zh-CN"/>
        </w:rPr>
        <w:t>45</w:t>
      </w:r>
      <w:r>
        <w:rPr>
          <w:bCs/>
        </w:rPr>
        <w:t>Mbps, 10ms PDB, 60 FPS</w:t>
      </w:r>
      <w:r>
        <w:rPr>
          <w:rFonts w:hint="eastAsia"/>
          <w:lang w:val="en-US" w:eastAsia="zh-CN"/>
        </w:rPr>
        <w:t xml:space="preserve"> in Indoor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_Toc949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29.7</w:t>
      </w:r>
      <w:r>
        <w:t>%</w:t>
      </w:r>
      <w:r>
        <w:rPr>
          <w:rFonts w:hint="eastAsia"/>
          <w:lang w:val="en-US" w:eastAsia="zh-CN"/>
        </w:rPr>
        <w:t>, 32.3%</w:t>
      </w:r>
      <w:r>
        <w:t xml:space="preserve">} for </w:t>
      </w:r>
      <w:r>
        <w:rPr>
          <w:rFonts w:hint="eastAsia"/>
          <w:lang w:val="en-US" w:eastAsia="zh-CN"/>
        </w:rPr>
        <w:t xml:space="preserve">high </w:t>
      </w:r>
      <w:r>
        <w:t>load with</w:t>
      </w:r>
      <w:r>
        <w:rPr>
          <w:rFonts w:hint="eastAsia"/>
          <w:lang w:val="en-US" w:eastAsia="zh-CN"/>
        </w:rPr>
        <w:t xml:space="preserve"> 4.7% </w:t>
      </w:r>
      <w:r>
        <w:t>of satisfied UE loss.</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_Toc26652 </w:instrText>
      </w:r>
      <w:r>
        <w:rPr>
          <w:szCs w:val="22"/>
        </w:rPr>
        <w:fldChar w:fldCharType="separate"/>
      </w:r>
      <w:r>
        <w:rPr>
          <w:rFonts w:hint="default" w:ascii="Times New Roman" w:hAnsi="Times New Roman" w:eastAsia="宋体" w:cs="Times New Roman"/>
          <w:bCs/>
          <w:i/>
          <w:iCs/>
          <w:lang w:val="en-US"/>
        </w:rPr>
        <w:t xml:space="preserve">Observation 18: </w:t>
      </w:r>
      <w:r>
        <w:t xml:space="preserve">Comparing to UE always on, following is observed for </w:t>
      </w:r>
      <w:r>
        <w:rPr>
          <w:rFonts w:hint="eastAsia"/>
          <w:bCs/>
          <w:lang w:val="en-US" w:eastAsia="zh-CN"/>
        </w:rPr>
        <w:t>CG</w:t>
      </w:r>
      <w:r>
        <w:rPr>
          <w:bCs/>
        </w:rPr>
        <w:t>, 30Mbps, 1</w:t>
      </w:r>
      <w:r>
        <w:rPr>
          <w:rFonts w:hint="eastAsia"/>
          <w:bCs/>
          <w:lang w:val="en-US" w:eastAsia="zh-CN"/>
        </w:rPr>
        <w:t>5</w:t>
      </w:r>
      <w:r>
        <w:rPr>
          <w:bCs/>
        </w:rPr>
        <w:t>ms PDB, 60 FPS</w:t>
      </w:r>
      <w:r>
        <w:rPr>
          <w:rFonts w:hint="eastAsia"/>
          <w:lang w:val="en-US" w:eastAsia="zh-CN"/>
        </w:rPr>
        <w:t xml:space="preserve"> in Indoor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_Toc29191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32.4</w:t>
      </w:r>
      <w:r>
        <w:t>%</w:t>
      </w:r>
      <w:r>
        <w:rPr>
          <w:rFonts w:hint="eastAsia"/>
          <w:lang w:val="en-US" w:eastAsia="zh-CN"/>
        </w:rPr>
        <w:t>, 34.5%</w:t>
      </w:r>
      <w:r>
        <w:t xml:space="preserve">} for </w:t>
      </w:r>
      <w:r>
        <w:rPr>
          <w:rFonts w:hint="eastAsia"/>
          <w:lang w:val="en-US" w:eastAsia="zh-CN"/>
        </w:rPr>
        <w:t xml:space="preserve">high </w:t>
      </w:r>
      <w:r>
        <w:t>load with</w:t>
      </w:r>
      <w:r>
        <w:rPr>
          <w:rFonts w:hint="eastAsia"/>
          <w:lang w:val="en-US" w:eastAsia="zh-CN"/>
        </w:rPr>
        <w:t xml:space="preserve"> 8.34% </w:t>
      </w:r>
      <w:r>
        <w:t>of satisfied UE loss.</w:t>
      </w:r>
      <w:r>
        <w:rPr>
          <w:szCs w:val="22"/>
        </w:rPr>
        <w:fldChar w:fldCharType="end"/>
      </w:r>
      <w:r>
        <w:rPr>
          <w:szCs w:val="22"/>
        </w:rPr>
        <w:fldChar w:fldCharType="begin"/>
      </w:r>
      <w:r>
        <w:rPr>
          <w:szCs w:val="22"/>
        </w:rPr>
        <w:instrText xml:space="preserve"> HYPERLINK \l _Toc30440 </w:instrText>
      </w:r>
      <w:r>
        <w:rPr>
          <w:szCs w:val="22"/>
        </w:rPr>
        <w:fldChar w:fldCharType="separate"/>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_Toc10277 </w:instrText>
      </w:r>
      <w:r>
        <w:rPr>
          <w:szCs w:val="22"/>
        </w:rPr>
        <w:fldChar w:fldCharType="separate"/>
      </w:r>
      <w:r>
        <w:rPr>
          <w:rFonts w:hint="default" w:ascii="Times New Roman" w:hAnsi="Times New Roman" w:eastAsia="宋体" w:cs="Times New Roman"/>
          <w:bCs/>
          <w:i/>
          <w:iCs/>
          <w:lang w:val="en-US"/>
        </w:rPr>
        <w:t xml:space="preserve">Observation 19: </w:t>
      </w:r>
      <w:r>
        <w:t xml:space="preserve">Comparing to UE always on, following is observed for </w:t>
      </w:r>
      <w:r>
        <w:rPr>
          <w:bCs/>
        </w:rPr>
        <w:t xml:space="preserve">VR/AR, </w:t>
      </w:r>
      <w:r>
        <w:rPr>
          <w:rFonts w:hint="eastAsia"/>
          <w:bCs/>
          <w:lang w:val="en-US" w:eastAsia="zh-CN"/>
        </w:rPr>
        <w:t>45</w:t>
      </w:r>
      <w:r>
        <w:rPr>
          <w:bCs/>
        </w:rPr>
        <w:t>Mbps, 10ms PDB, 60 FPS</w:t>
      </w:r>
      <w:r>
        <w:rPr>
          <w:rFonts w:hint="eastAsia"/>
          <w:lang w:val="en-US" w:eastAsia="zh-CN"/>
        </w:rPr>
        <w:t xml:space="preserve"> in dense urban scenario</w:t>
      </w:r>
      <w:r>
        <w:t>:</w:t>
      </w:r>
      <w:r>
        <w:rPr>
          <w:szCs w:val="22"/>
        </w:rPr>
        <w:fldChar w:fldCharType="end"/>
      </w:r>
    </w:p>
    <w:p>
      <w:pPr>
        <w:pStyle w:val="13"/>
        <w:tabs>
          <w:tab w:val="right" w:leader="dot" w:pos="9660"/>
          <w:tab w:val="clear" w:pos="0"/>
        </w:tabs>
        <w:jc w:val="both"/>
      </w:pPr>
      <w:r>
        <w:rPr>
          <w:szCs w:val="22"/>
        </w:rPr>
        <w:fldChar w:fldCharType="begin"/>
      </w:r>
      <w:r>
        <w:rPr>
          <w:szCs w:val="22"/>
        </w:rPr>
        <w:instrText xml:space="preserve"> HYPERLINK \l _Toc10558 </w:instrText>
      </w:r>
      <w:r>
        <w:rPr>
          <w:szCs w:val="22"/>
        </w:rPr>
        <w:fldChar w:fldCharType="separate"/>
      </w:r>
      <w:r>
        <w:rPr>
          <w:rFonts w:hint="eastAsia"/>
          <w:lang w:val="en-US" w:eastAsia="zh-CN"/>
        </w:rPr>
        <w:t xml:space="preserve">- </w:t>
      </w:r>
      <w:r>
        <w:rPr>
          <w:rFonts w:hint="eastAsia"/>
        </w:rPr>
        <w:t>f</w:t>
      </w:r>
      <w:r>
        <w:t xml:space="preserve">or </w:t>
      </w:r>
      <w:r>
        <w:rPr>
          <w:rFonts w:hint="eastAsia"/>
          <w:lang w:val="en-US" w:eastAsia="zh-CN"/>
        </w:rPr>
        <w:t>e</w:t>
      </w:r>
      <w:r>
        <w:t>CDRX power saving scheme, the power saving gain is in the range of {</w:t>
      </w:r>
      <w:r>
        <w:rPr>
          <w:rFonts w:hint="eastAsia"/>
          <w:lang w:val="en-US" w:eastAsia="zh-CN"/>
        </w:rPr>
        <w:t>29.9</w:t>
      </w:r>
      <w:r>
        <w:t>%</w:t>
      </w:r>
      <w:r>
        <w:rPr>
          <w:rFonts w:hint="eastAsia"/>
          <w:lang w:val="en-US" w:eastAsia="zh-CN"/>
        </w:rPr>
        <w:t>, 31.23%</w:t>
      </w:r>
      <w:r>
        <w:t xml:space="preserve">} for </w:t>
      </w:r>
      <w:r>
        <w:rPr>
          <w:rFonts w:hint="eastAsia"/>
          <w:lang w:val="en-US" w:eastAsia="zh-CN"/>
        </w:rPr>
        <w:t xml:space="preserve">high </w:t>
      </w:r>
      <w:r>
        <w:t>load with</w:t>
      </w:r>
      <w:r>
        <w:rPr>
          <w:rFonts w:hint="eastAsia"/>
          <w:lang w:val="en-US" w:eastAsia="zh-CN"/>
        </w:rPr>
        <w:t xml:space="preserve"> 6.6% </w:t>
      </w:r>
      <w:r>
        <w:t>of satisfied UE loss.</w:t>
      </w:r>
      <w:r>
        <w:rPr>
          <w:szCs w:val="22"/>
        </w:rPr>
        <w:fldChar w:fldCharType="end"/>
      </w:r>
    </w:p>
    <w:p>
      <w:pPr>
        <w:spacing w:before="120" w:after="120"/>
      </w:pPr>
      <w:r>
        <w:rPr>
          <w:szCs w:val="22"/>
        </w:rPr>
        <w:fldChar w:fldCharType="end"/>
      </w:r>
    </w:p>
    <w:p>
      <w:pPr>
        <w:pStyle w:val="2"/>
        <w:spacing w:before="120" w:after="120"/>
        <w:ind w:left="0"/>
        <w:rPr>
          <w:rFonts w:eastAsia="宋体"/>
        </w:rPr>
      </w:pPr>
      <w:r>
        <w:rPr>
          <w:rFonts w:hint="eastAsia" w:eastAsia="宋体"/>
        </w:rPr>
        <w:t>Reference</w:t>
      </w:r>
      <w:r>
        <w:rPr>
          <w:rFonts w:eastAsia="宋体"/>
        </w:rPr>
        <w:t>s</w:t>
      </w:r>
    </w:p>
    <w:p>
      <w:pPr>
        <w:pStyle w:val="28"/>
        <w:spacing w:before="120" w:after="120"/>
        <w:ind w:left="363" w:hanging="363"/>
        <w:rPr>
          <w:sz w:val="20"/>
          <w:szCs w:val="20"/>
        </w:rPr>
      </w:pPr>
      <w:bookmarkStart w:id="48" w:name="_Ref18691"/>
      <w:r>
        <w:rPr>
          <w:sz w:val="20"/>
          <w:szCs w:val="20"/>
        </w:rPr>
        <w:t>“RAN1 Chair’s Notes”</w:t>
      </w:r>
      <w:r>
        <w:rPr>
          <w:rFonts w:hint="eastAsia"/>
          <w:sz w:val="20"/>
          <w:szCs w:val="20"/>
        </w:rPr>
        <w:t>, 3GPP TSG RAN WG1 #106-e, e-Meeting, August 16th - 27th, 2021.</w:t>
      </w:r>
    </w:p>
    <w:p>
      <w:pPr>
        <w:pStyle w:val="28"/>
        <w:spacing w:before="120" w:after="120"/>
        <w:ind w:left="363" w:hanging="363"/>
        <w:rPr>
          <w:sz w:val="20"/>
          <w:szCs w:val="20"/>
        </w:rPr>
      </w:pPr>
      <w:r>
        <w:rPr>
          <w:rFonts w:hint="eastAsia"/>
          <w:sz w:val="20"/>
          <w:szCs w:val="20"/>
        </w:rPr>
        <w:t xml:space="preserve">R1-2108890, </w:t>
      </w:r>
      <w:r>
        <w:rPr>
          <w:sz w:val="20"/>
          <w:szCs w:val="20"/>
        </w:rPr>
        <w:t>“</w:t>
      </w:r>
      <w:r>
        <w:rPr>
          <w:rFonts w:hint="eastAsia"/>
          <w:sz w:val="20"/>
          <w:szCs w:val="20"/>
        </w:rPr>
        <w:t>Remaining Issues on XR Traffic and Evaluation Methodology</w:t>
      </w:r>
      <w:r>
        <w:rPr>
          <w:sz w:val="20"/>
          <w:szCs w:val="20"/>
        </w:rPr>
        <w:t>”</w:t>
      </w:r>
      <w:r>
        <w:rPr>
          <w:rFonts w:hint="eastAsia"/>
          <w:sz w:val="20"/>
          <w:szCs w:val="20"/>
        </w:rPr>
        <w:t>, ZTE, Sanechips, 3GPP TSG RAN WG1 #106bis-e, e-Meeting, October 11th - 19th, 2021.</w:t>
      </w:r>
    </w:p>
    <w:p>
      <w:pPr>
        <w:pStyle w:val="28"/>
        <w:spacing w:before="120" w:after="120"/>
        <w:ind w:left="363" w:hanging="363"/>
        <w:rPr>
          <w:sz w:val="20"/>
          <w:szCs w:val="20"/>
        </w:rPr>
      </w:pPr>
      <w:r>
        <w:rPr>
          <w:rFonts w:hint="eastAsia"/>
          <w:sz w:val="20"/>
          <w:szCs w:val="20"/>
        </w:rPr>
        <w:t xml:space="preserve">3GPP TR38.824 </w:t>
      </w:r>
      <w:r>
        <w:t>V16.0.0</w:t>
      </w:r>
      <w:r>
        <w:rPr>
          <w:rFonts w:hint="eastAsia"/>
        </w:rPr>
        <w:t xml:space="preserve">, </w:t>
      </w:r>
      <w:r>
        <w:t>“</w:t>
      </w:r>
      <w:r>
        <w:rPr>
          <w:rFonts w:hint="eastAsia"/>
        </w:rPr>
        <w:t>Study on physical layer enhancements for NR ultra-reliable and low-latency case (URLLC) (Release 16)</w:t>
      </w:r>
      <w:r>
        <w:t>”</w:t>
      </w:r>
    </w:p>
    <w:p>
      <w:pPr>
        <w:pStyle w:val="28"/>
        <w:spacing w:before="120" w:after="120"/>
        <w:ind w:left="363" w:hanging="363"/>
        <w:rPr>
          <w:sz w:val="20"/>
          <w:szCs w:val="20"/>
        </w:rPr>
      </w:pPr>
      <w:r>
        <w:rPr>
          <w:sz w:val="20"/>
          <w:szCs w:val="20"/>
        </w:rPr>
        <w:t>R1-1901250</w:t>
      </w:r>
      <w:r>
        <w:rPr>
          <w:rFonts w:hint="eastAsia"/>
          <w:sz w:val="20"/>
          <w:szCs w:val="20"/>
        </w:rPr>
        <w:t xml:space="preserve">, </w:t>
      </w:r>
      <w:r>
        <w:rPr>
          <w:sz w:val="20"/>
          <w:szCs w:val="20"/>
        </w:rPr>
        <w:t>“Baseline performance achievable with Rel-15 URLLC for R15 enabled cases”</w:t>
      </w:r>
      <w:r>
        <w:rPr>
          <w:rFonts w:hint="eastAsia"/>
          <w:sz w:val="20"/>
          <w:szCs w:val="20"/>
        </w:rPr>
        <w:t>, Huawei, HiSilicon, 3GPP TSG RAN WG1 Ad-Hoc Meeting 1901, Taipei, 21st - 25th January, 2019.</w:t>
      </w:r>
    </w:p>
    <w:p>
      <w:pPr>
        <w:pStyle w:val="28"/>
        <w:spacing w:before="120" w:after="120"/>
        <w:ind w:left="363" w:hanging="363"/>
        <w:rPr>
          <w:sz w:val="20"/>
          <w:szCs w:val="20"/>
        </w:rPr>
      </w:pPr>
      <w:r>
        <w:rPr>
          <w:sz w:val="20"/>
          <w:szCs w:val="20"/>
          <w:lang w:val="sv-SE"/>
        </w:rPr>
        <w:t>R1-1900079</w:t>
      </w:r>
      <w:r>
        <w:rPr>
          <w:rFonts w:hint="eastAsia"/>
          <w:sz w:val="20"/>
          <w:szCs w:val="20"/>
        </w:rPr>
        <w:t xml:space="preserve">, </w:t>
      </w:r>
      <w:r>
        <w:rPr>
          <w:sz w:val="20"/>
          <w:szCs w:val="20"/>
        </w:rPr>
        <w:t>“Performance evaluation for Rel-15 enabled use case</w:t>
      </w:r>
      <w:r>
        <w:rPr>
          <w:rFonts w:hint="eastAsia"/>
          <w:sz w:val="20"/>
          <w:szCs w:val="20"/>
        </w:rPr>
        <w:t>s</w:t>
      </w:r>
      <w:r>
        <w:rPr>
          <w:sz w:val="20"/>
          <w:szCs w:val="20"/>
        </w:rPr>
        <w:t>”</w:t>
      </w:r>
      <w:r>
        <w:rPr>
          <w:rFonts w:hint="eastAsia"/>
          <w:sz w:val="20"/>
          <w:szCs w:val="20"/>
        </w:rPr>
        <w:t>, ZTE, Sanechips, 3GPP TSG RAN WG1 Ad-Hoc Meeting 1901, Taipei, 21st - 25th January, 2019.</w:t>
      </w:r>
    </w:p>
    <w:p>
      <w:pPr>
        <w:pStyle w:val="28"/>
        <w:spacing w:before="120" w:after="120"/>
        <w:ind w:left="363" w:hanging="363"/>
        <w:rPr>
          <w:sz w:val="20"/>
          <w:szCs w:val="20"/>
        </w:rPr>
      </w:pPr>
      <w:r>
        <w:rPr>
          <w:sz w:val="20"/>
          <w:szCs w:val="20"/>
          <w:lang w:val="sv-SE"/>
        </w:rPr>
        <w:t>R1-1900976</w:t>
      </w:r>
      <w:r>
        <w:rPr>
          <w:rFonts w:hint="eastAsia"/>
          <w:sz w:val="20"/>
          <w:szCs w:val="20"/>
        </w:rPr>
        <w:t xml:space="preserve">, </w:t>
      </w:r>
      <w:r>
        <w:rPr>
          <w:sz w:val="20"/>
          <w:szCs w:val="20"/>
        </w:rPr>
        <w:t>“Views and evaluations for URLLC scenario</w:t>
      </w:r>
      <w:r>
        <w:rPr>
          <w:rFonts w:hint="eastAsia"/>
          <w:sz w:val="20"/>
          <w:szCs w:val="20"/>
        </w:rPr>
        <w:t>s</w:t>
      </w:r>
      <w:r>
        <w:rPr>
          <w:sz w:val="20"/>
          <w:szCs w:val="20"/>
        </w:rPr>
        <w:t>”</w:t>
      </w:r>
      <w:r>
        <w:rPr>
          <w:rFonts w:hint="eastAsia"/>
          <w:sz w:val="20"/>
          <w:szCs w:val="20"/>
        </w:rPr>
        <w:t>, NTT DOCOMO, INC. 3GPP TSG RAN WG1 Ad-Hoc Meeting 1901, Taipei, 21st - 25th January, 2019.</w:t>
      </w:r>
    </w:p>
    <w:p>
      <w:pPr>
        <w:pStyle w:val="28"/>
        <w:spacing w:before="120" w:after="120"/>
        <w:ind w:left="363" w:hanging="363"/>
        <w:rPr>
          <w:sz w:val="20"/>
          <w:szCs w:val="20"/>
        </w:rPr>
      </w:pPr>
      <w:r>
        <w:rPr>
          <w:rFonts w:hint="eastAsia"/>
          <w:sz w:val="20"/>
          <w:szCs w:val="20"/>
        </w:rPr>
        <w:t xml:space="preserve">R1-2108891, </w:t>
      </w:r>
      <w:r>
        <w:rPr>
          <w:sz w:val="20"/>
          <w:szCs w:val="20"/>
        </w:rPr>
        <w:t>“</w:t>
      </w:r>
      <w:r>
        <w:rPr>
          <w:rFonts w:hint="eastAsia"/>
          <w:sz w:val="20"/>
          <w:szCs w:val="20"/>
        </w:rPr>
        <w:t>On Capacity and Power Working Areas for XR</w:t>
      </w:r>
      <w:r>
        <w:rPr>
          <w:sz w:val="20"/>
          <w:szCs w:val="20"/>
        </w:rPr>
        <w:t>”</w:t>
      </w:r>
      <w:r>
        <w:rPr>
          <w:rFonts w:hint="eastAsia"/>
          <w:sz w:val="20"/>
          <w:szCs w:val="20"/>
        </w:rPr>
        <w:t>, ZTE, Sanechips, 3GPP TSG RAN WG1 #106bis-e, e-Meeting, October 11th - 19th, 2021.</w:t>
      </w:r>
    </w:p>
    <w:p>
      <w:pPr>
        <w:pStyle w:val="2"/>
        <w:numPr>
          <w:ilvl w:val="0"/>
          <w:numId w:val="0"/>
        </w:numPr>
        <w:spacing w:before="120" w:after="120"/>
        <w:rPr>
          <w:rFonts w:eastAsia="宋体"/>
        </w:rPr>
      </w:pPr>
      <w:r>
        <w:rPr>
          <w:rFonts w:hint="eastAsia" w:eastAsia="宋体"/>
        </w:rPr>
        <w:t xml:space="preserve">Appendix </w:t>
      </w:r>
    </w:p>
    <w:p>
      <w:pPr>
        <w:pStyle w:val="3"/>
        <w:numPr>
          <w:ilvl w:val="0"/>
          <w:numId w:val="0"/>
        </w:numPr>
        <w:spacing w:before="120" w:after="120"/>
        <w:ind w:right="210"/>
        <w:rPr>
          <w:rFonts w:eastAsia="宋体"/>
        </w:rPr>
      </w:pPr>
      <w:r>
        <w:rPr>
          <w:rFonts w:hint="eastAsia" w:eastAsia="宋体"/>
        </w:rPr>
        <w:t>A Simulation Parameters</w:t>
      </w:r>
    </w:p>
    <w:p>
      <w:pPr>
        <w:pStyle w:val="6"/>
        <w:keepNext/>
        <w:spacing w:before="120" w:after="120"/>
        <w:jc w:val="center"/>
        <w:rPr>
          <w:rFonts w:ascii="Times New Roman" w:hAnsi="Times New Roman"/>
        </w:rPr>
      </w:pPr>
      <w:r>
        <w:rPr>
          <w:rFonts w:ascii="Times New Roman" w:hAnsi="Times New Roman"/>
        </w:rPr>
        <w:t>Table A</w:t>
      </w:r>
      <w:r>
        <w:rPr>
          <w:rFonts w:hint="eastAsia" w:ascii="Times New Roman" w:hAnsi="Times New Roman"/>
        </w:rPr>
        <w:t>.1</w:t>
      </w:r>
      <w:r>
        <w:rPr>
          <w:rFonts w:ascii="Times New Roman" w:hAnsi="Times New Roman"/>
        </w:rPr>
        <w:t xml:space="preserve"> simulation parameters for </w:t>
      </w:r>
      <w:r>
        <w:rPr>
          <w:rFonts w:hint="eastAsia" w:ascii="Times New Roman" w:hAnsi="Times New Roman"/>
        </w:rPr>
        <w:t>FR1 DL</w:t>
      </w:r>
    </w:p>
    <w:tbl>
      <w:tblPr>
        <w:tblStyle w:val="17"/>
        <w:tblW w:w="10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2635"/>
        <w:gridCol w:w="2711"/>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center"/>
              <w:textAlignment w:val="center"/>
              <w:rPr>
                <w:b/>
                <w:color w:val="000000"/>
                <w:sz w:val="20"/>
              </w:rPr>
            </w:pPr>
            <w:r>
              <w:rPr>
                <w:b/>
                <w:color w:val="000000"/>
                <w:kern w:val="0"/>
                <w:sz w:val="20"/>
              </w:rPr>
              <w:t>Parameters</w:t>
            </w:r>
          </w:p>
        </w:tc>
        <w:tc>
          <w:tcPr>
            <w:tcW w:w="7967" w:type="dxa"/>
            <w:gridSpan w:val="3"/>
          </w:tcPr>
          <w:p>
            <w:pPr>
              <w:spacing w:before="120" w:after="120"/>
              <w:jc w:val="center"/>
              <w:textAlignment w:val="center"/>
              <w:rPr>
                <w:b/>
                <w:color w:val="000000"/>
                <w:kern w:val="0"/>
                <w:sz w:val="20"/>
              </w:rPr>
            </w:pPr>
            <w:r>
              <w:rPr>
                <w:b/>
                <w:color w:val="000000"/>
                <w:kern w:val="0"/>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2154" w:type="dxa"/>
            <w:vAlign w:val="center"/>
          </w:tcPr>
          <w:p>
            <w:pPr>
              <w:spacing w:before="120" w:after="120"/>
              <w:rPr>
                <w:color w:val="000000"/>
                <w:kern w:val="0"/>
                <w:sz w:val="20"/>
              </w:rPr>
            </w:pPr>
            <w:r>
              <w:rPr>
                <w:rFonts w:eastAsiaTheme="minorEastAsia"/>
              </w:rPr>
              <w:t>Scenario</w:t>
            </w:r>
          </w:p>
        </w:tc>
        <w:tc>
          <w:tcPr>
            <w:tcW w:w="2635" w:type="dxa"/>
          </w:tcPr>
          <w:p>
            <w:pPr>
              <w:spacing w:before="120" w:after="120"/>
              <w:rPr>
                <w:rFonts w:eastAsiaTheme="minorEastAsia"/>
              </w:rPr>
            </w:pPr>
            <w:r>
              <w:rPr>
                <w:rFonts w:eastAsiaTheme="minorEastAsia"/>
              </w:rPr>
              <w:t>Scenario-1: Indoor Hotspot</w:t>
            </w:r>
          </w:p>
          <w:p>
            <w:pPr>
              <w:spacing w:before="120" w:after="120"/>
              <w:rPr>
                <w:color w:val="000000"/>
                <w:kern w:val="0"/>
                <w:sz w:val="20"/>
              </w:rPr>
            </w:pPr>
            <w:r>
              <w:rPr>
                <w:rFonts w:eastAsiaTheme="minorEastAsia"/>
              </w:rPr>
              <w:t>12 nodes in 50 m x 120 m</w:t>
            </w:r>
          </w:p>
        </w:tc>
        <w:tc>
          <w:tcPr>
            <w:tcW w:w="2711" w:type="dxa"/>
          </w:tcPr>
          <w:p>
            <w:pPr>
              <w:spacing w:before="120" w:after="120"/>
              <w:rPr>
                <w:rFonts w:eastAsiaTheme="minorEastAsia"/>
              </w:rPr>
            </w:pPr>
            <w:r>
              <w:rPr>
                <w:rFonts w:eastAsiaTheme="minorEastAsia"/>
              </w:rPr>
              <w:t>Scenario-</w:t>
            </w:r>
            <w:r>
              <w:rPr>
                <w:rFonts w:hint="eastAsia" w:eastAsiaTheme="minorEastAsia"/>
              </w:rPr>
              <w:t>2</w:t>
            </w:r>
            <w:r>
              <w:rPr>
                <w:rFonts w:eastAsiaTheme="minorEastAsia"/>
              </w:rPr>
              <w:t>: Dense Urban</w:t>
            </w:r>
          </w:p>
          <w:p>
            <w:pPr>
              <w:spacing w:before="120" w:after="120"/>
              <w:rPr>
                <w:color w:val="000000"/>
                <w:kern w:val="0"/>
                <w:sz w:val="20"/>
              </w:rPr>
            </w:pPr>
            <w:r>
              <w:rPr>
                <w:rFonts w:eastAsiaTheme="minorEastAsia"/>
              </w:rPr>
              <w:t>hexagonal layout with 7, 3 Sectors</w:t>
            </w:r>
          </w:p>
        </w:tc>
        <w:tc>
          <w:tcPr>
            <w:tcW w:w="2621" w:type="dxa"/>
          </w:tcPr>
          <w:p>
            <w:pPr>
              <w:spacing w:before="120" w:after="120"/>
              <w:rPr>
                <w:rFonts w:eastAsiaTheme="minorEastAsia"/>
              </w:rPr>
            </w:pPr>
            <w:r>
              <w:rPr>
                <w:rFonts w:hint="eastAsia" w:eastAsiaTheme="minorEastAsia"/>
              </w:rPr>
              <w:t>Scenario-3: Urban Macro</w:t>
            </w:r>
          </w:p>
          <w:p>
            <w:pPr>
              <w:spacing w:before="120" w:after="120"/>
              <w:rPr>
                <w:rFonts w:eastAsiaTheme="minorEastAsia"/>
              </w:rPr>
            </w:pPr>
            <w:r>
              <w:rPr>
                <w:rFonts w:eastAsiaTheme="minorEastAsia"/>
              </w:rPr>
              <w:t>hexagonal layout with 7, 3 Sectors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Inter-BS distance</w:t>
            </w:r>
          </w:p>
        </w:tc>
        <w:tc>
          <w:tcPr>
            <w:tcW w:w="2635" w:type="dxa"/>
          </w:tcPr>
          <w:p>
            <w:pPr>
              <w:spacing w:before="120" w:after="120"/>
              <w:jc w:val="left"/>
              <w:textAlignment w:val="center"/>
              <w:rPr>
                <w:color w:val="000000"/>
                <w:sz w:val="20"/>
              </w:rPr>
            </w:pPr>
            <w:r>
              <w:rPr>
                <w:color w:val="000000"/>
                <w:kern w:val="0"/>
                <w:sz w:val="20"/>
              </w:rPr>
              <w:t>20m</w:t>
            </w:r>
          </w:p>
        </w:tc>
        <w:tc>
          <w:tcPr>
            <w:tcW w:w="2711" w:type="dxa"/>
          </w:tcPr>
          <w:p>
            <w:pPr>
              <w:spacing w:before="120" w:after="120"/>
              <w:jc w:val="left"/>
              <w:textAlignment w:val="center"/>
              <w:rPr>
                <w:color w:val="000000"/>
                <w:kern w:val="0"/>
                <w:sz w:val="20"/>
              </w:rPr>
            </w:pPr>
            <w:r>
              <w:rPr>
                <w:color w:val="000000"/>
                <w:kern w:val="0"/>
                <w:sz w:val="20"/>
              </w:rPr>
              <w:t>200m</w:t>
            </w:r>
          </w:p>
        </w:tc>
        <w:tc>
          <w:tcPr>
            <w:tcW w:w="2621" w:type="dxa"/>
          </w:tcPr>
          <w:p>
            <w:pPr>
              <w:spacing w:before="120" w:after="120"/>
              <w:jc w:val="left"/>
              <w:textAlignment w:val="center"/>
              <w:rPr>
                <w:color w:val="000000"/>
                <w:kern w:val="0"/>
                <w:sz w:val="20"/>
              </w:rPr>
            </w:pPr>
            <w:r>
              <w:rPr>
                <w:rFonts w:hint="eastAsia"/>
                <w:color w:val="000000"/>
                <w:kern w:val="0"/>
                <w:sz w:val="20"/>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Carrier frequency</w:t>
            </w:r>
          </w:p>
        </w:tc>
        <w:tc>
          <w:tcPr>
            <w:tcW w:w="7967" w:type="dxa"/>
            <w:gridSpan w:val="3"/>
          </w:tcPr>
          <w:p>
            <w:pPr>
              <w:spacing w:before="120" w:after="120"/>
              <w:jc w:val="left"/>
              <w:textAlignment w:val="center"/>
              <w:rPr>
                <w:color w:val="000000"/>
                <w:kern w:val="0"/>
                <w:sz w:val="20"/>
              </w:rPr>
            </w:pPr>
            <w:r>
              <w:rPr>
                <w:color w:val="000000"/>
                <w:kern w:val="0"/>
                <w:sz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jc w:val="left"/>
              <w:textAlignment w:val="center"/>
              <w:rPr>
                <w:color w:val="000000"/>
                <w:sz w:val="20"/>
              </w:rPr>
            </w:pPr>
            <w:r>
              <w:rPr>
                <w:color w:val="000000"/>
                <w:kern w:val="0"/>
                <w:sz w:val="20"/>
              </w:rPr>
              <w:t>Duplex Mode / Simulation bandwidth</w:t>
            </w:r>
          </w:p>
        </w:tc>
        <w:tc>
          <w:tcPr>
            <w:tcW w:w="7967" w:type="dxa"/>
            <w:gridSpan w:val="3"/>
          </w:tcPr>
          <w:p>
            <w:pPr>
              <w:spacing w:before="120" w:after="120"/>
              <w:jc w:val="left"/>
              <w:textAlignment w:val="center"/>
              <w:rPr>
                <w:color w:val="000000"/>
                <w:kern w:val="0"/>
                <w:sz w:val="20"/>
              </w:rPr>
            </w:pPr>
            <w:r>
              <w:rPr>
                <w:color w:val="000000"/>
                <w:kern w:val="0"/>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SCS</w:t>
            </w:r>
          </w:p>
        </w:tc>
        <w:tc>
          <w:tcPr>
            <w:tcW w:w="7967" w:type="dxa"/>
            <w:gridSpan w:val="3"/>
          </w:tcPr>
          <w:p>
            <w:pPr>
              <w:spacing w:before="120" w:after="120"/>
              <w:jc w:val="left"/>
              <w:textAlignment w:val="center"/>
              <w:rPr>
                <w:color w:val="000000"/>
                <w:kern w:val="0"/>
                <w:sz w:val="20"/>
              </w:rPr>
            </w:pPr>
            <w:r>
              <w:rPr>
                <w:color w:val="000000"/>
                <w:kern w:val="0"/>
                <w:sz w:val="20"/>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kern w:val="0"/>
                <w:sz w:val="20"/>
              </w:rPr>
            </w:pPr>
            <w:r>
              <w:rPr>
                <w:color w:val="000000"/>
                <w:kern w:val="0"/>
                <w:sz w:val="20"/>
              </w:rPr>
              <w:t>TDD pattern</w:t>
            </w:r>
          </w:p>
        </w:tc>
        <w:tc>
          <w:tcPr>
            <w:tcW w:w="7967" w:type="dxa"/>
            <w:gridSpan w:val="3"/>
          </w:tcPr>
          <w:p>
            <w:pPr>
              <w:spacing w:before="120" w:after="120"/>
              <w:jc w:val="left"/>
              <w:textAlignment w:val="center"/>
              <w:rPr>
                <w:color w:val="000000"/>
                <w:kern w:val="0"/>
                <w:sz w:val="20"/>
              </w:rPr>
            </w:pPr>
            <w:r>
              <w:rPr>
                <w:color w:val="000000"/>
                <w:kern w:val="0"/>
                <w:sz w:val="20"/>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2154" w:type="dxa"/>
          </w:tcPr>
          <w:p>
            <w:pPr>
              <w:spacing w:before="120" w:after="120"/>
              <w:textAlignment w:val="center"/>
              <w:rPr>
                <w:color w:val="000000"/>
                <w:sz w:val="20"/>
              </w:rPr>
            </w:pPr>
            <w:r>
              <w:rPr>
                <w:color w:val="000000"/>
                <w:kern w:val="0"/>
                <w:sz w:val="20"/>
              </w:rPr>
              <w:t>BS Antenna Configuration</w:t>
            </w:r>
          </w:p>
        </w:tc>
        <w:tc>
          <w:tcPr>
            <w:tcW w:w="2635" w:type="dxa"/>
          </w:tcPr>
          <w:p>
            <w:pPr>
              <w:spacing w:before="120" w:after="120"/>
              <w:textAlignment w:val="center"/>
              <w:rPr>
                <w:b/>
                <w:color w:val="000000"/>
                <w:sz w:val="20"/>
              </w:rPr>
            </w:pPr>
            <w:r>
              <w:rPr>
                <w:rStyle w:val="30"/>
              </w:rPr>
              <w:t>32 Tx antenna ports, and (dH, dV) = (0.5λ, 0.5λ);</w:t>
            </w:r>
          </w:p>
          <w:p>
            <w:pPr>
              <w:spacing w:before="120" w:after="120"/>
              <w:textAlignment w:val="center"/>
              <w:rPr>
                <w:color w:val="000000"/>
                <w:sz w:val="20"/>
              </w:rPr>
            </w:pPr>
            <w:r>
              <w:rPr>
                <w:color w:val="000000"/>
                <w:kern w:val="0"/>
                <w:sz w:val="20"/>
              </w:rPr>
              <w:t xml:space="preserve">32TX:(M, N, P, Mg, Ng; Mp, Np) = (4,4, 2, 1, 1; 4, 4); </w:t>
            </w:r>
          </w:p>
          <w:p>
            <w:pPr>
              <w:spacing w:before="120" w:after="120"/>
              <w:textAlignment w:val="center"/>
              <w:rPr>
                <w:b/>
                <w:color w:val="000000"/>
                <w:sz w:val="20"/>
              </w:rPr>
            </w:pPr>
            <w:r>
              <w:rPr>
                <w:color w:val="000000"/>
                <w:kern w:val="0"/>
                <w:sz w:val="20"/>
              </w:rPr>
              <w:t>The antenna tilt is 90 degrees.</w:t>
            </w:r>
          </w:p>
        </w:tc>
        <w:tc>
          <w:tcPr>
            <w:tcW w:w="5332" w:type="dxa"/>
            <w:gridSpan w:val="2"/>
          </w:tcPr>
          <w:p>
            <w:pPr>
              <w:spacing w:before="120" w:after="120"/>
              <w:textAlignment w:val="center"/>
              <w:rPr>
                <w:b/>
                <w:color w:val="000000"/>
                <w:sz w:val="20"/>
              </w:rPr>
            </w:pPr>
            <w:r>
              <w:rPr>
                <w:rStyle w:val="30"/>
              </w:rPr>
              <w:t>64 Tx antenna ports, and (dH, dV) = (0.5λ, 0.5λ);</w:t>
            </w:r>
          </w:p>
          <w:p>
            <w:pPr>
              <w:spacing w:before="120" w:after="120"/>
              <w:textAlignment w:val="center"/>
              <w:rPr>
                <w:color w:val="000000"/>
                <w:sz w:val="20"/>
              </w:rPr>
            </w:pPr>
            <w:r>
              <w:rPr>
                <w:color w:val="000000"/>
                <w:kern w:val="0"/>
                <w:sz w:val="20"/>
              </w:rPr>
              <w:t xml:space="preserve">64TX:(M, N, P, Mg, Ng; Mp, Np) = (8,8, 2, 1, 1; 4, 8); </w:t>
            </w:r>
          </w:p>
          <w:p>
            <w:pPr>
              <w:spacing w:before="120" w:after="120"/>
              <w:textAlignment w:val="center"/>
              <w:rPr>
                <w:color w:val="000000"/>
                <w:kern w:val="0"/>
                <w:sz w:val="20"/>
              </w:rPr>
            </w:pPr>
            <w:r>
              <w:rPr>
                <w:color w:val="000000"/>
                <w:kern w:val="0"/>
                <w:sz w:val="20"/>
              </w:rPr>
              <w:t>The antenna tilt is 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154" w:type="dxa"/>
          </w:tcPr>
          <w:p>
            <w:pPr>
              <w:spacing w:before="120" w:after="120"/>
              <w:textAlignment w:val="center"/>
              <w:rPr>
                <w:color w:val="000000"/>
                <w:sz w:val="20"/>
              </w:rPr>
            </w:pPr>
            <w:r>
              <w:rPr>
                <w:color w:val="000000"/>
                <w:kern w:val="0"/>
                <w:sz w:val="20"/>
              </w:rPr>
              <w:t>UE Antenna Configuration</w:t>
            </w:r>
          </w:p>
        </w:tc>
        <w:tc>
          <w:tcPr>
            <w:tcW w:w="2635" w:type="dxa"/>
          </w:tcPr>
          <w:p>
            <w:pPr>
              <w:spacing w:before="120" w:after="120"/>
              <w:textAlignment w:val="center"/>
            </w:pPr>
            <w:r>
              <w:rPr>
                <w:rStyle w:val="30"/>
              </w:rPr>
              <w:t>4 Rx antenna ports, and Panel model 1: dH = 0.5λ</w:t>
            </w:r>
          </w:p>
          <w:p>
            <w:pPr>
              <w:spacing w:before="120" w:after="120"/>
              <w:textAlignment w:val="center"/>
              <w:rPr>
                <w:color w:val="000000"/>
                <w:sz w:val="20"/>
              </w:rPr>
            </w:pPr>
            <w:r>
              <w:rPr>
                <w:color w:val="000000"/>
                <w:kern w:val="0"/>
                <w:sz w:val="20"/>
              </w:rPr>
              <w:t>4 Rx: (M, N, P, Mg, Ng; Mp, Np) = (1,2,2,1,1; 1,2);</w:t>
            </w:r>
          </w:p>
        </w:tc>
        <w:tc>
          <w:tcPr>
            <w:tcW w:w="5332" w:type="dxa"/>
            <w:gridSpan w:val="2"/>
          </w:tcPr>
          <w:p>
            <w:pPr>
              <w:spacing w:before="120" w:after="120"/>
              <w:textAlignment w:val="center"/>
            </w:pPr>
            <w:r>
              <w:rPr>
                <w:rStyle w:val="30"/>
              </w:rPr>
              <w:t>4 Rx antenna ports, and Panel model 1: dH = 0.5λ</w:t>
            </w:r>
          </w:p>
          <w:p>
            <w:pPr>
              <w:spacing w:before="120" w:after="120"/>
              <w:textAlignment w:val="center"/>
              <w:rPr>
                <w:color w:val="000000"/>
                <w:kern w:val="0"/>
                <w:sz w:val="20"/>
              </w:rPr>
            </w:pPr>
            <w:r>
              <w:rPr>
                <w:color w:val="000000"/>
                <w:kern w:val="0"/>
                <w:sz w:val="20"/>
              </w:rPr>
              <w:t>4 Rx: (M, N, P, Mg, Ng; Mp, Np) = (1,2,2,1,1;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textAlignment w:val="center"/>
              <w:rPr>
                <w:color w:val="000000"/>
                <w:sz w:val="20"/>
              </w:rPr>
            </w:pPr>
            <w:r>
              <w:rPr>
                <w:color w:val="000000"/>
                <w:kern w:val="0"/>
                <w:sz w:val="20"/>
              </w:rPr>
              <w:t>Transmit Power</w:t>
            </w:r>
          </w:p>
        </w:tc>
        <w:tc>
          <w:tcPr>
            <w:tcW w:w="2635" w:type="dxa"/>
          </w:tcPr>
          <w:p>
            <w:pPr>
              <w:spacing w:before="120" w:after="120"/>
              <w:textAlignment w:val="center"/>
              <w:rPr>
                <w:color w:val="000000"/>
                <w:sz w:val="20"/>
              </w:rPr>
            </w:pPr>
            <w:r>
              <w:rPr>
                <w:color w:val="000000"/>
                <w:kern w:val="0"/>
                <w:sz w:val="20"/>
              </w:rPr>
              <w:t>24 dBm per 20M at TRP, and 23 dBm at UE</w:t>
            </w:r>
          </w:p>
        </w:tc>
        <w:tc>
          <w:tcPr>
            <w:tcW w:w="5332" w:type="dxa"/>
            <w:gridSpan w:val="2"/>
          </w:tcPr>
          <w:p>
            <w:pPr>
              <w:spacing w:before="120" w:after="120"/>
              <w:textAlignment w:val="center"/>
              <w:rPr>
                <w:color w:val="000000"/>
                <w:kern w:val="0"/>
                <w:sz w:val="20"/>
              </w:rPr>
            </w:pPr>
            <w:r>
              <w:rPr>
                <w:color w:val="000000"/>
                <w:kern w:val="0"/>
                <w:sz w:val="20"/>
              </w:rPr>
              <w:t>44 dBm per 20M at TRP, and 23 dBm at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rFonts w:hint="eastAsia"/>
                <w:color w:val="000000"/>
                <w:kern w:val="0"/>
                <w:sz w:val="20"/>
              </w:rPr>
              <w:t xml:space="preserve">BS </w:t>
            </w:r>
            <w:r>
              <w:rPr>
                <w:color w:val="000000"/>
                <w:kern w:val="0"/>
                <w:sz w:val="20"/>
              </w:rPr>
              <w:t>Height</w:t>
            </w:r>
          </w:p>
        </w:tc>
        <w:tc>
          <w:tcPr>
            <w:tcW w:w="2635" w:type="dxa"/>
          </w:tcPr>
          <w:p>
            <w:pPr>
              <w:spacing w:before="120" w:after="120"/>
              <w:textAlignment w:val="center"/>
              <w:rPr>
                <w:color w:val="000000"/>
                <w:sz w:val="20"/>
              </w:rPr>
            </w:pPr>
            <w:r>
              <w:rPr>
                <w:color w:val="000000"/>
                <w:kern w:val="0"/>
                <w:sz w:val="20"/>
              </w:rPr>
              <w:t xml:space="preserve">3 m </w:t>
            </w:r>
          </w:p>
        </w:tc>
        <w:tc>
          <w:tcPr>
            <w:tcW w:w="5332" w:type="dxa"/>
            <w:gridSpan w:val="2"/>
          </w:tcPr>
          <w:p>
            <w:pPr>
              <w:spacing w:before="120" w:after="120"/>
              <w:textAlignment w:val="center"/>
              <w:rPr>
                <w:color w:val="000000"/>
                <w:kern w:val="0"/>
                <w:sz w:val="20"/>
              </w:rPr>
            </w:pPr>
            <w:r>
              <w:rPr>
                <w:color w:val="000000"/>
                <w:kern w:val="0"/>
                <w:sz w:val="20"/>
              </w:rPr>
              <w:t xml:space="preserve">25 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kern w:val="0"/>
                <w:sz w:val="20"/>
              </w:rPr>
            </w:pPr>
            <w:r>
              <w:rPr>
                <w:rFonts w:hint="eastAsia"/>
                <w:color w:val="000000"/>
                <w:kern w:val="0"/>
                <w:sz w:val="20"/>
              </w:rPr>
              <w:t>UE Height</w:t>
            </w:r>
          </w:p>
        </w:tc>
        <w:tc>
          <w:tcPr>
            <w:tcW w:w="2635" w:type="dxa"/>
          </w:tcPr>
          <w:p>
            <w:pPr>
              <w:spacing w:before="120" w:after="120"/>
              <w:textAlignment w:val="center"/>
              <w:rPr>
                <w:color w:val="000000"/>
                <w:kern w:val="0"/>
                <w:sz w:val="20"/>
              </w:rPr>
            </w:pPr>
            <w:r>
              <w:rPr>
                <w:rFonts w:hint="eastAsia"/>
                <w:color w:val="000000"/>
                <w:kern w:val="0"/>
                <w:sz w:val="20"/>
              </w:rPr>
              <w:t>1.5m</w:t>
            </w:r>
          </w:p>
        </w:tc>
        <w:tc>
          <w:tcPr>
            <w:tcW w:w="5332" w:type="dxa"/>
            <w:gridSpan w:val="2"/>
          </w:tcPr>
          <w:p>
            <w:pPr>
              <w:spacing w:before="120" w:after="120"/>
            </w:pPr>
            <w:r>
              <w:t>Outdoor UEs: 1.5 m</w:t>
            </w:r>
          </w:p>
          <w:p>
            <w:pPr>
              <w:spacing w:before="120" w:after="120"/>
            </w:pPr>
            <w:r>
              <w:t xml:space="preserve">Indoor UTs: 3(nfl – 1) + 1.5; </w:t>
            </w:r>
          </w:p>
          <w:p>
            <w:pPr>
              <w:spacing w:before="120" w:after="120"/>
            </w:pPr>
            <w:r>
              <w:t xml:space="preserve">nfl ~ uniform(1,Nfl) where </w:t>
            </w:r>
          </w:p>
          <w:p>
            <w:pPr>
              <w:spacing w:before="120" w:after="120"/>
              <w:textAlignment w:val="center"/>
            </w:pPr>
            <w:r>
              <w:t>Nfl ~ uniform(4,8)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Antenna Element Gain</w:t>
            </w:r>
          </w:p>
        </w:tc>
        <w:tc>
          <w:tcPr>
            <w:tcW w:w="2635" w:type="dxa"/>
          </w:tcPr>
          <w:p>
            <w:pPr>
              <w:spacing w:before="120" w:after="120"/>
              <w:textAlignment w:val="center"/>
              <w:rPr>
                <w:color w:val="000000"/>
                <w:sz w:val="20"/>
              </w:rPr>
            </w:pPr>
            <w:r>
              <w:rPr>
                <w:color w:val="000000"/>
                <w:kern w:val="0"/>
                <w:sz w:val="20"/>
              </w:rPr>
              <w:t>5dBi for BS and 0 dBi for UE</w:t>
            </w:r>
          </w:p>
        </w:tc>
        <w:tc>
          <w:tcPr>
            <w:tcW w:w="5332" w:type="dxa"/>
            <w:gridSpan w:val="2"/>
          </w:tcPr>
          <w:p>
            <w:pPr>
              <w:spacing w:before="120" w:after="120"/>
              <w:textAlignment w:val="center"/>
              <w:rPr>
                <w:color w:val="000000"/>
                <w:kern w:val="0"/>
                <w:sz w:val="20"/>
              </w:rPr>
            </w:pPr>
            <w:r>
              <w:rPr>
                <w:color w:val="000000"/>
                <w:kern w:val="0"/>
                <w:sz w:val="20"/>
              </w:rPr>
              <w:t>8dBi for BS and 0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Receiver Noise Figure</w:t>
            </w:r>
          </w:p>
        </w:tc>
        <w:tc>
          <w:tcPr>
            <w:tcW w:w="7967" w:type="dxa"/>
            <w:gridSpan w:val="3"/>
          </w:tcPr>
          <w:p>
            <w:pPr>
              <w:spacing w:before="120" w:after="120"/>
              <w:textAlignment w:val="center"/>
              <w:rPr>
                <w:color w:val="000000"/>
                <w:kern w:val="0"/>
                <w:sz w:val="20"/>
              </w:rPr>
            </w:pPr>
            <w:r>
              <w:rPr>
                <w:color w:val="000000"/>
                <w:kern w:val="0"/>
                <w:sz w:val="20"/>
              </w:rPr>
              <w:t>5 dB for BS and 9 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154" w:type="dxa"/>
          </w:tcPr>
          <w:p>
            <w:pPr>
              <w:spacing w:before="120" w:after="120"/>
              <w:jc w:val="left"/>
              <w:textAlignment w:val="center"/>
              <w:rPr>
                <w:color w:val="000000"/>
                <w:sz w:val="20"/>
              </w:rPr>
            </w:pPr>
            <w:r>
              <w:rPr>
                <w:color w:val="000000"/>
                <w:kern w:val="0"/>
                <w:sz w:val="20"/>
              </w:rPr>
              <w:t>UE distribution</w:t>
            </w:r>
          </w:p>
        </w:tc>
        <w:tc>
          <w:tcPr>
            <w:tcW w:w="2635" w:type="dxa"/>
          </w:tcPr>
          <w:p>
            <w:pPr>
              <w:spacing w:before="120" w:after="120"/>
              <w:jc w:val="left"/>
              <w:textAlignment w:val="center"/>
              <w:rPr>
                <w:color w:val="000000"/>
                <w:sz w:val="20"/>
              </w:rPr>
            </w:pPr>
            <w:r>
              <w:rPr>
                <w:color w:val="000000"/>
                <w:kern w:val="0"/>
                <w:sz w:val="20"/>
              </w:rPr>
              <w:t>100% of users are indoor</w:t>
            </w:r>
          </w:p>
          <w:p>
            <w:pPr>
              <w:spacing w:before="120" w:after="120"/>
              <w:jc w:val="left"/>
              <w:textAlignment w:val="center"/>
              <w:rPr>
                <w:color w:val="000000"/>
                <w:sz w:val="20"/>
              </w:rPr>
            </w:pPr>
            <w:r>
              <w:rPr>
                <w:color w:val="000000"/>
                <w:kern w:val="0"/>
                <w:sz w:val="20"/>
              </w:rPr>
              <w:t>Use 3km/h for modeling fading channel</w:t>
            </w:r>
          </w:p>
        </w:tc>
        <w:tc>
          <w:tcPr>
            <w:tcW w:w="5332" w:type="dxa"/>
            <w:gridSpan w:val="2"/>
          </w:tcPr>
          <w:p>
            <w:pPr>
              <w:spacing w:before="120" w:after="120"/>
              <w:jc w:val="left"/>
              <w:textAlignment w:val="center"/>
              <w:rPr>
                <w:color w:val="000000"/>
                <w:sz w:val="20"/>
              </w:rPr>
            </w:pPr>
            <w:r>
              <w:rPr>
                <w:color w:val="000000"/>
                <w:kern w:val="0"/>
                <w:sz w:val="20"/>
              </w:rPr>
              <w:t>80% of users are indoor,20%of users are outdoor;</w:t>
            </w:r>
          </w:p>
          <w:p>
            <w:pPr>
              <w:spacing w:before="120" w:after="120"/>
              <w:jc w:val="left"/>
              <w:textAlignment w:val="center"/>
              <w:rPr>
                <w:color w:val="000000"/>
                <w:kern w:val="0"/>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Number of UEs per cell</w:t>
            </w:r>
          </w:p>
        </w:tc>
        <w:tc>
          <w:tcPr>
            <w:tcW w:w="7967" w:type="dxa"/>
            <w:gridSpan w:val="3"/>
          </w:tcPr>
          <w:p>
            <w:pPr>
              <w:spacing w:before="120" w:after="120"/>
              <w:jc w:val="left"/>
              <w:textAlignment w:val="center"/>
              <w:rPr>
                <w:color w:val="000000"/>
                <w:kern w:val="0"/>
                <w:sz w:val="20"/>
              </w:rPr>
            </w:pPr>
            <w:r>
              <w:rPr>
                <w:color w:val="000000"/>
                <w:kern w:val="0"/>
                <w:sz w:val="20"/>
              </w:rPr>
              <w:t>up to 1</w:t>
            </w:r>
            <w:r>
              <w:rPr>
                <w:rFonts w:hint="eastAsia"/>
                <w:color w:val="000000"/>
                <w:kern w:val="0"/>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Scheduling Algorithm</w:t>
            </w:r>
          </w:p>
        </w:tc>
        <w:tc>
          <w:tcPr>
            <w:tcW w:w="7967" w:type="dxa"/>
            <w:gridSpan w:val="3"/>
          </w:tcPr>
          <w:p>
            <w:pPr>
              <w:spacing w:before="120" w:after="120"/>
              <w:textAlignment w:val="center"/>
              <w:rPr>
                <w:color w:val="000000"/>
                <w:kern w:val="0"/>
                <w:sz w:val="20"/>
              </w:rPr>
            </w:pPr>
            <w:r>
              <w:rPr>
                <w:color w:val="000000"/>
                <w:kern w:val="0"/>
                <w:sz w:val="20"/>
              </w:rPr>
              <w:t>MU-MIMO+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HARQ/repetition</w:t>
            </w:r>
          </w:p>
        </w:tc>
        <w:tc>
          <w:tcPr>
            <w:tcW w:w="7967" w:type="dxa"/>
            <w:gridSpan w:val="3"/>
          </w:tcPr>
          <w:p>
            <w:pPr>
              <w:spacing w:before="120" w:after="120"/>
              <w:jc w:val="left"/>
              <w:textAlignment w:val="center"/>
              <w:rPr>
                <w:color w:val="000000"/>
                <w:kern w:val="0"/>
                <w:sz w:val="20"/>
              </w:rPr>
            </w:pPr>
            <w:r>
              <w:rPr>
                <w:color w:val="000000"/>
                <w:kern w:val="0"/>
                <w:sz w:val="20"/>
              </w:rPr>
              <w:t>HARQ retransmission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Channel estimation</w:t>
            </w:r>
          </w:p>
        </w:tc>
        <w:tc>
          <w:tcPr>
            <w:tcW w:w="7967" w:type="dxa"/>
            <w:gridSpan w:val="3"/>
          </w:tcPr>
          <w:p>
            <w:pPr>
              <w:spacing w:before="120" w:after="120"/>
              <w:jc w:val="left"/>
              <w:textAlignment w:val="center"/>
              <w:rPr>
                <w:color w:val="000000"/>
                <w:kern w:val="0"/>
                <w:sz w:val="20"/>
              </w:rPr>
            </w:pPr>
            <w:r>
              <w:rPr>
                <w:color w:val="000000"/>
                <w:kern w:val="0"/>
                <w:sz w:val="20"/>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spacing w:before="120" w:after="120"/>
              <w:rPr>
                <w:color w:val="000000"/>
                <w:kern w:val="0"/>
                <w:sz w:val="20"/>
              </w:rPr>
            </w:pPr>
            <w:r>
              <w:rPr>
                <w:rFonts w:eastAsia="Arial"/>
                <w:sz w:val="20"/>
              </w:rPr>
              <w:t>Target BLER</w:t>
            </w:r>
          </w:p>
        </w:tc>
        <w:tc>
          <w:tcPr>
            <w:tcW w:w="7967" w:type="dxa"/>
            <w:gridSpan w:val="3"/>
            <w:vAlign w:val="center"/>
          </w:tcPr>
          <w:p>
            <w:pPr>
              <w:spacing w:before="120" w:after="120"/>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PHY processing delay</w:t>
            </w:r>
          </w:p>
        </w:tc>
        <w:tc>
          <w:tcPr>
            <w:tcW w:w="7967" w:type="dxa"/>
            <w:gridSpan w:val="3"/>
            <w:vAlign w:val="center"/>
          </w:tcPr>
          <w:p>
            <w:pPr>
              <w:pStyle w:val="38"/>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PDCCH overhead</w:t>
            </w:r>
          </w:p>
        </w:tc>
        <w:tc>
          <w:tcPr>
            <w:tcW w:w="7967" w:type="dxa"/>
            <w:gridSpan w:val="3"/>
            <w:vAlign w:val="center"/>
          </w:tcPr>
          <w:p>
            <w:pPr>
              <w:pStyle w:val="38"/>
              <w:spacing w:before="120" w:after="120"/>
              <w:jc w:val="left"/>
              <w:rPr>
                <w:rFonts w:ascii="Times New Roman" w:hAnsi="Times New Roman" w:eastAsia="宋体" w:cs="Times New Roman"/>
                <w:color w:val="000000"/>
                <w:kern w:val="0"/>
                <w:sz w:val="20"/>
                <w:szCs w:val="20"/>
                <w:lang w:eastAsia="zh-CN"/>
              </w:rPr>
            </w:pPr>
            <w:r>
              <w:rPr>
                <w:rFonts w:ascii="Times New Roman" w:hAnsi="Times New Roman" w:eastAsia="宋体" w:cs="Times New Roman"/>
                <w:color w:val="000000"/>
                <w:kern w:val="0"/>
                <w:sz w:val="20"/>
                <w:szCs w:val="20"/>
                <w:lang w:eastAsia="zh-CN"/>
              </w:rPr>
              <w:t>1/7(2symbols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DMRS overhead</w:t>
            </w:r>
          </w:p>
        </w:tc>
        <w:tc>
          <w:tcPr>
            <w:tcW w:w="7967" w:type="dxa"/>
            <w:gridSpan w:val="3"/>
            <w:vAlign w:val="center"/>
          </w:tcPr>
          <w:p>
            <w:pPr>
              <w:pStyle w:val="38"/>
              <w:spacing w:before="120" w:after="120"/>
              <w:jc w:val="left"/>
              <w:rPr>
                <w:rFonts w:ascii="Times New Roman" w:hAnsi="Times New Roman" w:eastAsia="宋体" w:cs="Times New Roman"/>
                <w:color w:val="000000"/>
                <w:kern w:val="0"/>
                <w:sz w:val="20"/>
                <w:lang w:eastAsia="zh-CN"/>
              </w:rPr>
            </w:pPr>
            <w:r>
              <w:rPr>
                <w:rFonts w:ascii="Times New Roman" w:hAnsi="Times New Roman" w:eastAsia="宋体" w:cs="Times New Roman"/>
                <w:color w:val="000000"/>
                <w:kern w:val="0"/>
                <w:sz w:val="20"/>
                <w:lang w:eastAsia="zh-CN"/>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154" w:type="dxa"/>
          </w:tcPr>
          <w:p>
            <w:pPr>
              <w:spacing w:before="120" w:after="120"/>
              <w:jc w:val="left"/>
              <w:textAlignment w:val="center"/>
              <w:rPr>
                <w:color w:val="000000"/>
                <w:sz w:val="20"/>
              </w:rPr>
            </w:pPr>
            <w:r>
              <w:rPr>
                <w:color w:val="000000"/>
                <w:kern w:val="0"/>
                <w:sz w:val="20"/>
              </w:rPr>
              <w:t>BS receiver</w:t>
            </w:r>
          </w:p>
        </w:tc>
        <w:tc>
          <w:tcPr>
            <w:tcW w:w="7967" w:type="dxa"/>
            <w:gridSpan w:val="3"/>
          </w:tcPr>
          <w:p>
            <w:pPr>
              <w:spacing w:before="120" w:after="120"/>
              <w:jc w:val="left"/>
              <w:textAlignment w:val="center"/>
              <w:rPr>
                <w:color w:val="000000"/>
                <w:kern w:val="0"/>
                <w:sz w:val="20"/>
              </w:rPr>
            </w:pPr>
            <w:r>
              <w:rPr>
                <w:color w:val="000000"/>
                <w:kern w:val="0"/>
                <w:sz w:val="20"/>
              </w:rPr>
              <w:t>MMSE-IRC</w:t>
            </w:r>
          </w:p>
        </w:tc>
      </w:tr>
      <w:bookmarkEnd w:id="48"/>
    </w:tbl>
    <w:p>
      <w:pPr>
        <w:pStyle w:val="6"/>
        <w:spacing w:before="120" w:after="120" w:line="276" w:lineRule="auto"/>
        <w:jc w:val="center"/>
        <w:rPr>
          <w:rFonts w:ascii="Times New Roman" w:hAnsi="Times New Roman"/>
        </w:rPr>
      </w:pPr>
      <w:bookmarkStart w:id="49" w:name="_Ref9233"/>
      <w:bookmarkStart w:id="50" w:name="OLE_LINK18"/>
      <w:bookmarkStart w:id="51" w:name="OLE_LINK19"/>
    </w:p>
    <w:p>
      <w:pPr>
        <w:pStyle w:val="6"/>
        <w:spacing w:before="120" w:after="120" w:line="276" w:lineRule="auto"/>
        <w:jc w:val="center"/>
        <w:rPr>
          <w:rFonts w:ascii="Times New Roman" w:hAnsi="Times New Roman" w:eastAsia="宋体"/>
        </w:rPr>
      </w:pPr>
      <w:r>
        <w:rPr>
          <w:rFonts w:ascii="Times New Roman" w:hAnsi="Times New Roman"/>
        </w:rPr>
        <w:t xml:space="preserve">Table </w:t>
      </w:r>
      <w:r>
        <w:rPr>
          <w:rFonts w:hint="eastAsia" w:ascii="Times New Roman" w:hAnsi="Times New Roman"/>
        </w:rPr>
        <w:t>A.</w:t>
      </w:r>
      <w:bookmarkEnd w:id="49"/>
      <w:r>
        <w:rPr>
          <w:rFonts w:hint="eastAsia" w:ascii="Times New Roman" w:hAnsi="Times New Roman"/>
        </w:rPr>
        <w:t>2</w:t>
      </w:r>
      <w:r>
        <w:rPr>
          <w:rFonts w:ascii="Times New Roman" w:hAnsi="Times New Roman" w:eastAsia="宋体"/>
        </w:rPr>
        <w:t xml:space="preserve"> Simulation assumption for FR1 UL</w:t>
      </w:r>
    </w:p>
    <w:tbl>
      <w:tblPr>
        <w:tblStyle w:val="17"/>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1"/>
        <w:gridCol w:w="4000"/>
        <w:gridCol w:w="3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jc w:val="center"/>
              <w:rPr>
                <w:rFonts w:eastAsiaTheme="minorEastAsia"/>
                <w:b/>
                <w:sz w:val="20"/>
              </w:rPr>
            </w:pPr>
            <w:r>
              <w:rPr>
                <w:rFonts w:eastAsiaTheme="minorEastAsia"/>
                <w:b/>
                <w:sz w:val="20"/>
              </w:rPr>
              <w:t>Parameter</w:t>
            </w:r>
          </w:p>
        </w:tc>
        <w:tc>
          <w:tcPr>
            <w:tcW w:w="7763" w:type="dxa"/>
            <w:gridSpan w:val="2"/>
            <w:shd w:val="clear" w:color="auto" w:fill="auto"/>
            <w:vAlign w:val="center"/>
          </w:tcPr>
          <w:p>
            <w:pPr>
              <w:spacing w:before="120" w:after="120"/>
              <w:jc w:val="center"/>
              <w:rPr>
                <w:rFonts w:eastAsiaTheme="minorEastAsia"/>
                <w:b/>
                <w:sz w:val="20"/>
              </w:rPr>
            </w:pPr>
            <w:r>
              <w:rPr>
                <w:rFonts w:eastAsiaTheme="minorEastAsia"/>
                <w:b/>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Scenarios</w:t>
            </w:r>
          </w:p>
        </w:tc>
        <w:tc>
          <w:tcPr>
            <w:tcW w:w="4000" w:type="dxa"/>
            <w:shd w:val="clear" w:color="auto" w:fill="auto"/>
            <w:vAlign w:val="center"/>
          </w:tcPr>
          <w:p>
            <w:pPr>
              <w:spacing w:before="120" w:after="120"/>
              <w:rPr>
                <w:sz w:val="20"/>
              </w:rPr>
            </w:pPr>
            <w:r>
              <w:rPr>
                <w:rFonts w:eastAsiaTheme="minorEastAsia"/>
                <w:sz w:val="20"/>
              </w:rPr>
              <w:t>Scenario-1: Indoor Hotspot</w:t>
            </w:r>
            <w:r>
              <w:rPr>
                <w:sz w:val="20"/>
              </w:rPr>
              <w:t xml:space="preserve"> </w:t>
            </w:r>
          </w:p>
          <w:p>
            <w:pPr>
              <w:spacing w:before="120" w:after="120"/>
              <w:rPr>
                <w:rFonts w:eastAsiaTheme="minorEastAsia"/>
                <w:sz w:val="20"/>
              </w:rPr>
            </w:pPr>
            <w:r>
              <w:rPr>
                <w:rFonts w:eastAsiaTheme="minorEastAsia"/>
                <w:sz w:val="20"/>
              </w:rPr>
              <w:t>12 nodes in 50 m x 120 m</w:t>
            </w:r>
          </w:p>
        </w:tc>
        <w:tc>
          <w:tcPr>
            <w:tcW w:w="3763" w:type="dxa"/>
            <w:shd w:val="clear" w:color="auto" w:fill="auto"/>
            <w:vAlign w:val="center"/>
          </w:tcPr>
          <w:p>
            <w:pPr>
              <w:spacing w:before="120" w:after="120"/>
              <w:rPr>
                <w:rFonts w:eastAsiaTheme="minorEastAsia"/>
                <w:sz w:val="20"/>
              </w:rPr>
            </w:pPr>
            <w:r>
              <w:rPr>
                <w:rFonts w:hint="eastAsia" w:eastAsiaTheme="minorEastAsia"/>
                <w:sz w:val="20"/>
              </w:rPr>
              <w:t>Scenario-2 : Dense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Carrier frequency</w:t>
            </w:r>
          </w:p>
        </w:tc>
        <w:tc>
          <w:tcPr>
            <w:tcW w:w="7763" w:type="dxa"/>
            <w:gridSpan w:val="2"/>
            <w:shd w:val="clear" w:color="auto" w:fill="auto"/>
            <w:vAlign w:val="center"/>
          </w:tcPr>
          <w:p>
            <w:pPr>
              <w:spacing w:before="120" w:after="120"/>
              <w:rPr>
                <w:sz w:val="20"/>
              </w:rPr>
            </w:pPr>
            <w:r>
              <w:rPr>
                <w:sz w:val="20"/>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Bandwidth </w:t>
            </w:r>
          </w:p>
        </w:tc>
        <w:tc>
          <w:tcPr>
            <w:tcW w:w="7763" w:type="dxa"/>
            <w:gridSpan w:val="2"/>
            <w:shd w:val="clear" w:color="auto" w:fill="auto"/>
            <w:vAlign w:val="center"/>
          </w:tcPr>
          <w:p>
            <w:pPr>
              <w:spacing w:before="120" w:after="120"/>
              <w:rPr>
                <w:sz w:val="20"/>
              </w:rPr>
            </w:pPr>
            <w:r>
              <w:rPr>
                <w:sz w:val="20"/>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Subcarrier spacing</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Frame structure</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DDDSU (S: 10D:2G:2U) for UL</w:t>
            </w:r>
            <w:r>
              <w:rPr>
                <w:sz w:val="20"/>
              </w:rPr>
              <w:t xml:space="preserve"> </w:t>
            </w:r>
            <w:r>
              <w:rPr>
                <w:rFonts w:eastAsiaTheme="minorEastAsia"/>
                <w:sz w:val="20"/>
              </w:rPr>
              <w:t>interaction/pose information delivering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BS Antennas </w:t>
            </w:r>
          </w:p>
          <w:p>
            <w:pPr>
              <w:spacing w:before="120" w:after="120"/>
              <w:rPr>
                <w:rFonts w:eastAsiaTheme="minorEastAsia"/>
                <w:sz w:val="20"/>
              </w:rPr>
            </w:pPr>
            <w:r>
              <w:rPr>
                <w:rFonts w:eastAsiaTheme="minorEastAsia"/>
                <w:sz w:val="20"/>
              </w:rPr>
              <w:t>(M,N,P,Mg,Ng;Mp,Np)</w:t>
            </w:r>
          </w:p>
        </w:tc>
        <w:tc>
          <w:tcPr>
            <w:tcW w:w="4000" w:type="dxa"/>
            <w:shd w:val="clear" w:color="auto" w:fill="auto"/>
            <w:vAlign w:val="center"/>
          </w:tcPr>
          <w:p>
            <w:pPr>
              <w:spacing w:before="120" w:after="120"/>
              <w:rPr>
                <w:rFonts w:eastAsiaTheme="minorEastAsia"/>
                <w:sz w:val="20"/>
              </w:rPr>
            </w:pPr>
            <w:r>
              <w:rPr>
                <w:rFonts w:eastAsiaTheme="minorEastAsia"/>
                <w:sz w:val="20"/>
              </w:rPr>
              <w:t>For 32R: (4,4,2,1,1;4,4)</w:t>
            </w:r>
          </w:p>
          <w:p>
            <w:pPr>
              <w:spacing w:before="120" w:after="120"/>
              <w:rPr>
                <w:rFonts w:eastAsiaTheme="minorEastAsia"/>
                <w:sz w:val="20"/>
              </w:rPr>
            </w:pPr>
            <w:r>
              <w:rPr>
                <w:sz w:val="20"/>
              </w:rPr>
              <w:t>(dH,dV) = (0.5, 0.5)λ</w:t>
            </w:r>
          </w:p>
        </w:tc>
        <w:tc>
          <w:tcPr>
            <w:tcW w:w="3763" w:type="dxa"/>
            <w:shd w:val="clear" w:color="auto" w:fill="auto"/>
            <w:vAlign w:val="center"/>
          </w:tcPr>
          <w:p>
            <w:pPr>
              <w:spacing w:before="120" w:after="120"/>
              <w:rPr>
                <w:color w:val="000000"/>
                <w:kern w:val="0"/>
                <w:sz w:val="20"/>
              </w:rPr>
            </w:pPr>
            <w:r>
              <w:rPr>
                <w:rFonts w:hint="eastAsia"/>
                <w:sz w:val="20"/>
              </w:rPr>
              <w:t>For 64R:</w:t>
            </w:r>
            <w:r>
              <w:rPr>
                <w:color w:val="000000"/>
                <w:kern w:val="0"/>
                <w:sz w:val="20"/>
              </w:rPr>
              <w:t xml:space="preserve"> (8,8, 2, 1, 1; 4, 8)</w:t>
            </w:r>
          </w:p>
          <w:p>
            <w:pPr>
              <w:spacing w:before="120" w:after="120"/>
              <w:rPr>
                <w:sz w:val="20"/>
              </w:rPr>
            </w:pPr>
            <w:r>
              <w:rPr>
                <w:sz w:val="20"/>
              </w:rPr>
              <w:t xml:space="preserve">(dH,dV) </w:t>
            </w:r>
            <w:r>
              <w:rPr>
                <w:rFonts w:hint="eastAsia"/>
                <w:sz w:val="20"/>
              </w:rPr>
              <w:t xml:space="preserve"> </w:t>
            </w:r>
            <w:r>
              <w:rPr>
                <w:rStyle w:val="30"/>
              </w:rPr>
              <w:t>= (0.5λ, 0.5λ)</w:t>
            </w:r>
            <w:r>
              <w:rPr>
                <w:color w:val="000000"/>
                <w:kern w:val="0"/>
                <w:sz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 xml:space="preserve">UE Antennas </w:t>
            </w:r>
          </w:p>
          <w:p>
            <w:pPr>
              <w:spacing w:before="120" w:after="120"/>
              <w:rPr>
                <w:rFonts w:eastAsiaTheme="minorEastAsia"/>
                <w:sz w:val="20"/>
              </w:rPr>
            </w:pPr>
            <w:r>
              <w:rPr>
                <w:rFonts w:eastAsiaTheme="minorEastAsia"/>
                <w:sz w:val="20"/>
              </w:rPr>
              <w:t>(M,N,P,Mg,Ng;Mp,Np)</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For 2T: (1,1,2,1,1;1,1)</w:t>
            </w:r>
          </w:p>
          <w:p>
            <w:pPr>
              <w:spacing w:before="120" w:after="120"/>
              <w:rPr>
                <w:rFonts w:eastAsiaTheme="minorEastAsia"/>
                <w:sz w:val="20"/>
              </w:rPr>
            </w:pPr>
            <w:r>
              <w:rPr>
                <w:rFonts w:eastAsiaTheme="minorEastAsia"/>
                <w:sz w:val="20"/>
              </w:rPr>
              <w:t>(dH, dV)=( 0.5, N/A)λ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BS antenna pattern</w:t>
            </w:r>
          </w:p>
        </w:tc>
        <w:tc>
          <w:tcPr>
            <w:tcW w:w="4000" w:type="dxa"/>
            <w:shd w:val="clear" w:color="auto" w:fill="auto"/>
            <w:vAlign w:val="center"/>
          </w:tcPr>
          <w:p>
            <w:pPr>
              <w:spacing w:before="120" w:after="120"/>
              <w:rPr>
                <w:rFonts w:eastAsiaTheme="minorEastAsia"/>
                <w:sz w:val="20"/>
              </w:rPr>
            </w:pPr>
            <w:r>
              <w:rPr>
                <w:rFonts w:eastAsiaTheme="minorEastAsia"/>
                <w:sz w:val="20"/>
              </w:rPr>
              <w:t>Ceiling-mount pattern, 5 dBi</w:t>
            </w:r>
          </w:p>
        </w:tc>
        <w:tc>
          <w:tcPr>
            <w:tcW w:w="3763" w:type="dxa"/>
            <w:shd w:val="clear" w:color="auto" w:fill="auto"/>
            <w:vAlign w:val="center"/>
          </w:tcPr>
          <w:p>
            <w:pPr>
              <w:spacing w:before="120" w:after="120"/>
              <w:rPr>
                <w:rFonts w:eastAsiaTheme="minorEastAsia"/>
                <w:sz w:val="20"/>
              </w:rPr>
            </w:pPr>
            <w:r>
              <w:rPr>
                <w:rFonts w:eastAsiaTheme="minorEastAsia"/>
                <w:sz w:val="20"/>
              </w:rPr>
              <w:t xml:space="preserve">Ceiling-mount pattern, </w:t>
            </w:r>
            <w:r>
              <w:rPr>
                <w:rFonts w:hint="eastAsia" w:eastAsiaTheme="minorEastAsia"/>
                <w:sz w:val="20"/>
              </w:rPr>
              <w:t xml:space="preserve">8 </w:t>
            </w:r>
            <w:r>
              <w:rPr>
                <w:rFonts w:eastAsiaTheme="minorEastAsia"/>
                <w:sz w:val="20"/>
              </w:rPr>
              <w:t>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UE antenna pattern</w:t>
            </w:r>
          </w:p>
        </w:tc>
        <w:tc>
          <w:tcPr>
            <w:tcW w:w="4000" w:type="dxa"/>
            <w:shd w:val="clear" w:color="auto" w:fill="auto"/>
            <w:vAlign w:val="center"/>
          </w:tcPr>
          <w:p>
            <w:pPr>
              <w:spacing w:before="120" w:after="120"/>
              <w:rPr>
                <w:rFonts w:eastAsiaTheme="minorEastAsia"/>
                <w:sz w:val="20"/>
              </w:rPr>
            </w:pPr>
            <w:r>
              <w:rPr>
                <w:rFonts w:eastAsiaTheme="minorEastAsia"/>
                <w:sz w:val="20"/>
              </w:rPr>
              <w:t>Omnidirectional, 0 dBi</w:t>
            </w:r>
          </w:p>
        </w:tc>
        <w:tc>
          <w:tcPr>
            <w:tcW w:w="3763" w:type="dxa"/>
            <w:shd w:val="clear" w:color="auto" w:fill="auto"/>
            <w:vAlign w:val="center"/>
          </w:tcPr>
          <w:p>
            <w:pPr>
              <w:spacing w:before="120" w:after="120"/>
              <w:rPr>
                <w:rFonts w:eastAsiaTheme="minorEastAsia"/>
                <w:sz w:val="20"/>
              </w:rPr>
            </w:pPr>
            <w:r>
              <w:rPr>
                <w:rFonts w:eastAsiaTheme="minorEastAsia"/>
                <w:sz w:val="20"/>
              </w:rPr>
              <w:t>Omnidirectional, 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UE max Power</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 xml:space="preserve">23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Power control</w:t>
            </w:r>
          </w:p>
        </w:tc>
        <w:tc>
          <w:tcPr>
            <w:tcW w:w="7763" w:type="dxa"/>
            <w:gridSpan w:val="2"/>
            <w:shd w:val="clear" w:color="auto" w:fill="auto"/>
            <w:vAlign w:val="center"/>
          </w:tcPr>
          <w:p>
            <w:pPr>
              <w:spacing w:before="120" w:after="120"/>
              <w:rPr>
                <w:rFonts w:eastAsiaTheme="minorEastAsia"/>
                <w:sz w:val="20"/>
              </w:rPr>
            </w:pPr>
            <w:bookmarkStart w:id="52" w:name="OLE_LINK6"/>
            <w:bookmarkStart w:id="53" w:name="OLE_LINK4"/>
            <w:r>
              <w:rPr>
                <w:rFonts w:eastAsiaTheme="minorEastAsia"/>
                <w:sz w:val="20"/>
              </w:rPr>
              <w:t>P0 = -80 dBm, alpha = 0.8</w:t>
            </w:r>
            <w:bookmarkEnd w:id="52"/>
            <w:bookmark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Noise Figure</w:t>
            </w:r>
          </w:p>
        </w:tc>
        <w:tc>
          <w:tcPr>
            <w:tcW w:w="7763" w:type="dxa"/>
            <w:gridSpan w:val="2"/>
            <w:shd w:val="clear" w:color="auto" w:fill="auto"/>
            <w:vAlign w:val="center"/>
          </w:tcPr>
          <w:p>
            <w:pPr>
              <w:spacing w:before="120" w:after="120"/>
              <w:rPr>
                <w:color w:val="000000"/>
                <w:kern w:val="0"/>
                <w:sz w:val="20"/>
              </w:rPr>
            </w:pPr>
            <w:r>
              <w:rPr>
                <w:color w:val="000000"/>
                <w:kern w:val="0"/>
                <w:sz w:val="20"/>
              </w:rPr>
              <w:t>5dB for BS and 9dB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Scheduler</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MU-MIMO+PF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2111" w:type="dxa"/>
            <w:shd w:val="clear" w:color="auto" w:fill="auto"/>
            <w:vAlign w:val="center"/>
          </w:tcPr>
          <w:p>
            <w:pPr>
              <w:spacing w:before="120" w:after="120"/>
              <w:rPr>
                <w:rFonts w:eastAsiaTheme="minorEastAsia"/>
                <w:sz w:val="20"/>
              </w:rPr>
            </w:pPr>
            <w:r>
              <w:rPr>
                <w:rFonts w:eastAsiaTheme="minorEastAsia"/>
                <w:sz w:val="20"/>
              </w:rPr>
              <w:t>Device deployment</w:t>
            </w:r>
          </w:p>
        </w:tc>
        <w:tc>
          <w:tcPr>
            <w:tcW w:w="4000" w:type="dxa"/>
            <w:shd w:val="clear" w:color="auto" w:fill="auto"/>
            <w:vAlign w:val="center"/>
          </w:tcPr>
          <w:p>
            <w:pPr>
              <w:spacing w:before="120" w:after="120"/>
              <w:rPr>
                <w:rFonts w:eastAsiaTheme="minorEastAsia"/>
                <w:sz w:val="20"/>
              </w:rPr>
            </w:pPr>
            <w:r>
              <w:rPr>
                <w:rFonts w:eastAsiaTheme="minorEastAsia"/>
                <w:sz w:val="20"/>
              </w:rPr>
              <w:t>100% indoor</w:t>
            </w:r>
          </w:p>
        </w:tc>
        <w:tc>
          <w:tcPr>
            <w:tcW w:w="3763" w:type="dxa"/>
            <w:shd w:val="clear" w:color="auto" w:fill="auto"/>
            <w:vAlign w:val="center"/>
          </w:tcPr>
          <w:p>
            <w:pPr>
              <w:spacing w:before="120" w:after="120"/>
              <w:jc w:val="left"/>
              <w:textAlignment w:val="center"/>
              <w:rPr>
                <w:color w:val="000000"/>
                <w:sz w:val="20"/>
              </w:rPr>
            </w:pPr>
            <w:r>
              <w:rPr>
                <w:color w:val="000000"/>
                <w:kern w:val="0"/>
                <w:sz w:val="20"/>
              </w:rPr>
              <w:t>80% of users are indoor,20%of users are outdoor;</w:t>
            </w:r>
          </w:p>
          <w:p>
            <w:pPr>
              <w:spacing w:before="120" w:after="120"/>
              <w:rPr>
                <w:rFonts w:eastAsiaTheme="minorEastAsia"/>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rFonts w:eastAsiaTheme="minorEastAsia"/>
                <w:sz w:val="20"/>
              </w:rPr>
            </w:pPr>
            <w:r>
              <w:rPr>
                <w:rFonts w:eastAsiaTheme="minorEastAsia"/>
                <w:sz w:val="20"/>
              </w:rPr>
              <w:t>Down-tilt</w:t>
            </w:r>
          </w:p>
        </w:tc>
        <w:tc>
          <w:tcPr>
            <w:tcW w:w="4000" w:type="dxa"/>
            <w:shd w:val="clear" w:color="auto" w:fill="auto"/>
            <w:vAlign w:val="center"/>
          </w:tcPr>
          <w:p>
            <w:pPr>
              <w:spacing w:before="120" w:after="120"/>
              <w:rPr>
                <w:rFonts w:eastAsiaTheme="minorEastAsia"/>
                <w:sz w:val="20"/>
              </w:rPr>
            </w:pPr>
            <w:r>
              <w:rPr>
                <w:rFonts w:eastAsiaTheme="minorEastAsia"/>
                <w:sz w:val="20"/>
              </w:rPr>
              <w:t>90 degrees</w:t>
            </w:r>
          </w:p>
        </w:tc>
        <w:tc>
          <w:tcPr>
            <w:tcW w:w="3763" w:type="dxa"/>
            <w:shd w:val="clear" w:color="auto" w:fill="auto"/>
            <w:vAlign w:val="center"/>
          </w:tcPr>
          <w:p>
            <w:pPr>
              <w:spacing w:before="120" w:after="120"/>
              <w:rPr>
                <w:rFonts w:eastAsiaTheme="minorEastAsia"/>
                <w:sz w:val="20"/>
              </w:rPr>
            </w:pPr>
            <w:r>
              <w:rPr>
                <w:rFonts w:hint="eastAsia" w:eastAsiaTheme="minorEastAsia"/>
                <w:sz w:val="20"/>
              </w:rPr>
              <w:t>12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rFonts w:eastAsiaTheme="minorEastAsia"/>
                <w:sz w:val="20"/>
              </w:rPr>
            </w:pPr>
            <w:r>
              <w:rPr>
                <w:color w:val="000000"/>
                <w:sz w:val="20"/>
              </w:rPr>
              <w:t>BS receiver</w:t>
            </w:r>
          </w:p>
        </w:tc>
        <w:tc>
          <w:tcPr>
            <w:tcW w:w="7763" w:type="dxa"/>
            <w:gridSpan w:val="2"/>
            <w:shd w:val="clear" w:color="auto" w:fill="auto"/>
            <w:vAlign w:val="center"/>
          </w:tcPr>
          <w:p>
            <w:pPr>
              <w:spacing w:before="120" w:after="120"/>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color w:val="000000"/>
                <w:sz w:val="20"/>
              </w:rPr>
            </w:pPr>
            <w:r>
              <w:rPr>
                <w:color w:val="000000"/>
                <w:sz w:val="20"/>
              </w:rPr>
              <w:t>UE receiver</w:t>
            </w:r>
          </w:p>
        </w:tc>
        <w:tc>
          <w:tcPr>
            <w:tcW w:w="7763" w:type="dxa"/>
            <w:gridSpan w:val="2"/>
            <w:shd w:val="clear" w:color="auto" w:fill="auto"/>
            <w:vAlign w:val="center"/>
          </w:tcPr>
          <w:p>
            <w:pPr>
              <w:spacing w:before="120" w:after="120"/>
              <w:rPr>
                <w:color w:val="000000"/>
                <w:sz w:val="20"/>
              </w:rPr>
            </w:pPr>
            <w:r>
              <w:rPr>
                <w:color w:val="000000"/>
                <w:sz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rPr>
                <w:color w:val="000000"/>
                <w:sz w:val="20"/>
              </w:rPr>
            </w:pPr>
            <w:r>
              <w:rPr>
                <w:color w:val="000000"/>
                <w:sz w:val="20"/>
              </w:rPr>
              <w:t>Channel estimation</w:t>
            </w:r>
          </w:p>
        </w:tc>
        <w:tc>
          <w:tcPr>
            <w:tcW w:w="7763" w:type="dxa"/>
            <w:gridSpan w:val="2"/>
            <w:shd w:val="clear" w:color="auto" w:fill="auto"/>
            <w:vAlign w:val="center"/>
          </w:tcPr>
          <w:p>
            <w:pPr>
              <w:spacing w:before="120" w:after="120"/>
              <w:rPr>
                <w:color w:val="000000"/>
                <w:sz w:val="20"/>
              </w:rPr>
            </w:pPr>
            <w:r>
              <w:rPr>
                <w:color w:val="000000"/>
                <w:sz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color w:val="000000"/>
                <w:sz w:val="20"/>
              </w:rPr>
            </w:pPr>
            <w:r>
              <w:rPr>
                <w:rFonts w:eastAsia="Arial"/>
                <w:sz w:val="20"/>
              </w:rPr>
              <w:t>Target BLER</w:t>
            </w:r>
          </w:p>
        </w:tc>
        <w:tc>
          <w:tcPr>
            <w:tcW w:w="7763" w:type="dxa"/>
            <w:gridSpan w:val="2"/>
            <w:shd w:val="clear" w:color="auto" w:fill="auto"/>
            <w:vAlign w:val="center"/>
          </w:tcPr>
          <w:p>
            <w:pPr>
              <w:spacing w:before="120" w:after="120"/>
              <w:rPr>
                <w:rFonts w:eastAsia="Arial"/>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spacing w:before="120" w:after="120"/>
              <w:rPr>
                <w:color w:val="000000"/>
                <w:sz w:val="20"/>
              </w:rPr>
            </w:pPr>
            <w:r>
              <w:rPr>
                <w:rFonts w:eastAsiaTheme="minorEastAsia"/>
                <w:sz w:val="20"/>
              </w:rPr>
              <w:t>UE speed</w:t>
            </w:r>
          </w:p>
        </w:tc>
        <w:tc>
          <w:tcPr>
            <w:tcW w:w="7763" w:type="dxa"/>
            <w:gridSpan w:val="2"/>
            <w:shd w:val="clear" w:color="auto" w:fill="auto"/>
            <w:vAlign w:val="center"/>
          </w:tcPr>
          <w:p>
            <w:pPr>
              <w:spacing w:before="120" w:after="120"/>
              <w:rPr>
                <w:rFonts w:eastAsiaTheme="minorEastAsia"/>
                <w:sz w:val="20"/>
              </w:rPr>
            </w:pPr>
            <w:r>
              <w:rPr>
                <w:rFonts w:eastAsiaTheme="minorEastAsia"/>
                <w:sz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tcPr>
          <w:p>
            <w:pPr>
              <w:spacing w:before="120" w:after="120"/>
              <w:jc w:val="left"/>
              <w:textAlignment w:val="center"/>
              <w:rPr>
                <w:rFonts w:eastAsiaTheme="minorEastAsia"/>
                <w:sz w:val="20"/>
              </w:rPr>
            </w:pPr>
            <w:r>
              <w:rPr>
                <w:color w:val="000000"/>
                <w:kern w:val="0"/>
                <w:sz w:val="20"/>
              </w:rPr>
              <w:t>HARQ/repetition</w:t>
            </w:r>
          </w:p>
        </w:tc>
        <w:tc>
          <w:tcPr>
            <w:tcW w:w="7763" w:type="dxa"/>
            <w:gridSpan w:val="2"/>
            <w:shd w:val="clear" w:color="auto" w:fill="auto"/>
          </w:tcPr>
          <w:p>
            <w:pPr>
              <w:spacing w:before="120" w:after="120"/>
              <w:jc w:val="left"/>
              <w:textAlignment w:val="center"/>
              <w:rPr>
                <w:color w:val="000000"/>
                <w:kern w:val="0"/>
                <w:sz w:val="20"/>
              </w:rPr>
            </w:pPr>
            <w:r>
              <w:rPr>
                <w:color w:val="000000"/>
                <w:kern w:val="0"/>
                <w:sz w:val="20"/>
              </w:rPr>
              <w:t>HARQ retransmission,Maximum number of retransmissions is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38"/>
              <w:spacing w:before="120" w:after="120"/>
              <w:jc w:val="left"/>
              <w:rPr>
                <w:rFonts w:ascii="Times New Roman" w:hAnsi="Times New Roman" w:cs="Times New Roman" w:eastAsiaTheme="minorEastAsia"/>
                <w:sz w:val="20"/>
                <w:szCs w:val="20"/>
                <w:lang w:eastAsia="zh-CN"/>
              </w:rPr>
            </w:pPr>
            <w:r>
              <w:rPr>
                <w:rFonts w:ascii="Times New Roman" w:hAnsi="Times New Roman" w:eastAsia="宋体" w:cs="Times New Roman"/>
                <w:sz w:val="20"/>
                <w:szCs w:val="20"/>
              </w:rPr>
              <w:t>PHY processing delay</w:t>
            </w:r>
          </w:p>
        </w:tc>
        <w:tc>
          <w:tcPr>
            <w:tcW w:w="7763" w:type="dxa"/>
            <w:gridSpan w:val="2"/>
            <w:shd w:val="clear" w:color="auto" w:fill="auto"/>
            <w:vAlign w:val="center"/>
          </w:tcPr>
          <w:p>
            <w:pPr>
              <w:pStyle w:val="38"/>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11" w:type="dxa"/>
            <w:shd w:val="clear" w:color="auto" w:fill="auto"/>
            <w:vAlign w:val="center"/>
          </w:tcPr>
          <w:p>
            <w:pPr>
              <w:pStyle w:val="38"/>
              <w:spacing w:before="120" w:after="120"/>
              <w:jc w:val="left"/>
              <w:rPr>
                <w:rFonts w:ascii="Times New Roman" w:hAnsi="Times New Roman" w:cs="Times New Roman" w:eastAsiaTheme="minorEastAsia"/>
                <w:sz w:val="20"/>
                <w:szCs w:val="20"/>
                <w:lang w:eastAsia="zh-CN"/>
              </w:rPr>
            </w:pPr>
            <w:r>
              <w:rPr>
                <w:rFonts w:ascii="Times New Roman" w:hAnsi="Times New Roman" w:eastAsia="宋体" w:cs="Times New Roman"/>
                <w:sz w:val="20"/>
                <w:szCs w:val="20"/>
                <w:lang w:eastAsia="zh-CN"/>
              </w:rPr>
              <w:t>DMRE</w:t>
            </w:r>
            <w:r>
              <w:rPr>
                <w:rFonts w:ascii="Times New Roman" w:hAnsi="Times New Roman" w:eastAsia="宋体" w:cs="Times New Roman"/>
                <w:sz w:val="20"/>
                <w:szCs w:val="20"/>
              </w:rPr>
              <w:t xml:space="preserve"> overhead</w:t>
            </w:r>
          </w:p>
        </w:tc>
        <w:tc>
          <w:tcPr>
            <w:tcW w:w="7763" w:type="dxa"/>
            <w:gridSpan w:val="2"/>
            <w:shd w:val="clear" w:color="auto" w:fill="auto"/>
            <w:vAlign w:val="center"/>
          </w:tcPr>
          <w:p>
            <w:pPr>
              <w:pStyle w:val="38"/>
              <w:spacing w:before="120" w:after="120"/>
              <w:jc w:val="left"/>
              <w:rPr>
                <w:rFonts w:ascii="Times New Roman" w:hAnsi="Times New Roman" w:cs="Times New Roman" w:eastAsiaTheme="minorEastAsia"/>
                <w:sz w:val="20"/>
                <w:szCs w:val="20"/>
                <w:lang w:eastAsia="zh-CN"/>
              </w:rPr>
            </w:pPr>
            <w:r>
              <w:rPr>
                <w:rFonts w:ascii="Times New Roman" w:hAnsi="Times New Roman" w:cs="Times New Roman" w:eastAsiaTheme="minorEastAsia"/>
                <w:sz w:val="20"/>
                <w:szCs w:val="20"/>
                <w:lang w:eastAsia="zh-CN"/>
              </w:rPr>
              <w:t>4RE</w:t>
            </w:r>
          </w:p>
        </w:tc>
      </w:tr>
      <w:bookmarkEnd w:id="50"/>
      <w:bookmarkEnd w:id="51"/>
    </w:tbl>
    <w:p>
      <w:pPr>
        <w:spacing w:before="120" w:after="120"/>
      </w:pPr>
    </w:p>
    <w:p>
      <w:pPr>
        <w:pStyle w:val="6"/>
        <w:keepNext/>
        <w:spacing w:before="120" w:after="120"/>
        <w:jc w:val="center"/>
        <w:rPr>
          <w:rFonts w:ascii="Times New Roman" w:hAnsi="Times New Roman"/>
        </w:rPr>
      </w:pPr>
      <w:bookmarkStart w:id="54" w:name="_Ref5654"/>
      <w:r>
        <w:rPr>
          <w:rFonts w:ascii="Times New Roman" w:hAnsi="Times New Roman"/>
        </w:rPr>
        <w:t xml:space="preserve">Table </w:t>
      </w:r>
      <w:r>
        <w:rPr>
          <w:rFonts w:hint="eastAsia" w:ascii="Times New Roman" w:hAnsi="Times New Roman"/>
        </w:rPr>
        <w:t>A.</w:t>
      </w:r>
      <w:bookmarkEnd w:id="54"/>
      <w:r>
        <w:rPr>
          <w:rFonts w:hint="eastAsia" w:ascii="Times New Roman" w:hAnsi="Times New Roman"/>
        </w:rPr>
        <w:t>3</w:t>
      </w:r>
      <w:r>
        <w:rPr>
          <w:rFonts w:ascii="Times New Roman" w:hAnsi="Times New Roman"/>
        </w:rPr>
        <w:t xml:space="preserve"> simulation parameters for </w:t>
      </w:r>
      <w:r>
        <w:rPr>
          <w:rFonts w:hint="eastAsia" w:ascii="Times New Roman" w:hAnsi="Times New Roman"/>
        </w:rPr>
        <w:t>FR2 DL</w:t>
      </w:r>
    </w:p>
    <w:tbl>
      <w:tblPr>
        <w:tblStyle w:val="17"/>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4"/>
        <w:gridCol w:w="6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center"/>
              <w:textAlignment w:val="center"/>
              <w:rPr>
                <w:b/>
                <w:color w:val="000000"/>
                <w:sz w:val="20"/>
              </w:rPr>
            </w:pPr>
            <w:r>
              <w:rPr>
                <w:b/>
                <w:color w:val="000000"/>
                <w:kern w:val="0"/>
                <w:sz w:val="20"/>
              </w:rPr>
              <w:t>Parameters</w:t>
            </w:r>
          </w:p>
        </w:tc>
        <w:tc>
          <w:tcPr>
            <w:tcW w:w="6985" w:type="dxa"/>
          </w:tcPr>
          <w:p>
            <w:pPr>
              <w:spacing w:before="120" w:after="120"/>
              <w:jc w:val="center"/>
              <w:textAlignment w:val="center"/>
              <w:rPr>
                <w:b/>
                <w:color w:val="000000"/>
                <w:kern w:val="0"/>
                <w:sz w:val="20"/>
              </w:rPr>
            </w:pPr>
            <w:r>
              <w:rPr>
                <w:b/>
                <w:color w:val="000000"/>
                <w:kern w:val="0"/>
                <w:sz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2154" w:type="dxa"/>
            <w:vAlign w:val="center"/>
          </w:tcPr>
          <w:p>
            <w:pPr>
              <w:spacing w:before="120" w:after="120"/>
              <w:rPr>
                <w:color w:val="000000"/>
                <w:kern w:val="0"/>
                <w:sz w:val="20"/>
              </w:rPr>
            </w:pPr>
            <w:r>
              <w:rPr>
                <w:rFonts w:eastAsiaTheme="minorEastAsia"/>
              </w:rPr>
              <w:t>Scenario</w:t>
            </w:r>
          </w:p>
        </w:tc>
        <w:tc>
          <w:tcPr>
            <w:tcW w:w="6985" w:type="dxa"/>
          </w:tcPr>
          <w:p>
            <w:pPr>
              <w:spacing w:before="120" w:after="120"/>
              <w:rPr>
                <w:rFonts w:eastAsiaTheme="minorEastAsia"/>
              </w:rPr>
            </w:pPr>
            <w:r>
              <w:rPr>
                <w:rFonts w:eastAsiaTheme="minorEastAsia"/>
              </w:rPr>
              <w:t>Scenario-1: Indoor Hotspot</w:t>
            </w:r>
          </w:p>
          <w:p>
            <w:pPr>
              <w:spacing w:before="120" w:after="120"/>
              <w:rPr>
                <w:color w:val="000000"/>
                <w:kern w:val="0"/>
                <w:sz w:val="20"/>
              </w:rPr>
            </w:pPr>
            <w:r>
              <w:rPr>
                <w:rFonts w:eastAsiaTheme="minorEastAsia"/>
              </w:rPr>
              <w:t>12 nodes in 50 m x 120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Inter-BS distance</w:t>
            </w:r>
          </w:p>
        </w:tc>
        <w:tc>
          <w:tcPr>
            <w:tcW w:w="6985" w:type="dxa"/>
          </w:tcPr>
          <w:p>
            <w:pPr>
              <w:spacing w:before="120" w:after="120"/>
              <w:jc w:val="left"/>
              <w:textAlignment w:val="center"/>
              <w:rPr>
                <w:color w:val="000000"/>
                <w:kern w:val="0"/>
                <w:sz w:val="20"/>
              </w:rPr>
            </w:pPr>
            <w:r>
              <w:rPr>
                <w:color w:val="000000"/>
                <w:kern w:val="0"/>
                <w:sz w:val="20"/>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Carrier frequency</w:t>
            </w:r>
          </w:p>
        </w:tc>
        <w:tc>
          <w:tcPr>
            <w:tcW w:w="6985" w:type="dxa"/>
          </w:tcPr>
          <w:p>
            <w:pPr>
              <w:spacing w:before="120" w:after="120"/>
              <w:jc w:val="left"/>
              <w:textAlignment w:val="center"/>
              <w:rPr>
                <w:color w:val="000000"/>
                <w:kern w:val="0"/>
                <w:sz w:val="20"/>
              </w:rPr>
            </w:pPr>
            <w:r>
              <w:rPr>
                <w:color w:val="000000"/>
                <w:kern w:val="0"/>
                <w:sz w:val="20"/>
              </w:rPr>
              <w:t>30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jc w:val="left"/>
              <w:textAlignment w:val="center"/>
              <w:rPr>
                <w:color w:val="000000"/>
                <w:sz w:val="20"/>
              </w:rPr>
            </w:pPr>
            <w:r>
              <w:rPr>
                <w:color w:val="000000"/>
                <w:kern w:val="0"/>
                <w:sz w:val="20"/>
              </w:rPr>
              <w:t>Duplex Mode / Simulation bandwidth</w:t>
            </w:r>
          </w:p>
        </w:tc>
        <w:tc>
          <w:tcPr>
            <w:tcW w:w="6985" w:type="dxa"/>
          </w:tcPr>
          <w:p>
            <w:pPr>
              <w:spacing w:before="120" w:after="120"/>
              <w:jc w:val="left"/>
              <w:textAlignment w:val="center"/>
              <w:rPr>
                <w:color w:val="000000"/>
                <w:kern w:val="0"/>
                <w:sz w:val="20"/>
              </w:rPr>
            </w:pPr>
            <w:r>
              <w:rPr>
                <w:rFonts w:hint="eastAsia"/>
                <w:color w:val="000000"/>
                <w:kern w:val="0"/>
                <w:sz w:val="20"/>
              </w:rPr>
              <w:t>1</w:t>
            </w:r>
            <w:r>
              <w:rPr>
                <w:color w:val="000000"/>
                <w:kern w:val="0"/>
                <w:sz w:val="20"/>
              </w:rPr>
              <w:t>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SCS</w:t>
            </w:r>
          </w:p>
        </w:tc>
        <w:tc>
          <w:tcPr>
            <w:tcW w:w="6985" w:type="dxa"/>
          </w:tcPr>
          <w:p>
            <w:pPr>
              <w:spacing w:before="120" w:after="120"/>
              <w:jc w:val="left"/>
              <w:textAlignment w:val="center"/>
              <w:rPr>
                <w:color w:val="000000"/>
                <w:kern w:val="0"/>
                <w:sz w:val="20"/>
              </w:rPr>
            </w:pPr>
            <w:r>
              <w:rPr>
                <w:color w:val="000000"/>
                <w:kern w:val="0"/>
                <w:sz w:val="20"/>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kern w:val="0"/>
                <w:sz w:val="20"/>
              </w:rPr>
            </w:pPr>
            <w:r>
              <w:rPr>
                <w:color w:val="000000"/>
                <w:kern w:val="0"/>
                <w:sz w:val="20"/>
              </w:rPr>
              <w:t>TDD pattern</w:t>
            </w:r>
          </w:p>
        </w:tc>
        <w:tc>
          <w:tcPr>
            <w:tcW w:w="6985" w:type="dxa"/>
          </w:tcPr>
          <w:p>
            <w:pPr>
              <w:spacing w:before="120" w:after="120"/>
              <w:jc w:val="left"/>
              <w:textAlignment w:val="center"/>
              <w:rPr>
                <w:color w:val="000000"/>
                <w:kern w:val="0"/>
                <w:sz w:val="20"/>
              </w:rPr>
            </w:pPr>
            <w:r>
              <w:rPr>
                <w:color w:val="000000"/>
                <w:kern w:val="0"/>
                <w:sz w:val="20"/>
              </w:rPr>
              <w:t>DDDSU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2154" w:type="dxa"/>
          </w:tcPr>
          <w:p>
            <w:pPr>
              <w:spacing w:before="120" w:after="120"/>
              <w:textAlignment w:val="center"/>
              <w:rPr>
                <w:color w:val="000000"/>
                <w:sz w:val="20"/>
              </w:rPr>
            </w:pPr>
            <w:r>
              <w:rPr>
                <w:color w:val="000000"/>
                <w:kern w:val="0"/>
                <w:sz w:val="20"/>
              </w:rPr>
              <w:t>BS Antenna Configuration</w:t>
            </w:r>
          </w:p>
        </w:tc>
        <w:tc>
          <w:tcPr>
            <w:tcW w:w="6985" w:type="dxa"/>
          </w:tcPr>
          <w:p>
            <w:pPr>
              <w:spacing w:before="120" w:after="120"/>
              <w:textAlignment w:val="center"/>
              <w:rPr>
                <w:color w:val="000000"/>
                <w:kern w:val="0"/>
                <w:sz w:val="20"/>
              </w:rPr>
            </w:pPr>
            <w:r>
              <w:rPr>
                <w:color w:val="000000"/>
                <w:kern w:val="0"/>
                <w:sz w:val="20"/>
              </w:rPr>
              <w:t>For 2T: (16,8,2,1,1;1,1)</w:t>
            </w:r>
          </w:p>
          <w:p>
            <w:pPr>
              <w:spacing w:before="120" w:after="120"/>
              <w:textAlignment w:val="center"/>
              <w:rPr>
                <w:color w:val="000000"/>
                <w:kern w:val="0"/>
                <w:sz w:val="20"/>
              </w:rPr>
            </w:pPr>
            <w:r>
              <w:rPr>
                <w:color w:val="000000"/>
                <w:kern w:val="0"/>
                <w:sz w:val="20"/>
              </w:rPr>
              <w:t>(dH, dV)=(0.5,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154" w:type="dxa"/>
          </w:tcPr>
          <w:p>
            <w:pPr>
              <w:spacing w:before="120" w:after="120"/>
              <w:textAlignment w:val="center"/>
              <w:rPr>
                <w:color w:val="000000"/>
                <w:sz w:val="20"/>
              </w:rPr>
            </w:pPr>
            <w:r>
              <w:rPr>
                <w:color w:val="000000"/>
                <w:kern w:val="0"/>
                <w:sz w:val="20"/>
              </w:rPr>
              <w:t>UE Antenna Configuration</w:t>
            </w:r>
          </w:p>
        </w:tc>
        <w:tc>
          <w:tcPr>
            <w:tcW w:w="6985" w:type="dxa"/>
          </w:tcPr>
          <w:p>
            <w:pPr>
              <w:spacing w:before="120" w:after="120"/>
              <w:textAlignment w:val="center"/>
              <w:rPr>
                <w:rStyle w:val="30"/>
              </w:rPr>
            </w:pPr>
            <w:r>
              <w:rPr>
                <w:rStyle w:val="30"/>
              </w:rPr>
              <w:t>For 4R/panel: (</w:t>
            </w:r>
            <w:r>
              <w:rPr>
                <w:rStyle w:val="30"/>
                <w:rFonts w:hint="eastAsia"/>
              </w:rPr>
              <w:t>2</w:t>
            </w:r>
            <w:r>
              <w:rPr>
                <w:rStyle w:val="30"/>
              </w:rPr>
              <w:t>,4,2,1</w:t>
            </w:r>
            <w:r>
              <w:rPr>
                <w:rStyle w:val="30"/>
                <w:rFonts w:hint="eastAsia"/>
              </w:rPr>
              <w:t>,2</w:t>
            </w:r>
            <w:r>
              <w:rPr>
                <w:rStyle w:val="30"/>
              </w:rPr>
              <w:t>;1,2)</w:t>
            </w:r>
          </w:p>
          <w:p>
            <w:pPr>
              <w:spacing w:before="120" w:after="120"/>
              <w:textAlignment w:val="center"/>
              <w:rPr>
                <w:rStyle w:val="30"/>
              </w:rPr>
            </w:pPr>
            <w:r>
              <w:rPr>
                <w:rStyle w:val="30"/>
              </w:rPr>
              <w:t>(dH,dV) = (0.5, 0.5)λ</w:t>
            </w:r>
          </w:p>
          <w:p>
            <w:pPr>
              <w:spacing w:before="120" w:after="120"/>
              <w:textAlignment w:val="center"/>
              <w:rPr>
                <w:color w:val="000000"/>
                <w:kern w:val="0"/>
                <w:sz w:val="20"/>
              </w:rPr>
            </w:pPr>
            <w:r>
              <w:rPr>
                <w:rStyle w:val="30"/>
              </w:rPr>
              <w:t>(dg,V,dg,H) = (0, 0)λ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2154" w:type="dxa"/>
          </w:tcPr>
          <w:p>
            <w:pPr>
              <w:spacing w:before="120" w:after="120"/>
              <w:textAlignment w:val="center"/>
              <w:rPr>
                <w:color w:val="000000"/>
                <w:sz w:val="20"/>
              </w:rPr>
            </w:pPr>
            <w:r>
              <w:rPr>
                <w:color w:val="000000"/>
                <w:kern w:val="0"/>
                <w:sz w:val="20"/>
              </w:rPr>
              <w:t>Transmit Power</w:t>
            </w:r>
          </w:p>
        </w:tc>
        <w:tc>
          <w:tcPr>
            <w:tcW w:w="6985" w:type="dxa"/>
          </w:tcPr>
          <w:p>
            <w:pPr>
              <w:spacing w:before="120" w:after="120"/>
              <w:textAlignment w:val="center"/>
              <w:rPr>
                <w:color w:val="000000"/>
                <w:kern w:val="0"/>
                <w:sz w:val="20"/>
              </w:rPr>
            </w:pPr>
            <w:r>
              <w:rPr>
                <w:color w:val="000000"/>
                <w:kern w:val="0"/>
                <w:sz w:val="20"/>
              </w:rPr>
              <w:t>23 dBm per 80M at TRP, 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Antenna Height</w:t>
            </w:r>
          </w:p>
        </w:tc>
        <w:tc>
          <w:tcPr>
            <w:tcW w:w="6985" w:type="dxa"/>
          </w:tcPr>
          <w:p>
            <w:pPr>
              <w:spacing w:before="120" w:after="120"/>
              <w:textAlignment w:val="center"/>
              <w:rPr>
                <w:color w:val="000000"/>
                <w:kern w:val="0"/>
                <w:sz w:val="20"/>
              </w:rPr>
            </w:pPr>
            <w:r>
              <w:rPr>
                <w:color w:val="000000"/>
                <w:kern w:val="0"/>
                <w:sz w:val="20"/>
              </w:rPr>
              <w:t>3 m for BS and 1.5 m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Antenna Element Gain</w:t>
            </w:r>
          </w:p>
        </w:tc>
        <w:tc>
          <w:tcPr>
            <w:tcW w:w="6985" w:type="dxa"/>
          </w:tcPr>
          <w:p>
            <w:pPr>
              <w:spacing w:before="120" w:after="120"/>
              <w:textAlignment w:val="center"/>
              <w:rPr>
                <w:color w:val="000000"/>
                <w:kern w:val="0"/>
                <w:sz w:val="20"/>
              </w:rPr>
            </w:pPr>
            <w:r>
              <w:rPr>
                <w:color w:val="000000"/>
                <w:kern w:val="0"/>
                <w:sz w:val="20"/>
              </w:rPr>
              <w:t>5dBi for BS and 5 dBi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Receiver Noise Figure</w:t>
            </w:r>
          </w:p>
        </w:tc>
        <w:tc>
          <w:tcPr>
            <w:tcW w:w="6985" w:type="dxa"/>
          </w:tcPr>
          <w:p>
            <w:pPr>
              <w:spacing w:before="120" w:after="120"/>
              <w:textAlignment w:val="center"/>
              <w:rPr>
                <w:color w:val="000000"/>
                <w:kern w:val="0"/>
                <w:sz w:val="20"/>
              </w:rPr>
            </w:pPr>
            <w:r>
              <w:rPr>
                <w:color w:val="000000"/>
                <w:kern w:val="0"/>
                <w:sz w:val="20"/>
              </w:rPr>
              <w:t>7 dB for BS and 13dB for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154" w:type="dxa"/>
          </w:tcPr>
          <w:p>
            <w:pPr>
              <w:spacing w:before="120" w:after="120"/>
              <w:jc w:val="left"/>
              <w:textAlignment w:val="center"/>
              <w:rPr>
                <w:color w:val="000000"/>
                <w:sz w:val="20"/>
              </w:rPr>
            </w:pPr>
            <w:r>
              <w:rPr>
                <w:color w:val="000000"/>
                <w:kern w:val="0"/>
                <w:sz w:val="20"/>
              </w:rPr>
              <w:t>UE distribution</w:t>
            </w:r>
          </w:p>
        </w:tc>
        <w:tc>
          <w:tcPr>
            <w:tcW w:w="6985" w:type="dxa"/>
          </w:tcPr>
          <w:p>
            <w:pPr>
              <w:spacing w:before="120" w:after="120"/>
              <w:jc w:val="left"/>
              <w:textAlignment w:val="center"/>
              <w:rPr>
                <w:color w:val="000000"/>
                <w:sz w:val="20"/>
              </w:rPr>
            </w:pPr>
            <w:r>
              <w:rPr>
                <w:color w:val="000000"/>
                <w:kern w:val="0"/>
                <w:sz w:val="20"/>
              </w:rPr>
              <w:t>100% of users are indoor</w:t>
            </w:r>
          </w:p>
          <w:p>
            <w:pPr>
              <w:spacing w:before="120" w:after="120"/>
              <w:jc w:val="left"/>
              <w:textAlignment w:val="center"/>
              <w:rPr>
                <w:color w:val="000000"/>
                <w:kern w:val="0"/>
                <w:sz w:val="20"/>
              </w:rPr>
            </w:pPr>
            <w:r>
              <w:rPr>
                <w:color w:val="000000"/>
                <w:kern w:val="0"/>
                <w:sz w:val="20"/>
              </w:rPr>
              <w:t>Use 3km/h for modeling fading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Number of UEs per cell</w:t>
            </w:r>
          </w:p>
        </w:tc>
        <w:tc>
          <w:tcPr>
            <w:tcW w:w="6985" w:type="dxa"/>
          </w:tcPr>
          <w:p>
            <w:pPr>
              <w:spacing w:before="120" w:after="120"/>
              <w:jc w:val="left"/>
              <w:textAlignment w:val="center"/>
              <w:rPr>
                <w:color w:val="000000"/>
                <w:kern w:val="0"/>
                <w:sz w:val="20"/>
              </w:rPr>
            </w:pPr>
            <w:r>
              <w:rPr>
                <w:color w:val="000000"/>
                <w:kern w:val="0"/>
                <w:sz w:val="20"/>
              </w:rPr>
              <w:t>up to</w:t>
            </w:r>
            <w:r>
              <w:rPr>
                <w:rFonts w:hint="eastAsia"/>
                <w:color w:val="000000"/>
                <w:kern w:val="0"/>
                <w:sz w:val="20"/>
              </w:rPr>
              <w:t xml:space="preserve"> 1</w:t>
            </w:r>
            <w:r>
              <w:rPr>
                <w:color w:val="000000"/>
                <w:kern w:val="0"/>
                <w:sz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textAlignment w:val="center"/>
              <w:rPr>
                <w:color w:val="000000"/>
                <w:sz w:val="20"/>
              </w:rPr>
            </w:pPr>
            <w:r>
              <w:rPr>
                <w:color w:val="000000"/>
                <w:kern w:val="0"/>
                <w:sz w:val="20"/>
              </w:rPr>
              <w:t>Scheduling Algorithm</w:t>
            </w:r>
          </w:p>
        </w:tc>
        <w:tc>
          <w:tcPr>
            <w:tcW w:w="6985" w:type="dxa"/>
          </w:tcPr>
          <w:p>
            <w:pPr>
              <w:spacing w:before="120" w:after="120"/>
              <w:textAlignment w:val="center"/>
              <w:rPr>
                <w:color w:val="000000"/>
                <w:kern w:val="0"/>
                <w:sz w:val="20"/>
              </w:rPr>
            </w:pPr>
            <w:r>
              <w:rPr>
                <w:color w:val="000000"/>
                <w:kern w:val="0"/>
                <w:sz w:val="20"/>
              </w:rPr>
              <w:t>SU-MIMO+ PF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HARQ/repetition</w:t>
            </w:r>
          </w:p>
        </w:tc>
        <w:tc>
          <w:tcPr>
            <w:tcW w:w="6985" w:type="dxa"/>
          </w:tcPr>
          <w:p>
            <w:pPr>
              <w:spacing w:before="120" w:after="120"/>
              <w:jc w:val="left"/>
              <w:textAlignment w:val="center"/>
              <w:rPr>
                <w:color w:val="000000"/>
                <w:kern w:val="0"/>
                <w:sz w:val="20"/>
              </w:rPr>
            </w:pPr>
            <w:r>
              <w:rPr>
                <w:color w:val="000000"/>
                <w:kern w:val="0"/>
                <w:sz w:val="20"/>
              </w:rPr>
              <w:t>HARQ retransmission，Maximum number of retransmissions is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tcPr>
          <w:p>
            <w:pPr>
              <w:spacing w:before="120" w:after="120"/>
              <w:jc w:val="left"/>
              <w:textAlignment w:val="center"/>
              <w:rPr>
                <w:color w:val="000000"/>
                <w:sz w:val="20"/>
              </w:rPr>
            </w:pPr>
            <w:r>
              <w:rPr>
                <w:color w:val="000000"/>
                <w:kern w:val="0"/>
                <w:sz w:val="20"/>
              </w:rPr>
              <w:t>Channel estimation</w:t>
            </w:r>
          </w:p>
        </w:tc>
        <w:tc>
          <w:tcPr>
            <w:tcW w:w="6985" w:type="dxa"/>
          </w:tcPr>
          <w:p>
            <w:pPr>
              <w:spacing w:before="120" w:after="120"/>
              <w:jc w:val="left"/>
              <w:textAlignment w:val="center"/>
              <w:rPr>
                <w:color w:val="000000"/>
                <w:kern w:val="0"/>
                <w:sz w:val="20"/>
              </w:rPr>
            </w:pPr>
            <w:r>
              <w:rPr>
                <w:color w:val="000000"/>
                <w:kern w:val="0"/>
                <w:sz w:val="20"/>
              </w:rPr>
              <w:t>Realist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2154" w:type="dxa"/>
            <w:vAlign w:val="center"/>
          </w:tcPr>
          <w:p>
            <w:pPr>
              <w:spacing w:before="120" w:after="120"/>
              <w:rPr>
                <w:color w:val="000000"/>
                <w:kern w:val="0"/>
                <w:sz w:val="20"/>
              </w:rPr>
            </w:pPr>
            <w:r>
              <w:rPr>
                <w:rFonts w:eastAsia="Arial"/>
                <w:sz w:val="20"/>
              </w:rPr>
              <w:t>Target BLER</w:t>
            </w:r>
          </w:p>
        </w:tc>
        <w:tc>
          <w:tcPr>
            <w:tcW w:w="6985" w:type="dxa"/>
            <w:vAlign w:val="center"/>
          </w:tcPr>
          <w:p>
            <w:pPr>
              <w:spacing w:before="120" w:after="120"/>
              <w:rPr>
                <w:color w:val="000000"/>
                <w:kern w:val="0"/>
                <w:sz w:val="20"/>
              </w:rPr>
            </w:pPr>
            <w:r>
              <w:rPr>
                <w:rFonts w:eastAsia="Arial"/>
                <w:sz w:val="20"/>
              </w:rPr>
              <w:t>10% for first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PHY processing delay</w:t>
            </w:r>
          </w:p>
        </w:tc>
        <w:tc>
          <w:tcPr>
            <w:tcW w:w="6985" w:type="dxa"/>
            <w:vAlign w:val="center"/>
          </w:tcPr>
          <w:p>
            <w:pPr>
              <w:pStyle w:val="38"/>
              <w:spacing w:before="120" w:after="120"/>
              <w:jc w:val="left"/>
              <w:rPr>
                <w:rFonts w:ascii="Times New Roman" w:hAnsi="Times New Roman" w:eastAsia="宋体" w:cs="Times New Roman"/>
                <w:sz w:val="20"/>
                <w:szCs w:val="20"/>
              </w:rPr>
            </w:pPr>
            <w:r>
              <w:rPr>
                <w:rFonts w:ascii="Times New Roman" w:hAnsi="Times New Roman" w:eastAsia="宋体" w:cs="Times New Roman"/>
                <w:sz w:val="20"/>
                <w:szCs w:val="20"/>
              </w:rPr>
              <w:t>UE P</w:t>
            </w:r>
            <w:r>
              <w:rPr>
                <w:rFonts w:ascii="Times New Roman" w:hAnsi="Times New Roman" w:eastAsia="宋体" w:cs="Times New Roman"/>
                <w:sz w:val="20"/>
                <w:szCs w:val="20"/>
                <w:lang w:eastAsia="zh-CN"/>
              </w:rPr>
              <w:t>U</w:t>
            </w:r>
            <w:r>
              <w:rPr>
                <w:rFonts w:ascii="Times New Roman" w:hAnsi="Times New Roman" w:eastAsia="宋体" w:cs="Times New Roman"/>
                <w:sz w:val="20"/>
                <w:szCs w:val="20"/>
              </w:rPr>
              <w:t>SCH processing Capability #1</w:t>
            </w:r>
            <w:r>
              <w:rPr>
                <w:rFonts w:ascii="Times New Roman" w:hAnsi="Times New Roman" w:eastAsia="宋体" w:cs="Times New Roman"/>
                <w:sz w:val="20"/>
                <w:szCs w:val="20"/>
                <w:lang w:eastAsia="zh-CN"/>
              </w:rPr>
              <w:t>,N1=20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PDCCH overhead</w:t>
            </w:r>
          </w:p>
        </w:tc>
        <w:tc>
          <w:tcPr>
            <w:tcW w:w="6985" w:type="dxa"/>
            <w:vAlign w:val="center"/>
          </w:tcPr>
          <w:p>
            <w:pPr>
              <w:pStyle w:val="38"/>
              <w:spacing w:before="120" w:after="120"/>
              <w:jc w:val="left"/>
              <w:rPr>
                <w:rFonts w:ascii="Times New Roman" w:hAnsi="Times New Roman" w:eastAsia="宋体" w:cs="Times New Roman"/>
                <w:color w:val="000000"/>
                <w:kern w:val="0"/>
                <w:sz w:val="20"/>
                <w:szCs w:val="20"/>
                <w:lang w:eastAsia="zh-CN"/>
              </w:rPr>
            </w:pPr>
            <w:r>
              <w:rPr>
                <w:rFonts w:ascii="Times New Roman" w:hAnsi="Times New Roman" w:eastAsia="宋体" w:cs="Times New Roman"/>
                <w:color w:val="000000"/>
                <w:kern w:val="0"/>
                <w:sz w:val="20"/>
                <w:szCs w:val="20"/>
                <w:lang w:eastAsia="zh-CN"/>
              </w:rPr>
              <w:t>1/7(2symbols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54" w:type="dxa"/>
            <w:vAlign w:val="center"/>
          </w:tcPr>
          <w:p>
            <w:pPr>
              <w:pStyle w:val="38"/>
              <w:spacing w:before="120" w:after="120"/>
              <w:jc w:val="left"/>
              <w:rPr>
                <w:rFonts w:ascii="Times New Roman" w:hAnsi="Times New Roman" w:cs="Times New Roman"/>
                <w:color w:val="000000"/>
                <w:kern w:val="0"/>
                <w:sz w:val="20"/>
              </w:rPr>
            </w:pPr>
            <w:r>
              <w:rPr>
                <w:rFonts w:ascii="Times New Roman" w:hAnsi="Times New Roman" w:eastAsia="宋体" w:cs="Times New Roman"/>
                <w:sz w:val="20"/>
                <w:szCs w:val="20"/>
              </w:rPr>
              <w:t>DMRS overhead</w:t>
            </w:r>
          </w:p>
        </w:tc>
        <w:tc>
          <w:tcPr>
            <w:tcW w:w="6985" w:type="dxa"/>
            <w:vAlign w:val="center"/>
          </w:tcPr>
          <w:p>
            <w:pPr>
              <w:pStyle w:val="38"/>
              <w:spacing w:before="120" w:after="120"/>
              <w:jc w:val="left"/>
              <w:rPr>
                <w:rFonts w:ascii="Times New Roman" w:hAnsi="Times New Roman" w:eastAsia="宋体" w:cs="Times New Roman"/>
                <w:color w:val="000000"/>
                <w:kern w:val="0"/>
                <w:sz w:val="20"/>
                <w:lang w:eastAsia="zh-CN"/>
              </w:rPr>
            </w:pPr>
            <w:r>
              <w:rPr>
                <w:rFonts w:ascii="Times New Roman" w:hAnsi="Times New Roman" w:eastAsia="宋体" w:cs="Times New Roman"/>
                <w:color w:val="000000"/>
                <w:kern w:val="0"/>
                <w:sz w:val="20"/>
                <w:lang w:eastAsia="zh-CN"/>
              </w:rPr>
              <w:t>1 symbol per 14symbol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154" w:type="dxa"/>
          </w:tcPr>
          <w:p>
            <w:pPr>
              <w:spacing w:before="120" w:after="120"/>
              <w:jc w:val="left"/>
              <w:textAlignment w:val="center"/>
              <w:rPr>
                <w:color w:val="000000"/>
                <w:sz w:val="20"/>
              </w:rPr>
            </w:pPr>
            <w:r>
              <w:rPr>
                <w:color w:val="000000"/>
                <w:kern w:val="0"/>
                <w:sz w:val="20"/>
              </w:rPr>
              <w:t>BS receiver</w:t>
            </w:r>
          </w:p>
        </w:tc>
        <w:tc>
          <w:tcPr>
            <w:tcW w:w="6985" w:type="dxa"/>
          </w:tcPr>
          <w:p>
            <w:pPr>
              <w:spacing w:before="120" w:after="120"/>
              <w:jc w:val="left"/>
              <w:textAlignment w:val="center"/>
              <w:rPr>
                <w:color w:val="000000"/>
                <w:kern w:val="0"/>
                <w:sz w:val="20"/>
              </w:rPr>
            </w:pPr>
            <w:r>
              <w:rPr>
                <w:color w:val="000000"/>
                <w:kern w:val="0"/>
                <w:sz w:val="20"/>
              </w:rPr>
              <w:t>MMSE-IRC</w:t>
            </w:r>
          </w:p>
        </w:tc>
      </w:tr>
    </w:tbl>
    <w:p>
      <w:pPr>
        <w:spacing w:before="120" w:after="120"/>
        <w:ind w:firstLine="420" w:firstLineChars="200"/>
        <w:jc w:val="left"/>
      </w:pPr>
    </w:p>
    <w:p>
      <w:pPr>
        <w:pStyle w:val="3"/>
        <w:numPr>
          <w:ilvl w:val="0"/>
          <w:numId w:val="0"/>
        </w:numPr>
        <w:spacing w:before="120" w:after="120"/>
        <w:ind w:right="210"/>
        <w:rPr>
          <w:rFonts w:eastAsia="宋体"/>
        </w:rPr>
      </w:pPr>
      <w:r>
        <w:rPr>
          <w:rFonts w:hint="eastAsia" w:eastAsia="宋体"/>
        </w:rPr>
        <w:t>B P</w:t>
      </w:r>
      <w:r>
        <w:rPr>
          <w:rFonts w:eastAsia="宋体"/>
        </w:rPr>
        <w:t>ower model</w:t>
      </w:r>
    </w:p>
    <w:p>
      <w:pPr>
        <w:spacing w:before="120" w:after="120"/>
        <w:jc w:val="center"/>
      </w:pPr>
      <w:r>
        <w:t>Table B</w:t>
      </w:r>
      <w:r>
        <w:rPr>
          <w:rFonts w:hint="eastAsia"/>
        </w:rPr>
        <w:t>.</w:t>
      </w:r>
      <w:r>
        <w:t>1 Power model for DL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Power state</w:t>
            </w:r>
          </w:p>
        </w:tc>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Relative Power(1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PDCCH-only</w:t>
            </w:r>
          </w:p>
        </w:tc>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PDCCH+PDSCH</w:t>
            </w:r>
          </w:p>
        </w:tc>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Micro sleep</w:t>
            </w:r>
          </w:p>
        </w:tc>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Light sleep</w:t>
            </w:r>
          </w:p>
        </w:tc>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Deep sleep</w:t>
            </w:r>
          </w:p>
        </w:tc>
        <w:tc>
          <w:tcPr>
            <w:tcW w:w="2469" w:type="dxa"/>
            <w:tcBorders>
              <w:top w:val="single" w:color="auto" w:sz="4" w:space="0"/>
              <w:left w:val="single" w:color="auto" w:sz="4" w:space="0"/>
              <w:bottom w:val="single" w:color="auto" w:sz="4" w:space="0"/>
              <w:right w:val="single" w:color="auto" w:sz="4" w:space="0"/>
            </w:tcBorders>
          </w:tcPr>
          <w:p>
            <w:pPr>
              <w:spacing w:before="120" w:after="120"/>
              <w:jc w:val="center"/>
            </w:pPr>
            <w:r>
              <w:t>1</w:t>
            </w:r>
          </w:p>
        </w:tc>
      </w:tr>
    </w:tbl>
    <w:p>
      <w:pPr>
        <w:spacing w:before="120" w:after="120"/>
        <w:jc w:val="center"/>
      </w:pPr>
    </w:p>
    <w:p>
      <w:pPr>
        <w:spacing w:before="120" w:after="120"/>
        <w:jc w:val="center"/>
      </w:pPr>
      <w:r>
        <w:t>Table B</w:t>
      </w:r>
      <w:r>
        <w:rPr>
          <w:rFonts w:hint="eastAsia"/>
        </w:rPr>
        <w:t>.</w:t>
      </w:r>
      <w:r>
        <w:t>2 Power model for UL</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9"/>
        <w:gridCol w:w="730"/>
        <w:gridCol w:w="835"/>
        <w:gridCol w:w="3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before="120" w:after="120"/>
              <w:jc w:val="center"/>
            </w:pPr>
            <w:r>
              <w:t>Power state</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120" w:after="120"/>
              <w:jc w:val="center"/>
            </w:pPr>
            <w:r>
              <w:t>Relative Power(1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beforeLines="0" w:afterLines="0" w:line="240" w:lineRule="auto"/>
              <w:jc w:val="left"/>
            </w:pPr>
          </w:p>
        </w:tc>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0dBm</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23dBm</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Other Tx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UL(long PUCCH or PUSCH)</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250</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700</w:t>
            </w:r>
          </w:p>
        </w:tc>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Obtained by linear function or step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PDCCH+PUSCH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120" w:after="120"/>
              <w:jc w:val="center"/>
            </w:pPr>
            <w:r>
              <w:t>Sum(PDCCH-only,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spacing w:before="120" w:after="120"/>
              <w:jc w:val="center"/>
            </w:pPr>
            <w:r>
              <w:t>PDCCH+PDSCH+PUSCH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spacing w:before="120" w:after="120"/>
              <w:jc w:val="center"/>
            </w:pPr>
            <w:r>
              <w:t>Sum(PDCCH+PDSCH, PUSCH)</w:t>
            </w:r>
          </w:p>
        </w:tc>
      </w:tr>
    </w:tbl>
    <w:p>
      <w:pPr>
        <w:spacing w:before="120" w:after="120"/>
        <w:ind w:left="420"/>
      </w:pPr>
      <w:r>
        <w:rPr>
          <w:rFonts w:hint="eastAsia"/>
        </w:rPr>
        <w:t xml:space="preserve">Note: Power model of </w:t>
      </w:r>
      <w:r>
        <w:t xml:space="preserve">“PDCCH+PUSCH” is the sum of “PDCCH-only” power consumption and “PUSCH” power consumption. </w:t>
      </w:r>
      <w:r>
        <w:rPr>
          <w:rFonts w:hint="eastAsia"/>
        </w:rPr>
        <w:t xml:space="preserve">Power model of </w:t>
      </w:r>
      <w:r>
        <w:t>“PDCCH+PDSCH+PUSCH” is the sum of “PDCCH+PDSCH” power consumption and “PUSCH” power consumption.</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83845"/>
              <wp:effectExtent l="0" t="0" r="0" b="0"/>
              <wp:wrapNone/>
              <wp:docPr id="4" name="文本框 1"/>
              <wp:cNvGraphicFramePr/>
              <a:graphic xmlns:a="http://schemas.openxmlformats.org/drawingml/2006/main">
                <a:graphicData uri="http://schemas.microsoft.com/office/word/2010/wordprocessingShape">
                  <wps:wsp>
                    <wps:cNvSpPr txBox="1"/>
                    <wps:spPr>
                      <a:xfrm>
                        <a:off x="0" y="0"/>
                        <a:ext cx="57785" cy="283845"/>
                      </a:xfrm>
                      <a:prstGeom prst="rect">
                        <a:avLst/>
                      </a:prstGeom>
                      <a:noFill/>
                      <a:ln w="6350">
                        <a:noFill/>
                      </a:ln>
                      <a:effectLst/>
                    </wps:spPr>
                    <wps:txbx>
                      <w:txbxContent>
                        <w:p>
                          <w:pPr>
                            <w:pStyle w:val="11"/>
                            <w:spacing w:before="120" w:after="120"/>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2.35pt;width:4.55pt;mso-position-horizontal:center;mso-position-horizontal-relative:margin;mso-wrap-style:none;z-index:251659264;mso-width-relative:page;mso-height-relative:page;" filled="f" stroked="f" coordsize="21600,21600" o:gfxdata="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RS0ODRAAAAAgEAAA8AAAAA&#10;AAAAAQAgAAAAIgAAAGRycy9kb3ducmV2LnhtbFBLAQIUABQAAAAIAIdO4kAQlQ0lGwIAABIEAAAO&#10;AAAAAAAAAAEAIAAAACABAABkcnMvZTJvRG9jLnhtbFBLBQYAAAAABgAGAFkBAACtBQAAAAA=&#10;">
              <v:fill on="f" focussize="0,0"/>
              <v:stroke on="f" weight="0.5pt"/>
              <v:imagedata o:title=""/>
              <o:lock v:ext="edit" aspectratio="f"/>
              <v:textbox inset="0mm,0mm,0mm,0mm" style="mso-fit-shape-to-text:t;">
                <w:txbxContent>
                  <w:p>
                    <w:pPr>
                      <w:pStyle w:val="11"/>
                      <w:spacing w:before="120" w:after="120"/>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4B193"/>
    <w:multiLevelType w:val="singleLevel"/>
    <w:tmpl w:val="AB34B193"/>
    <w:lvl w:ilvl="0" w:tentative="0">
      <w:start w:val="1"/>
      <w:numFmt w:val="decimal"/>
      <w:pStyle w:val="5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F388E623"/>
    <w:multiLevelType w:val="singleLevel"/>
    <w:tmpl w:val="F388E623"/>
    <w:lvl w:ilvl="0" w:tentative="0">
      <w:start w:val="1"/>
      <w:numFmt w:val="bullet"/>
      <w:lvlText w:val=""/>
      <w:lvlJc w:val="left"/>
      <w:pPr>
        <w:tabs>
          <w:tab w:val="left" w:pos="420"/>
        </w:tabs>
        <w:ind w:left="840" w:hanging="42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862465E"/>
    <w:multiLevelType w:val="singleLevel"/>
    <w:tmpl w:val="2862465E"/>
    <w:lvl w:ilvl="0" w:tentative="0">
      <w:start w:val="1"/>
      <w:numFmt w:val="lowerLetter"/>
      <w:suff w:val="space"/>
      <w:lvlText w:val="(%1)"/>
      <w:lvlJc w:val="left"/>
    </w:lvl>
  </w:abstractNum>
  <w:abstractNum w:abstractNumId="4">
    <w:nsid w:val="2DC5F1A8"/>
    <w:multiLevelType w:val="singleLevel"/>
    <w:tmpl w:val="2DC5F1A8"/>
    <w:lvl w:ilvl="0" w:tentative="0">
      <w:start w:val="1"/>
      <w:numFmt w:val="bullet"/>
      <w:lvlText w:val=""/>
      <w:lvlJc w:val="left"/>
      <w:pPr>
        <w:ind w:left="420" w:hanging="420"/>
      </w:pPr>
      <w:rPr>
        <w:rFonts w:hint="default" w:ascii="Wingdings" w:hAnsi="Wingdings"/>
        <w:sz w:val="16"/>
      </w:rPr>
    </w:lvl>
  </w:abstractNum>
  <w:abstractNum w:abstractNumId="5">
    <w:nsid w:val="340A12E4"/>
    <w:multiLevelType w:val="multilevel"/>
    <w:tmpl w:val="340A12E4"/>
    <w:lvl w:ilvl="0" w:tentative="0">
      <w:start w:val="1"/>
      <w:numFmt w:val="lowerLetter"/>
      <w:lvlText w:val="(%1)"/>
      <w:lvlJc w:val="left"/>
      <w:pPr>
        <w:ind w:left="720" w:hanging="360"/>
      </w:pPr>
      <w:rPr>
        <w:rFonts w:hint="default" w:ascii="Times New Roman" w:hAnsi="Times New Roman" w:eastAsia="Times New Roman"/>
        <w:sz w:val="2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6">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7">
    <w:nsid w:val="4289C2E0"/>
    <w:multiLevelType w:val="singleLevel"/>
    <w:tmpl w:val="4289C2E0"/>
    <w:lvl w:ilvl="0" w:tentative="0">
      <w:start w:val="1"/>
      <w:numFmt w:val="lowerLetter"/>
      <w:suff w:val="space"/>
      <w:lvlText w:val="(%1)"/>
      <w:lvlJc w:val="left"/>
    </w:lvl>
  </w:abstractNum>
  <w:abstractNum w:abstractNumId="8">
    <w:nsid w:val="439D30C8"/>
    <w:multiLevelType w:val="multilevel"/>
    <w:tmpl w:val="439D30C8"/>
    <w:lvl w:ilvl="0" w:tentative="0">
      <w:start w:val="1"/>
      <w:numFmt w:val="bullet"/>
      <w:lvlText w:val="•"/>
      <w:lvlJc w:val="left"/>
      <w:pPr>
        <w:ind w:left="720" w:hanging="360"/>
      </w:pPr>
      <w:rPr>
        <w:rFonts w:hint="default"/>
        <w:b/>
        <w:sz w:val="28"/>
        <w:szCs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1221B23"/>
    <w:multiLevelType w:val="multilevel"/>
    <w:tmpl w:val="61221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6E85479"/>
    <w:multiLevelType w:val="multilevel"/>
    <w:tmpl w:val="66E85479"/>
    <w:lvl w:ilvl="0" w:tentative="0">
      <w:start w:val="1"/>
      <w:numFmt w:val="bullet"/>
      <w:lvlText w:val=""/>
      <w:lvlJc w:val="left"/>
      <w:pPr>
        <w:ind w:left="420" w:hanging="420"/>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6"/>
  </w:num>
  <w:num w:numId="3">
    <w:abstractNumId w:val="0"/>
  </w:num>
  <w:num w:numId="4">
    <w:abstractNumId w:val="5"/>
  </w:num>
  <w:num w:numId="5">
    <w:abstractNumId w:val="3"/>
  </w:num>
  <w:num w:numId="6">
    <w:abstractNumId w:val="7"/>
  </w:num>
  <w:num w:numId="7">
    <w:abstractNumId w:val="9"/>
  </w:num>
  <w:num w:numId="8">
    <w:abstractNumId w:val="1"/>
  </w:num>
  <w:num w:numId="9">
    <w:abstractNumId w:val="1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D5E"/>
    <w:rsid w:val="00072FB0"/>
    <w:rsid w:val="000A15BE"/>
    <w:rsid w:val="000F28CA"/>
    <w:rsid w:val="00103906"/>
    <w:rsid w:val="00153BF7"/>
    <w:rsid w:val="00195F46"/>
    <w:rsid w:val="001C196F"/>
    <w:rsid w:val="001F6E58"/>
    <w:rsid w:val="00212872"/>
    <w:rsid w:val="00227DF5"/>
    <w:rsid w:val="002320CA"/>
    <w:rsid w:val="00243B44"/>
    <w:rsid w:val="00247A67"/>
    <w:rsid w:val="0026766E"/>
    <w:rsid w:val="002748A9"/>
    <w:rsid w:val="002B4661"/>
    <w:rsid w:val="002C4448"/>
    <w:rsid w:val="002F5A8D"/>
    <w:rsid w:val="00314748"/>
    <w:rsid w:val="00316046"/>
    <w:rsid w:val="00332D30"/>
    <w:rsid w:val="0033573E"/>
    <w:rsid w:val="00340631"/>
    <w:rsid w:val="00396F31"/>
    <w:rsid w:val="003A1DCE"/>
    <w:rsid w:val="003A6BBE"/>
    <w:rsid w:val="003A7EAD"/>
    <w:rsid w:val="004545A5"/>
    <w:rsid w:val="00477655"/>
    <w:rsid w:val="00482706"/>
    <w:rsid w:val="00490434"/>
    <w:rsid w:val="004A699E"/>
    <w:rsid w:val="004B44A9"/>
    <w:rsid w:val="004C1A54"/>
    <w:rsid w:val="00507A00"/>
    <w:rsid w:val="005176E7"/>
    <w:rsid w:val="00523589"/>
    <w:rsid w:val="00523D5E"/>
    <w:rsid w:val="00527033"/>
    <w:rsid w:val="00531B5B"/>
    <w:rsid w:val="00547723"/>
    <w:rsid w:val="00574776"/>
    <w:rsid w:val="00611232"/>
    <w:rsid w:val="00614E28"/>
    <w:rsid w:val="00617EE7"/>
    <w:rsid w:val="00624C23"/>
    <w:rsid w:val="00640B94"/>
    <w:rsid w:val="00646EAA"/>
    <w:rsid w:val="006922EF"/>
    <w:rsid w:val="00694FB9"/>
    <w:rsid w:val="006D11DE"/>
    <w:rsid w:val="006D3D89"/>
    <w:rsid w:val="006E01C3"/>
    <w:rsid w:val="007036F7"/>
    <w:rsid w:val="0070693A"/>
    <w:rsid w:val="00717A38"/>
    <w:rsid w:val="0073053B"/>
    <w:rsid w:val="007427BB"/>
    <w:rsid w:val="007440A2"/>
    <w:rsid w:val="007501AC"/>
    <w:rsid w:val="00785A2A"/>
    <w:rsid w:val="007C4328"/>
    <w:rsid w:val="007C440F"/>
    <w:rsid w:val="007E4A23"/>
    <w:rsid w:val="00802A15"/>
    <w:rsid w:val="00810C42"/>
    <w:rsid w:val="0084332A"/>
    <w:rsid w:val="00852635"/>
    <w:rsid w:val="00857E93"/>
    <w:rsid w:val="008652E8"/>
    <w:rsid w:val="00870679"/>
    <w:rsid w:val="00870E40"/>
    <w:rsid w:val="0089344F"/>
    <w:rsid w:val="008F255E"/>
    <w:rsid w:val="00903A35"/>
    <w:rsid w:val="0093617A"/>
    <w:rsid w:val="009411A5"/>
    <w:rsid w:val="00952C83"/>
    <w:rsid w:val="009A380A"/>
    <w:rsid w:val="009B05AD"/>
    <w:rsid w:val="009D6400"/>
    <w:rsid w:val="00A33BD9"/>
    <w:rsid w:val="00A4182C"/>
    <w:rsid w:val="00A92854"/>
    <w:rsid w:val="00AB6D34"/>
    <w:rsid w:val="00AE5530"/>
    <w:rsid w:val="00B11405"/>
    <w:rsid w:val="00B663FA"/>
    <w:rsid w:val="00B81C3C"/>
    <w:rsid w:val="00BB08C4"/>
    <w:rsid w:val="00BD72A5"/>
    <w:rsid w:val="00BF526E"/>
    <w:rsid w:val="00C07C74"/>
    <w:rsid w:val="00C12784"/>
    <w:rsid w:val="00C16276"/>
    <w:rsid w:val="00C22FCF"/>
    <w:rsid w:val="00C829B3"/>
    <w:rsid w:val="00CB046A"/>
    <w:rsid w:val="00CB7FB3"/>
    <w:rsid w:val="00CD62C4"/>
    <w:rsid w:val="00CE32ED"/>
    <w:rsid w:val="00D14578"/>
    <w:rsid w:val="00D82CF5"/>
    <w:rsid w:val="00D838A0"/>
    <w:rsid w:val="00DB0E95"/>
    <w:rsid w:val="00E05651"/>
    <w:rsid w:val="00E52879"/>
    <w:rsid w:val="00E55791"/>
    <w:rsid w:val="00E67009"/>
    <w:rsid w:val="00E704FD"/>
    <w:rsid w:val="00E74935"/>
    <w:rsid w:val="00E75D6F"/>
    <w:rsid w:val="00E92BF0"/>
    <w:rsid w:val="00E94718"/>
    <w:rsid w:val="00F1480F"/>
    <w:rsid w:val="00F2072B"/>
    <w:rsid w:val="00F82200"/>
    <w:rsid w:val="00F86352"/>
    <w:rsid w:val="00F95A32"/>
    <w:rsid w:val="00FA6AF6"/>
    <w:rsid w:val="010D0267"/>
    <w:rsid w:val="010D6400"/>
    <w:rsid w:val="01116D56"/>
    <w:rsid w:val="01804EE8"/>
    <w:rsid w:val="01864AED"/>
    <w:rsid w:val="01B74129"/>
    <w:rsid w:val="01E96EEF"/>
    <w:rsid w:val="0206750A"/>
    <w:rsid w:val="020C3735"/>
    <w:rsid w:val="021919F7"/>
    <w:rsid w:val="021F5697"/>
    <w:rsid w:val="02443513"/>
    <w:rsid w:val="024C16A6"/>
    <w:rsid w:val="027B6543"/>
    <w:rsid w:val="027C2452"/>
    <w:rsid w:val="02A23A7B"/>
    <w:rsid w:val="02BE42E8"/>
    <w:rsid w:val="035F7137"/>
    <w:rsid w:val="0368661B"/>
    <w:rsid w:val="03F50BF8"/>
    <w:rsid w:val="03F757EE"/>
    <w:rsid w:val="040D5006"/>
    <w:rsid w:val="04250069"/>
    <w:rsid w:val="04332B60"/>
    <w:rsid w:val="04B147BC"/>
    <w:rsid w:val="04D2235B"/>
    <w:rsid w:val="04D92E2A"/>
    <w:rsid w:val="04E942AF"/>
    <w:rsid w:val="05072F43"/>
    <w:rsid w:val="05396067"/>
    <w:rsid w:val="053962A9"/>
    <w:rsid w:val="05421686"/>
    <w:rsid w:val="054B7C66"/>
    <w:rsid w:val="054E3F97"/>
    <w:rsid w:val="05631304"/>
    <w:rsid w:val="05965B13"/>
    <w:rsid w:val="05AA751F"/>
    <w:rsid w:val="05AB3E4C"/>
    <w:rsid w:val="05C40254"/>
    <w:rsid w:val="05D45DE8"/>
    <w:rsid w:val="05DD3B0E"/>
    <w:rsid w:val="06541F59"/>
    <w:rsid w:val="06551195"/>
    <w:rsid w:val="067056D9"/>
    <w:rsid w:val="067A5C39"/>
    <w:rsid w:val="06883795"/>
    <w:rsid w:val="069258CC"/>
    <w:rsid w:val="06A12B72"/>
    <w:rsid w:val="06D94F62"/>
    <w:rsid w:val="06E930D6"/>
    <w:rsid w:val="06F9688C"/>
    <w:rsid w:val="073C0F1E"/>
    <w:rsid w:val="07573824"/>
    <w:rsid w:val="075A5568"/>
    <w:rsid w:val="077046F9"/>
    <w:rsid w:val="07816512"/>
    <w:rsid w:val="0797540B"/>
    <w:rsid w:val="07C51163"/>
    <w:rsid w:val="07FE43B3"/>
    <w:rsid w:val="08067A83"/>
    <w:rsid w:val="080C2DB1"/>
    <w:rsid w:val="083900EE"/>
    <w:rsid w:val="084F55D9"/>
    <w:rsid w:val="087807B5"/>
    <w:rsid w:val="089D4BC3"/>
    <w:rsid w:val="08A367A0"/>
    <w:rsid w:val="08AD693C"/>
    <w:rsid w:val="08CA4673"/>
    <w:rsid w:val="08D545C6"/>
    <w:rsid w:val="08E152BA"/>
    <w:rsid w:val="08F76659"/>
    <w:rsid w:val="09733A93"/>
    <w:rsid w:val="09773AD2"/>
    <w:rsid w:val="09912D87"/>
    <w:rsid w:val="09A13012"/>
    <w:rsid w:val="09B96487"/>
    <w:rsid w:val="09BB1324"/>
    <w:rsid w:val="09DD5F33"/>
    <w:rsid w:val="09E2510B"/>
    <w:rsid w:val="09E2618B"/>
    <w:rsid w:val="0A0D0A5C"/>
    <w:rsid w:val="0A177598"/>
    <w:rsid w:val="0A670FF2"/>
    <w:rsid w:val="0A902401"/>
    <w:rsid w:val="0AF011AC"/>
    <w:rsid w:val="0AFE6CA0"/>
    <w:rsid w:val="0B17278B"/>
    <w:rsid w:val="0B24227A"/>
    <w:rsid w:val="0B2C066D"/>
    <w:rsid w:val="0B372F62"/>
    <w:rsid w:val="0B527D96"/>
    <w:rsid w:val="0B867DD4"/>
    <w:rsid w:val="0B8906D5"/>
    <w:rsid w:val="0B990F05"/>
    <w:rsid w:val="0BC527E7"/>
    <w:rsid w:val="0BDE30C9"/>
    <w:rsid w:val="0BE9216B"/>
    <w:rsid w:val="0C0B0A79"/>
    <w:rsid w:val="0C182984"/>
    <w:rsid w:val="0C233DDB"/>
    <w:rsid w:val="0C243614"/>
    <w:rsid w:val="0C641CE4"/>
    <w:rsid w:val="0CBA3E26"/>
    <w:rsid w:val="0CC86926"/>
    <w:rsid w:val="0CCA2E65"/>
    <w:rsid w:val="0CE70F5A"/>
    <w:rsid w:val="0CF04B26"/>
    <w:rsid w:val="0D6718A8"/>
    <w:rsid w:val="0D8A5C4C"/>
    <w:rsid w:val="0DA826B2"/>
    <w:rsid w:val="0DC46801"/>
    <w:rsid w:val="0DD03A03"/>
    <w:rsid w:val="0DDA5E66"/>
    <w:rsid w:val="0DE80CCD"/>
    <w:rsid w:val="0DE92A73"/>
    <w:rsid w:val="0E1B6666"/>
    <w:rsid w:val="0E342F61"/>
    <w:rsid w:val="0E546450"/>
    <w:rsid w:val="0E6A657A"/>
    <w:rsid w:val="0E8756CE"/>
    <w:rsid w:val="0E9E306F"/>
    <w:rsid w:val="0EBE485B"/>
    <w:rsid w:val="0ECE319D"/>
    <w:rsid w:val="0EE11FA9"/>
    <w:rsid w:val="0EF36676"/>
    <w:rsid w:val="0F0E45C0"/>
    <w:rsid w:val="0F244800"/>
    <w:rsid w:val="0F343655"/>
    <w:rsid w:val="0F644218"/>
    <w:rsid w:val="0F8E4908"/>
    <w:rsid w:val="0F913335"/>
    <w:rsid w:val="0F96680B"/>
    <w:rsid w:val="0FB60B75"/>
    <w:rsid w:val="0FD96CA9"/>
    <w:rsid w:val="0FDD68DC"/>
    <w:rsid w:val="0FF15BB9"/>
    <w:rsid w:val="0FFD586A"/>
    <w:rsid w:val="10020B62"/>
    <w:rsid w:val="10087FF8"/>
    <w:rsid w:val="1035011A"/>
    <w:rsid w:val="10384280"/>
    <w:rsid w:val="105D7F23"/>
    <w:rsid w:val="10C359D9"/>
    <w:rsid w:val="11011524"/>
    <w:rsid w:val="110877A1"/>
    <w:rsid w:val="110D72EA"/>
    <w:rsid w:val="110E7959"/>
    <w:rsid w:val="1119722C"/>
    <w:rsid w:val="1127264D"/>
    <w:rsid w:val="11434434"/>
    <w:rsid w:val="115C58D6"/>
    <w:rsid w:val="11604BE2"/>
    <w:rsid w:val="118F4329"/>
    <w:rsid w:val="119F6D5C"/>
    <w:rsid w:val="11EA2125"/>
    <w:rsid w:val="12023099"/>
    <w:rsid w:val="12373AAE"/>
    <w:rsid w:val="124D011C"/>
    <w:rsid w:val="12753E07"/>
    <w:rsid w:val="127B28B7"/>
    <w:rsid w:val="12CE1204"/>
    <w:rsid w:val="12F06EE1"/>
    <w:rsid w:val="13683A5C"/>
    <w:rsid w:val="137C5217"/>
    <w:rsid w:val="13917553"/>
    <w:rsid w:val="13B07F3E"/>
    <w:rsid w:val="13B26405"/>
    <w:rsid w:val="13BF5ED3"/>
    <w:rsid w:val="13FD1C15"/>
    <w:rsid w:val="14083C98"/>
    <w:rsid w:val="140876D8"/>
    <w:rsid w:val="141C18EA"/>
    <w:rsid w:val="141F1808"/>
    <w:rsid w:val="142E08FB"/>
    <w:rsid w:val="1441758D"/>
    <w:rsid w:val="145E7A95"/>
    <w:rsid w:val="146575A3"/>
    <w:rsid w:val="15006FBE"/>
    <w:rsid w:val="151F6B5A"/>
    <w:rsid w:val="156542CB"/>
    <w:rsid w:val="159F23B3"/>
    <w:rsid w:val="15A2498C"/>
    <w:rsid w:val="15B66B91"/>
    <w:rsid w:val="15E47F68"/>
    <w:rsid w:val="15FF6EEC"/>
    <w:rsid w:val="16232CF9"/>
    <w:rsid w:val="16262029"/>
    <w:rsid w:val="16397749"/>
    <w:rsid w:val="16406CEA"/>
    <w:rsid w:val="16562259"/>
    <w:rsid w:val="165B3324"/>
    <w:rsid w:val="16764951"/>
    <w:rsid w:val="16A61F0D"/>
    <w:rsid w:val="16AC5F02"/>
    <w:rsid w:val="16B27F4D"/>
    <w:rsid w:val="16F47E57"/>
    <w:rsid w:val="16F53AB0"/>
    <w:rsid w:val="17220FF1"/>
    <w:rsid w:val="17613E3F"/>
    <w:rsid w:val="17A75F25"/>
    <w:rsid w:val="17BD6AB4"/>
    <w:rsid w:val="17EF5DD9"/>
    <w:rsid w:val="184253B9"/>
    <w:rsid w:val="18434C37"/>
    <w:rsid w:val="186202E0"/>
    <w:rsid w:val="18655B8E"/>
    <w:rsid w:val="18875C71"/>
    <w:rsid w:val="18B80BCE"/>
    <w:rsid w:val="18C06461"/>
    <w:rsid w:val="18C66922"/>
    <w:rsid w:val="18D15598"/>
    <w:rsid w:val="18DC5CEB"/>
    <w:rsid w:val="18EE7258"/>
    <w:rsid w:val="19000F5A"/>
    <w:rsid w:val="190C7DED"/>
    <w:rsid w:val="193337BA"/>
    <w:rsid w:val="195254FA"/>
    <w:rsid w:val="195919BF"/>
    <w:rsid w:val="19733859"/>
    <w:rsid w:val="199750ED"/>
    <w:rsid w:val="19A57045"/>
    <w:rsid w:val="19B57275"/>
    <w:rsid w:val="19BE3E90"/>
    <w:rsid w:val="19C11AC9"/>
    <w:rsid w:val="19CF40F7"/>
    <w:rsid w:val="19ED0EB9"/>
    <w:rsid w:val="1A00617E"/>
    <w:rsid w:val="1A1C2BAB"/>
    <w:rsid w:val="1A1F124B"/>
    <w:rsid w:val="1A251079"/>
    <w:rsid w:val="1A28484F"/>
    <w:rsid w:val="1A3573C0"/>
    <w:rsid w:val="1AA80D9B"/>
    <w:rsid w:val="1AA847EC"/>
    <w:rsid w:val="1AAD0BB3"/>
    <w:rsid w:val="1AD03E52"/>
    <w:rsid w:val="1AD875EC"/>
    <w:rsid w:val="1AE26A3D"/>
    <w:rsid w:val="1AF475AD"/>
    <w:rsid w:val="1AFD70F0"/>
    <w:rsid w:val="1B181DD9"/>
    <w:rsid w:val="1B2F477F"/>
    <w:rsid w:val="1B6C3B7D"/>
    <w:rsid w:val="1B7F0ABE"/>
    <w:rsid w:val="1BA75872"/>
    <w:rsid w:val="1BAB396E"/>
    <w:rsid w:val="1BB07C7C"/>
    <w:rsid w:val="1BBB692B"/>
    <w:rsid w:val="1BBF0E19"/>
    <w:rsid w:val="1BCD692F"/>
    <w:rsid w:val="1BE23EBD"/>
    <w:rsid w:val="1BFB1528"/>
    <w:rsid w:val="1C302928"/>
    <w:rsid w:val="1C52178E"/>
    <w:rsid w:val="1C68632B"/>
    <w:rsid w:val="1CEB46F7"/>
    <w:rsid w:val="1D54071F"/>
    <w:rsid w:val="1D6451C6"/>
    <w:rsid w:val="1D654C9F"/>
    <w:rsid w:val="1D69417C"/>
    <w:rsid w:val="1D807289"/>
    <w:rsid w:val="1D975DF7"/>
    <w:rsid w:val="1D9B123D"/>
    <w:rsid w:val="1D9E12E8"/>
    <w:rsid w:val="1DCB4927"/>
    <w:rsid w:val="1DDD3571"/>
    <w:rsid w:val="1E190463"/>
    <w:rsid w:val="1E2A27A6"/>
    <w:rsid w:val="1E4B2FD7"/>
    <w:rsid w:val="1E7911C9"/>
    <w:rsid w:val="1E8D194D"/>
    <w:rsid w:val="1EA50F33"/>
    <w:rsid w:val="1EE724BA"/>
    <w:rsid w:val="1EFF6434"/>
    <w:rsid w:val="1F3A0011"/>
    <w:rsid w:val="1F3A5F92"/>
    <w:rsid w:val="1F701095"/>
    <w:rsid w:val="1F923DE6"/>
    <w:rsid w:val="1FA42D75"/>
    <w:rsid w:val="1FD024AA"/>
    <w:rsid w:val="1FDC54C4"/>
    <w:rsid w:val="1FEE4C5C"/>
    <w:rsid w:val="1FF012A4"/>
    <w:rsid w:val="1FF23EC9"/>
    <w:rsid w:val="20040834"/>
    <w:rsid w:val="202C1885"/>
    <w:rsid w:val="204A7C68"/>
    <w:rsid w:val="2053493C"/>
    <w:rsid w:val="20786BA2"/>
    <w:rsid w:val="207F447D"/>
    <w:rsid w:val="20A160B2"/>
    <w:rsid w:val="20D105CB"/>
    <w:rsid w:val="20DD7F39"/>
    <w:rsid w:val="20E24774"/>
    <w:rsid w:val="20F25221"/>
    <w:rsid w:val="21145BE0"/>
    <w:rsid w:val="216365D8"/>
    <w:rsid w:val="2165140C"/>
    <w:rsid w:val="21691F88"/>
    <w:rsid w:val="2187182E"/>
    <w:rsid w:val="21957939"/>
    <w:rsid w:val="22045432"/>
    <w:rsid w:val="222A3C9E"/>
    <w:rsid w:val="22396FF8"/>
    <w:rsid w:val="22B0252A"/>
    <w:rsid w:val="22E819D8"/>
    <w:rsid w:val="231523F7"/>
    <w:rsid w:val="234B605E"/>
    <w:rsid w:val="235133E3"/>
    <w:rsid w:val="23560A29"/>
    <w:rsid w:val="239051E5"/>
    <w:rsid w:val="239D13E8"/>
    <w:rsid w:val="239F7F68"/>
    <w:rsid w:val="23ED0F94"/>
    <w:rsid w:val="23FC3011"/>
    <w:rsid w:val="240D18BD"/>
    <w:rsid w:val="246E404E"/>
    <w:rsid w:val="248114CC"/>
    <w:rsid w:val="24A3249E"/>
    <w:rsid w:val="24A62D02"/>
    <w:rsid w:val="24AF069B"/>
    <w:rsid w:val="24AF1929"/>
    <w:rsid w:val="24B63D40"/>
    <w:rsid w:val="24C674E1"/>
    <w:rsid w:val="24FA0B67"/>
    <w:rsid w:val="25082A0B"/>
    <w:rsid w:val="254369E7"/>
    <w:rsid w:val="25494E1D"/>
    <w:rsid w:val="257A74F9"/>
    <w:rsid w:val="25895A3D"/>
    <w:rsid w:val="258D735D"/>
    <w:rsid w:val="259A68BC"/>
    <w:rsid w:val="25D1716B"/>
    <w:rsid w:val="25DF6A97"/>
    <w:rsid w:val="25E6024A"/>
    <w:rsid w:val="26212585"/>
    <w:rsid w:val="26282ED7"/>
    <w:rsid w:val="265F04C1"/>
    <w:rsid w:val="269F48BD"/>
    <w:rsid w:val="272A1178"/>
    <w:rsid w:val="274604BA"/>
    <w:rsid w:val="27537ACC"/>
    <w:rsid w:val="27743788"/>
    <w:rsid w:val="277B261F"/>
    <w:rsid w:val="27962ACA"/>
    <w:rsid w:val="279B5A93"/>
    <w:rsid w:val="27A35CC1"/>
    <w:rsid w:val="27E916BA"/>
    <w:rsid w:val="27F10483"/>
    <w:rsid w:val="28022D32"/>
    <w:rsid w:val="286B5520"/>
    <w:rsid w:val="288E5631"/>
    <w:rsid w:val="28C32DF1"/>
    <w:rsid w:val="28C534E8"/>
    <w:rsid w:val="28D02103"/>
    <w:rsid w:val="29095837"/>
    <w:rsid w:val="293734A8"/>
    <w:rsid w:val="294E0AA4"/>
    <w:rsid w:val="296735A6"/>
    <w:rsid w:val="296D7E15"/>
    <w:rsid w:val="29962D19"/>
    <w:rsid w:val="29AD3BB2"/>
    <w:rsid w:val="29B4309C"/>
    <w:rsid w:val="29C30BAC"/>
    <w:rsid w:val="29CD7458"/>
    <w:rsid w:val="29D9048F"/>
    <w:rsid w:val="29EF70CC"/>
    <w:rsid w:val="2A1C62F4"/>
    <w:rsid w:val="2A931BB9"/>
    <w:rsid w:val="2AB51A38"/>
    <w:rsid w:val="2AEE4512"/>
    <w:rsid w:val="2B34584A"/>
    <w:rsid w:val="2B64015F"/>
    <w:rsid w:val="2B644948"/>
    <w:rsid w:val="2B7C6921"/>
    <w:rsid w:val="2B9C4F86"/>
    <w:rsid w:val="2BFE1EDB"/>
    <w:rsid w:val="2C1A4265"/>
    <w:rsid w:val="2C1F32E8"/>
    <w:rsid w:val="2C2326B1"/>
    <w:rsid w:val="2C26626A"/>
    <w:rsid w:val="2C275841"/>
    <w:rsid w:val="2C3E2651"/>
    <w:rsid w:val="2C4630F8"/>
    <w:rsid w:val="2C636708"/>
    <w:rsid w:val="2C6917E7"/>
    <w:rsid w:val="2CA3554E"/>
    <w:rsid w:val="2CBC0FFA"/>
    <w:rsid w:val="2CC379B0"/>
    <w:rsid w:val="2CF23870"/>
    <w:rsid w:val="2D006219"/>
    <w:rsid w:val="2D05566F"/>
    <w:rsid w:val="2D11170D"/>
    <w:rsid w:val="2D13298D"/>
    <w:rsid w:val="2D2A0414"/>
    <w:rsid w:val="2D383726"/>
    <w:rsid w:val="2D386439"/>
    <w:rsid w:val="2D9E7CAE"/>
    <w:rsid w:val="2DBA7FBA"/>
    <w:rsid w:val="2DBE1024"/>
    <w:rsid w:val="2DC6390A"/>
    <w:rsid w:val="2DE16ECB"/>
    <w:rsid w:val="2DE2223D"/>
    <w:rsid w:val="2DE40DD4"/>
    <w:rsid w:val="2E0F2EDB"/>
    <w:rsid w:val="2E145E1D"/>
    <w:rsid w:val="2E223E47"/>
    <w:rsid w:val="2E270A97"/>
    <w:rsid w:val="2E406C0B"/>
    <w:rsid w:val="2E4430FB"/>
    <w:rsid w:val="2E852BFA"/>
    <w:rsid w:val="2EEC1574"/>
    <w:rsid w:val="2F1B43C7"/>
    <w:rsid w:val="2FA36E63"/>
    <w:rsid w:val="2FC33170"/>
    <w:rsid w:val="2FD352CF"/>
    <w:rsid w:val="2FD66838"/>
    <w:rsid w:val="2FDB72F7"/>
    <w:rsid w:val="300E7DD2"/>
    <w:rsid w:val="301C704F"/>
    <w:rsid w:val="3038011D"/>
    <w:rsid w:val="303C0D37"/>
    <w:rsid w:val="30647F44"/>
    <w:rsid w:val="30814B77"/>
    <w:rsid w:val="308645E8"/>
    <w:rsid w:val="30AE0AAC"/>
    <w:rsid w:val="30AF3ABD"/>
    <w:rsid w:val="30B36B23"/>
    <w:rsid w:val="30CD10F6"/>
    <w:rsid w:val="30D14AFA"/>
    <w:rsid w:val="30E14993"/>
    <w:rsid w:val="30E206FC"/>
    <w:rsid w:val="30EF21BA"/>
    <w:rsid w:val="30EF472A"/>
    <w:rsid w:val="30FB65D1"/>
    <w:rsid w:val="31052214"/>
    <w:rsid w:val="31644472"/>
    <w:rsid w:val="31645690"/>
    <w:rsid w:val="3170139F"/>
    <w:rsid w:val="317D02F3"/>
    <w:rsid w:val="31AC3F23"/>
    <w:rsid w:val="31D94323"/>
    <w:rsid w:val="31F43EF2"/>
    <w:rsid w:val="320F656E"/>
    <w:rsid w:val="3229313A"/>
    <w:rsid w:val="322A09EC"/>
    <w:rsid w:val="322E6D47"/>
    <w:rsid w:val="32343227"/>
    <w:rsid w:val="327945B0"/>
    <w:rsid w:val="32C3640C"/>
    <w:rsid w:val="32C47E69"/>
    <w:rsid w:val="32EE5E66"/>
    <w:rsid w:val="32F707FF"/>
    <w:rsid w:val="32FE7982"/>
    <w:rsid w:val="330D52B8"/>
    <w:rsid w:val="331E1C54"/>
    <w:rsid w:val="335A2666"/>
    <w:rsid w:val="33666803"/>
    <w:rsid w:val="338A0060"/>
    <w:rsid w:val="338C018A"/>
    <w:rsid w:val="338C598B"/>
    <w:rsid w:val="33A045C6"/>
    <w:rsid w:val="33A655BD"/>
    <w:rsid w:val="33C2279E"/>
    <w:rsid w:val="33E6404A"/>
    <w:rsid w:val="34195765"/>
    <w:rsid w:val="343B5578"/>
    <w:rsid w:val="3465056A"/>
    <w:rsid w:val="346866A1"/>
    <w:rsid w:val="348167F0"/>
    <w:rsid w:val="34921598"/>
    <w:rsid w:val="349A1C0D"/>
    <w:rsid w:val="34A75868"/>
    <w:rsid w:val="34A83FD4"/>
    <w:rsid w:val="34E3740B"/>
    <w:rsid w:val="350D51A0"/>
    <w:rsid w:val="35286BF7"/>
    <w:rsid w:val="35522321"/>
    <w:rsid w:val="355D53D4"/>
    <w:rsid w:val="35A73257"/>
    <w:rsid w:val="35B12F84"/>
    <w:rsid w:val="35B57875"/>
    <w:rsid w:val="36033A12"/>
    <w:rsid w:val="363D403E"/>
    <w:rsid w:val="366D3CBC"/>
    <w:rsid w:val="36750E50"/>
    <w:rsid w:val="36B77EB7"/>
    <w:rsid w:val="37592FE4"/>
    <w:rsid w:val="377336AC"/>
    <w:rsid w:val="377F502A"/>
    <w:rsid w:val="37804449"/>
    <w:rsid w:val="37CA1388"/>
    <w:rsid w:val="37CC6ED3"/>
    <w:rsid w:val="37FB24F6"/>
    <w:rsid w:val="3806724C"/>
    <w:rsid w:val="38292EF5"/>
    <w:rsid w:val="38305180"/>
    <w:rsid w:val="383B2625"/>
    <w:rsid w:val="3850158A"/>
    <w:rsid w:val="385C1B7F"/>
    <w:rsid w:val="38610D05"/>
    <w:rsid w:val="388F49F5"/>
    <w:rsid w:val="38AB3C78"/>
    <w:rsid w:val="38FA192C"/>
    <w:rsid w:val="39076C11"/>
    <w:rsid w:val="39221703"/>
    <w:rsid w:val="39283EEC"/>
    <w:rsid w:val="3968060E"/>
    <w:rsid w:val="398473E8"/>
    <w:rsid w:val="39C531C8"/>
    <w:rsid w:val="39EA289E"/>
    <w:rsid w:val="3A0E4E62"/>
    <w:rsid w:val="3A0F0F43"/>
    <w:rsid w:val="3A476B5E"/>
    <w:rsid w:val="3A711825"/>
    <w:rsid w:val="3AA82CF8"/>
    <w:rsid w:val="3AAC5B36"/>
    <w:rsid w:val="3AD06974"/>
    <w:rsid w:val="3ADA42A0"/>
    <w:rsid w:val="3AF1226A"/>
    <w:rsid w:val="3AF21E9B"/>
    <w:rsid w:val="3B0A7A50"/>
    <w:rsid w:val="3B105BA8"/>
    <w:rsid w:val="3B277374"/>
    <w:rsid w:val="3B3500CB"/>
    <w:rsid w:val="3B4F35F9"/>
    <w:rsid w:val="3B50783E"/>
    <w:rsid w:val="3B6A281B"/>
    <w:rsid w:val="3B896874"/>
    <w:rsid w:val="3B9D4373"/>
    <w:rsid w:val="3BA92EC6"/>
    <w:rsid w:val="3BB663C6"/>
    <w:rsid w:val="3BB94D10"/>
    <w:rsid w:val="3BE70BEC"/>
    <w:rsid w:val="3C3158BF"/>
    <w:rsid w:val="3C512C6A"/>
    <w:rsid w:val="3C5E6096"/>
    <w:rsid w:val="3C7D446D"/>
    <w:rsid w:val="3CB05E10"/>
    <w:rsid w:val="3CBF3D07"/>
    <w:rsid w:val="3CE90D4D"/>
    <w:rsid w:val="3CEC5BD9"/>
    <w:rsid w:val="3D0A2A8A"/>
    <w:rsid w:val="3D0D553D"/>
    <w:rsid w:val="3D12272E"/>
    <w:rsid w:val="3D5C306C"/>
    <w:rsid w:val="3D6A3EE4"/>
    <w:rsid w:val="3D6E15B5"/>
    <w:rsid w:val="3D8762BD"/>
    <w:rsid w:val="3D941FD0"/>
    <w:rsid w:val="3DA75BB4"/>
    <w:rsid w:val="3DB73788"/>
    <w:rsid w:val="3DBE7888"/>
    <w:rsid w:val="3DD4640D"/>
    <w:rsid w:val="3E00648E"/>
    <w:rsid w:val="3E0F619F"/>
    <w:rsid w:val="3E2C07D2"/>
    <w:rsid w:val="3E4B1EC4"/>
    <w:rsid w:val="3E6966CC"/>
    <w:rsid w:val="3E6F6349"/>
    <w:rsid w:val="3E7001DF"/>
    <w:rsid w:val="3E815E9D"/>
    <w:rsid w:val="3E8F04CD"/>
    <w:rsid w:val="3EEE4BA8"/>
    <w:rsid w:val="3F227ECC"/>
    <w:rsid w:val="3F2A1510"/>
    <w:rsid w:val="3F323523"/>
    <w:rsid w:val="3F59407A"/>
    <w:rsid w:val="3FED10C4"/>
    <w:rsid w:val="3FFD69BE"/>
    <w:rsid w:val="40115E5D"/>
    <w:rsid w:val="402551CC"/>
    <w:rsid w:val="404C0EDB"/>
    <w:rsid w:val="405A7340"/>
    <w:rsid w:val="406B7B27"/>
    <w:rsid w:val="40AD7C5B"/>
    <w:rsid w:val="40DD4729"/>
    <w:rsid w:val="40EB7E0B"/>
    <w:rsid w:val="411E2BE4"/>
    <w:rsid w:val="41694287"/>
    <w:rsid w:val="416B194D"/>
    <w:rsid w:val="41C36A02"/>
    <w:rsid w:val="41F85D27"/>
    <w:rsid w:val="4237497C"/>
    <w:rsid w:val="424D68DB"/>
    <w:rsid w:val="427F350F"/>
    <w:rsid w:val="42914340"/>
    <w:rsid w:val="43127FA0"/>
    <w:rsid w:val="431D66E9"/>
    <w:rsid w:val="435C6176"/>
    <w:rsid w:val="436A6992"/>
    <w:rsid w:val="43791B5A"/>
    <w:rsid w:val="437A73AE"/>
    <w:rsid w:val="43806B74"/>
    <w:rsid w:val="43922D90"/>
    <w:rsid w:val="439E00F9"/>
    <w:rsid w:val="43B43752"/>
    <w:rsid w:val="43D14618"/>
    <w:rsid w:val="43E63027"/>
    <w:rsid w:val="43F669C3"/>
    <w:rsid w:val="446B48FC"/>
    <w:rsid w:val="44785AEE"/>
    <w:rsid w:val="44843CC9"/>
    <w:rsid w:val="44880967"/>
    <w:rsid w:val="44DB773A"/>
    <w:rsid w:val="44F14784"/>
    <w:rsid w:val="451E341B"/>
    <w:rsid w:val="452D6C34"/>
    <w:rsid w:val="454D00BA"/>
    <w:rsid w:val="45AC4CF4"/>
    <w:rsid w:val="45AD524F"/>
    <w:rsid w:val="45AE36B8"/>
    <w:rsid w:val="45CF7FBC"/>
    <w:rsid w:val="45F35C5E"/>
    <w:rsid w:val="46400CA9"/>
    <w:rsid w:val="465A4FCD"/>
    <w:rsid w:val="465B230D"/>
    <w:rsid w:val="4662285A"/>
    <w:rsid w:val="467208A3"/>
    <w:rsid w:val="46810023"/>
    <w:rsid w:val="468354F8"/>
    <w:rsid w:val="468B0189"/>
    <w:rsid w:val="46995FD1"/>
    <w:rsid w:val="46C35907"/>
    <w:rsid w:val="47032B85"/>
    <w:rsid w:val="472C0755"/>
    <w:rsid w:val="4745188E"/>
    <w:rsid w:val="476D2EF2"/>
    <w:rsid w:val="476E7A2B"/>
    <w:rsid w:val="477A07F4"/>
    <w:rsid w:val="47B54AA8"/>
    <w:rsid w:val="47BD13B2"/>
    <w:rsid w:val="47C073E7"/>
    <w:rsid w:val="47DE197A"/>
    <w:rsid w:val="47F04F1C"/>
    <w:rsid w:val="47F261EE"/>
    <w:rsid w:val="4801327C"/>
    <w:rsid w:val="4891605D"/>
    <w:rsid w:val="48D173C6"/>
    <w:rsid w:val="48E76F84"/>
    <w:rsid w:val="48F00546"/>
    <w:rsid w:val="4906501C"/>
    <w:rsid w:val="49132398"/>
    <w:rsid w:val="491B5B23"/>
    <w:rsid w:val="493B491E"/>
    <w:rsid w:val="494305AE"/>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980B3E"/>
    <w:rsid w:val="4B151DD8"/>
    <w:rsid w:val="4B2F5A69"/>
    <w:rsid w:val="4B600DBB"/>
    <w:rsid w:val="4B740186"/>
    <w:rsid w:val="4B7467CA"/>
    <w:rsid w:val="4B8464B3"/>
    <w:rsid w:val="4B96469A"/>
    <w:rsid w:val="4BD47B3A"/>
    <w:rsid w:val="4BE60345"/>
    <w:rsid w:val="4BF61A49"/>
    <w:rsid w:val="4BFD2BB9"/>
    <w:rsid w:val="4C007D9B"/>
    <w:rsid w:val="4C097E52"/>
    <w:rsid w:val="4C251632"/>
    <w:rsid w:val="4C266DAF"/>
    <w:rsid w:val="4C3C7997"/>
    <w:rsid w:val="4C423D11"/>
    <w:rsid w:val="4C4277B1"/>
    <w:rsid w:val="4CA860AF"/>
    <w:rsid w:val="4CD04687"/>
    <w:rsid w:val="4D09681B"/>
    <w:rsid w:val="4D1A6222"/>
    <w:rsid w:val="4D2B1C5F"/>
    <w:rsid w:val="4D2E64BA"/>
    <w:rsid w:val="4D316971"/>
    <w:rsid w:val="4D423028"/>
    <w:rsid w:val="4D581632"/>
    <w:rsid w:val="4D6E3CCE"/>
    <w:rsid w:val="4D805757"/>
    <w:rsid w:val="4DCF155E"/>
    <w:rsid w:val="4DE22B61"/>
    <w:rsid w:val="4E1E35A8"/>
    <w:rsid w:val="4E997F39"/>
    <w:rsid w:val="4EA45038"/>
    <w:rsid w:val="4EA535EA"/>
    <w:rsid w:val="4EB16F4D"/>
    <w:rsid w:val="4ED37A9C"/>
    <w:rsid w:val="4EDE0A69"/>
    <w:rsid w:val="4F053AD4"/>
    <w:rsid w:val="4F4F7C97"/>
    <w:rsid w:val="4FAB27E4"/>
    <w:rsid w:val="50000326"/>
    <w:rsid w:val="5012456C"/>
    <w:rsid w:val="5028413A"/>
    <w:rsid w:val="5034185C"/>
    <w:rsid w:val="50662285"/>
    <w:rsid w:val="50935D58"/>
    <w:rsid w:val="509473B7"/>
    <w:rsid w:val="50D3250E"/>
    <w:rsid w:val="512B4D4B"/>
    <w:rsid w:val="51351C9B"/>
    <w:rsid w:val="513D3709"/>
    <w:rsid w:val="515323AC"/>
    <w:rsid w:val="515911D2"/>
    <w:rsid w:val="5159308A"/>
    <w:rsid w:val="51636223"/>
    <w:rsid w:val="51996C1B"/>
    <w:rsid w:val="51A56DF6"/>
    <w:rsid w:val="51AB46BA"/>
    <w:rsid w:val="51D254DA"/>
    <w:rsid w:val="51DF2711"/>
    <w:rsid w:val="51F20232"/>
    <w:rsid w:val="52171AFB"/>
    <w:rsid w:val="5235465D"/>
    <w:rsid w:val="52367473"/>
    <w:rsid w:val="523E15D7"/>
    <w:rsid w:val="5249313E"/>
    <w:rsid w:val="52527419"/>
    <w:rsid w:val="525A4669"/>
    <w:rsid w:val="525B22C4"/>
    <w:rsid w:val="526018C0"/>
    <w:rsid w:val="52841F28"/>
    <w:rsid w:val="52AD06F5"/>
    <w:rsid w:val="52BE0F28"/>
    <w:rsid w:val="52D32108"/>
    <w:rsid w:val="52D6356D"/>
    <w:rsid w:val="52F77D67"/>
    <w:rsid w:val="53385FAE"/>
    <w:rsid w:val="534E489F"/>
    <w:rsid w:val="537C2BD7"/>
    <w:rsid w:val="53971E29"/>
    <w:rsid w:val="53A35F99"/>
    <w:rsid w:val="53E6334F"/>
    <w:rsid w:val="53FB17FA"/>
    <w:rsid w:val="541862F0"/>
    <w:rsid w:val="546A6559"/>
    <w:rsid w:val="54B779B5"/>
    <w:rsid w:val="54D25371"/>
    <w:rsid w:val="54EC1FC6"/>
    <w:rsid w:val="552C68B9"/>
    <w:rsid w:val="55335647"/>
    <w:rsid w:val="5538682D"/>
    <w:rsid w:val="5552614F"/>
    <w:rsid w:val="55530973"/>
    <w:rsid w:val="55560E04"/>
    <w:rsid w:val="5583167D"/>
    <w:rsid w:val="55995FB7"/>
    <w:rsid w:val="55A156DD"/>
    <w:rsid w:val="55B13035"/>
    <w:rsid w:val="55C10548"/>
    <w:rsid w:val="55C244BC"/>
    <w:rsid w:val="55C708F6"/>
    <w:rsid w:val="55E37FE2"/>
    <w:rsid w:val="56015FD4"/>
    <w:rsid w:val="56176CD0"/>
    <w:rsid w:val="56195188"/>
    <w:rsid w:val="561A57E6"/>
    <w:rsid w:val="56327C9C"/>
    <w:rsid w:val="5639508E"/>
    <w:rsid w:val="56446C4A"/>
    <w:rsid w:val="56534D2A"/>
    <w:rsid w:val="5659691E"/>
    <w:rsid w:val="56635FA9"/>
    <w:rsid w:val="56737273"/>
    <w:rsid w:val="56BB5794"/>
    <w:rsid w:val="56C16A07"/>
    <w:rsid w:val="56C721C1"/>
    <w:rsid w:val="56C75E65"/>
    <w:rsid w:val="56ED49AC"/>
    <w:rsid w:val="57553D3F"/>
    <w:rsid w:val="57703672"/>
    <w:rsid w:val="5773534B"/>
    <w:rsid w:val="57780B7F"/>
    <w:rsid w:val="57856672"/>
    <w:rsid w:val="579D25BA"/>
    <w:rsid w:val="57B975D7"/>
    <w:rsid w:val="57BB6757"/>
    <w:rsid w:val="57C82DD9"/>
    <w:rsid w:val="57E73B91"/>
    <w:rsid w:val="57F45188"/>
    <w:rsid w:val="57F81A83"/>
    <w:rsid w:val="58032997"/>
    <w:rsid w:val="581D6018"/>
    <w:rsid w:val="583F1055"/>
    <w:rsid w:val="58441188"/>
    <w:rsid w:val="58477459"/>
    <w:rsid w:val="58494A10"/>
    <w:rsid w:val="585A018E"/>
    <w:rsid w:val="585B0937"/>
    <w:rsid w:val="58744829"/>
    <w:rsid w:val="587673AC"/>
    <w:rsid w:val="58BD3A38"/>
    <w:rsid w:val="58F609E4"/>
    <w:rsid w:val="58FB67BC"/>
    <w:rsid w:val="5930657D"/>
    <w:rsid w:val="59327DEB"/>
    <w:rsid w:val="59392E42"/>
    <w:rsid w:val="593B5B55"/>
    <w:rsid w:val="593D19BE"/>
    <w:rsid w:val="59CB134C"/>
    <w:rsid w:val="59D13042"/>
    <w:rsid w:val="59EA652F"/>
    <w:rsid w:val="5A3F6176"/>
    <w:rsid w:val="5A5A38F1"/>
    <w:rsid w:val="5A7629B7"/>
    <w:rsid w:val="5A83298E"/>
    <w:rsid w:val="5A84337E"/>
    <w:rsid w:val="5A8D03AD"/>
    <w:rsid w:val="5AA34E07"/>
    <w:rsid w:val="5AD937F3"/>
    <w:rsid w:val="5AE30663"/>
    <w:rsid w:val="5AE36AFC"/>
    <w:rsid w:val="5AE47198"/>
    <w:rsid w:val="5AEF3CA7"/>
    <w:rsid w:val="5AFB0199"/>
    <w:rsid w:val="5B0001EA"/>
    <w:rsid w:val="5B5041D6"/>
    <w:rsid w:val="5B6B25D0"/>
    <w:rsid w:val="5BAD031C"/>
    <w:rsid w:val="5BB36D0A"/>
    <w:rsid w:val="5BD03C5A"/>
    <w:rsid w:val="5BD33975"/>
    <w:rsid w:val="5BDA775F"/>
    <w:rsid w:val="5BEA7806"/>
    <w:rsid w:val="5C035D5C"/>
    <w:rsid w:val="5C0B1081"/>
    <w:rsid w:val="5C885120"/>
    <w:rsid w:val="5CC14996"/>
    <w:rsid w:val="5D38401E"/>
    <w:rsid w:val="5D65772A"/>
    <w:rsid w:val="5DC93120"/>
    <w:rsid w:val="5DDA6F3B"/>
    <w:rsid w:val="5DDB5F91"/>
    <w:rsid w:val="5E282729"/>
    <w:rsid w:val="5E2C3252"/>
    <w:rsid w:val="5E39000D"/>
    <w:rsid w:val="5E5007AD"/>
    <w:rsid w:val="5E575A00"/>
    <w:rsid w:val="5E5B33A6"/>
    <w:rsid w:val="5EEC29C3"/>
    <w:rsid w:val="5F0241A8"/>
    <w:rsid w:val="5F031737"/>
    <w:rsid w:val="5F1B570F"/>
    <w:rsid w:val="5F4013BA"/>
    <w:rsid w:val="5F515252"/>
    <w:rsid w:val="5F882D2B"/>
    <w:rsid w:val="5FDC496F"/>
    <w:rsid w:val="5FEA0E05"/>
    <w:rsid w:val="5FFA2F3B"/>
    <w:rsid w:val="600D47EB"/>
    <w:rsid w:val="60240F4A"/>
    <w:rsid w:val="605E48C7"/>
    <w:rsid w:val="606A7181"/>
    <w:rsid w:val="608D0DC2"/>
    <w:rsid w:val="60CF4513"/>
    <w:rsid w:val="60FC46B7"/>
    <w:rsid w:val="6138206E"/>
    <w:rsid w:val="616270EF"/>
    <w:rsid w:val="61706EDF"/>
    <w:rsid w:val="619B1498"/>
    <w:rsid w:val="619B3BCB"/>
    <w:rsid w:val="61C5760F"/>
    <w:rsid w:val="61CB09F2"/>
    <w:rsid w:val="61F34165"/>
    <w:rsid w:val="62053AEE"/>
    <w:rsid w:val="62426D4A"/>
    <w:rsid w:val="62842199"/>
    <w:rsid w:val="62B6346C"/>
    <w:rsid w:val="62F27D6D"/>
    <w:rsid w:val="631814C9"/>
    <w:rsid w:val="632F7DE7"/>
    <w:rsid w:val="635E620F"/>
    <w:rsid w:val="636A3EC3"/>
    <w:rsid w:val="636A6F4B"/>
    <w:rsid w:val="63A94A31"/>
    <w:rsid w:val="63AC1EAC"/>
    <w:rsid w:val="63C910E5"/>
    <w:rsid w:val="63CC75B9"/>
    <w:rsid w:val="63FE1629"/>
    <w:rsid w:val="641E6EE2"/>
    <w:rsid w:val="64326B19"/>
    <w:rsid w:val="645214CF"/>
    <w:rsid w:val="6487530B"/>
    <w:rsid w:val="64BA39D7"/>
    <w:rsid w:val="64CF3CAA"/>
    <w:rsid w:val="64D96235"/>
    <w:rsid w:val="650F5FAC"/>
    <w:rsid w:val="656033A2"/>
    <w:rsid w:val="65815AA0"/>
    <w:rsid w:val="658855D4"/>
    <w:rsid w:val="658867B3"/>
    <w:rsid w:val="659B42A0"/>
    <w:rsid w:val="65A8095A"/>
    <w:rsid w:val="663B062F"/>
    <w:rsid w:val="663E4EF3"/>
    <w:rsid w:val="66471F83"/>
    <w:rsid w:val="665A01D2"/>
    <w:rsid w:val="6688533A"/>
    <w:rsid w:val="66D02521"/>
    <w:rsid w:val="670C3488"/>
    <w:rsid w:val="672E09CF"/>
    <w:rsid w:val="67365DB5"/>
    <w:rsid w:val="6792126C"/>
    <w:rsid w:val="67A97CFB"/>
    <w:rsid w:val="67EC006A"/>
    <w:rsid w:val="680328B7"/>
    <w:rsid w:val="68107593"/>
    <w:rsid w:val="68651677"/>
    <w:rsid w:val="686F261C"/>
    <w:rsid w:val="687E3602"/>
    <w:rsid w:val="68AC366C"/>
    <w:rsid w:val="68B329E9"/>
    <w:rsid w:val="69030906"/>
    <w:rsid w:val="692C4F44"/>
    <w:rsid w:val="697D4944"/>
    <w:rsid w:val="697E2DEE"/>
    <w:rsid w:val="69E1523E"/>
    <w:rsid w:val="6A377133"/>
    <w:rsid w:val="6A650E8F"/>
    <w:rsid w:val="6AA25847"/>
    <w:rsid w:val="6AEB550E"/>
    <w:rsid w:val="6AF47AD0"/>
    <w:rsid w:val="6B0B7792"/>
    <w:rsid w:val="6B213C7A"/>
    <w:rsid w:val="6B2726B5"/>
    <w:rsid w:val="6B5760AD"/>
    <w:rsid w:val="6B6356A7"/>
    <w:rsid w:val="6B6F75D9"/>
    <w:rsid w:val="6B7753BB"/>
    <w:rsid w:val="6BA303EE"/>
    <w:rsid w:val="6BD57A1A"/>
    <w:rsid w:val="6BE52340"/>
    <w:rsid w:val="6BEA317F"/>
    <w:rsid w:val="6C077B7C"/>
    <w:rsid w:val="6C89469E"/>
    <w:rsid w:val="6C93673A"/>
    <w:rsid w:val="6C9559EA"/>
    <w:rsid w:val="6CBB305B"/>
    <w:rsid w:val="6CC206BF"/>
    <w:rsid w:val="6CDD0CB1"/>
    <w:rsid w:val="6CE419F3"/>
    <w:rsid w:val="6CE93DEC"/>
    <w:rsid w:val="6D225A73"/>
    <w:rsid w:val="6D4B705D"/>
    <w:rsid w:val="6D711A3E"/>
    <w:rsid w:val="6D8D0D90"/>
    <w:rsid w:val="6DD50561"/>
    <w:rsid w:val="6DF021A3"/>
    <w:rsid w:val="6E1A1F69"/>
    <w:rsid w:val="6E3B5323"/>
    <w:rsid w:val="6E793023"/>
    <w:rsid w:val="6E7F7AFB"/>
    <w:rsid w:val="6EB770BA"/>
    <w:rsid w:val="6EB96505"/>
    <w:rsid w:val="6ED43ACF"/>
    <w:rsid w:val="6EDF1CCE"/>
    <w:rsid w:val="6F2D78EE"/>
    <w:rsid w:val="6F4E71A8"/>
    <w:rsid w:val="6F70301C"/>
    <w:rsid w:val="6F7C562E"/>
    <w:rsid w:val="6FB95193"/>
    <w:rsid w:val="6FE60D34"/>
    <w:rsid w:val="6FEE7F40"/>
    <w:rsid w:val="70015EAC"/>
    <w:rsid w:val="70093C44"/>
    <w:rsid w:val="7013025E"/>
    <w:rsid w:val="706A4129"/>
    <w:rsid w:val="70747A02"/>
    <w:rsid w:val="7076111A"/>
    <w:rsid w:val="70B73E00"/>
    <w:rsid w:val="70F2796B"/>
    <w:rsid w:val="711A1C30"/>
    <w:rsid w:val="711D088F"/>
    <w:rsid w:val="711E6ABB"/>
    <w:rsid w:val="71400456"/>
    <w:rsid w:val="714C2EBE"/>
    <w:rsid w:val="71611C06"/>
    <w:rsid w:val="71636191"/>
    <w:rsid w:val="71686453"/>
    <w:rsid w:val="71A976A3"/>
    <w:rsid w:val="71B83D73"/>
    <w:rsid w:val="71C94377"/>
    <w:rsid w:val="71D6274F"/>
    <w:rsid w:val="726E4C9E"/>
    <w:rsid w:val="729310B6"/>
    <w:rsid w:val="72CD0489"/>
    <w:rsid w:val="72DB349B"/>
    <w:rsid w:val="72E16E78"/>
    <w:rsid w:val="73062CBE"/>
    <w:rsid w:val="73297EB2"/>
    <w:rsid w:val="735765E8"/>
    <w:rsid w:val="73611BAF"/>
    <w:rsid w:val="7368643D"/>
    <w:rsid w:val="738A6877"/>
    <w:rsid w:val="739C4779"/>
    <w:rsid w:val="73A2442B"/>
    <w:rsid w:val="73AA6208"/>
    <w:rsid w:val="73C832AF"/>
    <w:rsid w:val="73E52982"/>
    <w:rsid w:val="73FA0625"/>
    <w:rsid w:val="74024A09"/>
    <w:rsid w:val="74472CC7"/>
    <w:rsid w:val="7485747A"/>
    <w:rsid w:val="748D3B91"/>
    <w:rsid w:val="74FD176E"/>
    <w:rsid w:val="75132281"/>
    <w:rsid w:val="754C1C51"/>
    <w:rsid w:val="7564660F"/>
    <w:rsid w:val="7571106C"/>
    <w:rsid w:val="757918F4"/>
    <w:rsid w:val="75886342"/>
    <w:rsid w:val="758E7458"/>
    <w:rsid w:val="75B9274E"/>
    <w:rsid w:val="75F83FB4"/>
    <w:rsid w:val="75F9318E"/>
    <w:rsid w:val="76703988"/>
    <w:rsid w:val="7672217C"/>
    <w:rsid w:val="76A12DC3"/>
    <w:rsid w:val="76D15B17"/>
    <w:rsid w:val="77186B1E"/>
    <w:rsid w:val="77645C7D"/>
    <w:rsid w:val="777439C1"/>
    <w:rsid w:val="77B15DF4"/>
    <w:rsid w:val="77B856B5"/>
    <w:rsid w:val="78076895"/>
    <w:rsid w:val="78091695"/>
    <w:rsid w:val="78151AE7"/>
    <w:rsid w:val="781D0ABF"/>
    <w:rsid w:val="782B5948"/>
    <w:rsid w:val="78602ABF"/>
    <w:rsid w:val="78665FE4"/>
    <w:rsid w:val="786E0FFE"/>
    <w:rsid w:val="78D02FB6"/>
    <w:rsid w:val="78FD3867"/>
    <w:rsid w:val="79214FA6"/>
    <w:rsid w:val="79392A29"/>
    <w:rsid w:val="79583AEC"/>
    <w:rsid w:val="795C7162"/>
    <w:rsid w:val="797812D7"/>
    <w:rsid w:val="799D7539"/>
    <w:rsid w:val="799F72C4"/>
    <w:rsid w:val="79A20557"/>
    <w:rsid w:val="79AB7A8E"/>
    <w:rsid w:val="79AC0207"/>
    <w:rsid w:val="79CB5BC6"/>
    <w:rsid w:val="79FD492D"/>
    <w:rsid w:val="7A087CF7"/>
    <w:rsid w:val="7A7F6A39"/>
    <w:rsid w:val="7A9A2995"/>
    <w:rsid w:val="7AA85A57"/>
    <w:rsid w:val="7AA97571"/>
    <w:rsid w:val="7AF26D81"/>
    <w:rsid w:val="7AF464E6"/>
    <w:rsid w:val="7AF6549D"/>
    <w:rsid w:val="7B014170"/>
    <w:rsid w:val="7B5E5C27"/>
    <w:rsid w:val="7B652196"/>
    <w:rsid w:val="7B762D9E"/>
    <w:rsid w:val="7B784952"/>
    <w:rsid w:val="7B7C479D"/>
    <w:rsid w:val="7B920A5D"/>
    <w:rsid w:val="7BA1455F"/>
    <w:rsid w:val="7BDC1294"/>
    <w:rsid w:val="7BF2190A"/>
    <w:rsid w:val="7C010589"/>
    <w:rsid w:val="7C160D02"/>
    <w:rsid w:val="7C1637C1"/>
    <w:rsid w:val="7C4706AF"/>
    <w:rsid w:val="7C526D30"/>
    <w:rsid w:val="7C574088"/>
    <w:rsid w:val="7C5D6386"/>
    <w:rsid w:val="7C921F5C"/>
    <w:rsid w:val="7C9D2374"/>
    <w:rsid w:val="7CAC42FA"/>
    <w:rsid w:val="7CEA2FFC"/>
    <w:rsid w:val="7CFD68A1"/>
    <w:rsid w:val="7D004B90"/>
    <w:rsid w:val="7D09176A"/>
    <w:rsid w:val="7D295788"/>
    <w:rsid w:val="7D431D8D"/>
    <w:rsid w:val="7D937F07"/>
    <w:rsid w:val="7DAA286B"/>
    <w:rsid w:val="7DB954F6"/>
    <w:rsid w:val="7DC07247"/>
    <w:rsid w:val="7DC62F24"/>
    <w:rsid w:val="7E1F4180"/>
    <w:rsid w:val="7E575AC2"/>
    <w:rsid w:val="7E68207B"/>
    <w:rsid w:val="7E950FE9"/>
    <w:rsid w:val="7EC009E8"/>
    <w:rsid w:val="7F410352"/>
    <w:rsid w:val="7F440F7A"/>
    <w:rsid w:val="7F510226"/>
    <w:rsid w:val="7F634386"/>
    <w:rsid w:val="7FBF3E86"/>
    <w:rsid w:val="7FDC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22"/>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23"/>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24"/>
    <w:qFormat/>
    <w:uiPriority w:val="0"/>
    <w:pPr>
      <w:numPr>
        <w:ilvl w:val="2"/>
      </w:numPr>
      <w:spacing w:before="120"/>
      <w:outlineLvl w:val="2"/>
    </w:pPr>
    <w:rPr>
      <w:sz w:val="24"/>
    </w:rPr>
  </w:style>
  <w:style w:type="paragraph" w:styleId="5">
    <w:name w:val="heading 4"/>
    <w:basedOn w:val="1"/>
    <w:next w:val="1"/>
    <w:unhideWhenUsed/>
    <w:qFormat/>
    <w:uiPriority w:val="9"/>
    <w:pPr>
      <w:keepNext/>
      <w:keepLines/>
      <w:spacing w:beforeLines="0" w:afterLines="0" w:line="372" w:lineRule="auto"/>
      <w:outlineLvl w:val="3"/>
    </w:pPr>
    <w:rPr>
      <w:rFonts w:ascii="Arial" w:hAnsi="Arial" w:eastAsia="黑体"/>
      <w:b/>
      <w:sz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99"/>
    <w:rPr>
      <w:rFonts w:ascii="Arial" w:hAnsi="Arial" w:eastAsia="黑体"/>
      <w:sz w:val="20"/>
    </w:rPr>
  </w:style>
  <w:style w:type="paragraph" w:styleId="7">
    <w:name w:val="Document Map"/>
    <w:basedOn w:val="1"/>
    <w:link w:val="44"/>
    <w:semiHidden/>
    <w:unhideWhenUsed/>
    <w:qFormat/>
    <w:uiPriority w:val="99"/>
    <w:rPr>
      <w:rFonts w:ascii="宋体"/>
      <w:sz w:val="18"/>
      <w:szCs w:val="18"/>
    </w:rPr>
  </w:style>
  <w:style w:type="paragraph" w:styleId="8">
    <w:name w:val="annotation text"/>
    <w:basedOn w:val="1"/>
    <w:link w:val="25"/>
    <w:qFormat/>
    <w:uiPriority w:val="0"/>
  </w:style>
  <w:style w:type="paragraph" w:styleId="9">
    <w:name w:val="Body Text"/>
    <w:basedOn w:val="1"/>
    <w:qFormat/>
    <w:uiPriority w:val="0"/>
    <w:pPr>
      <w:spacing w:after="120"/>
    </w:pPr>
    <w:rPr>
      <w:rFonts w:ascii="Times" w:hAnsi="Times"/>
      <w:szCs w:val="24"/>
    </w:rPr>
  </w:style>
  <w:style w:type="paragraph" w:styleId="10">
    <w:name w:val="Balloon Text"/>
    <w:basedOn w:val="1"/>
    <w:link w:val="33"/>
    <w:semiHidden/>
    <w:unhideWhenUsed/>
    <w:qFormat/>
    <w:uiPriority w:val="99"/>
    <w:rPr>
      <w:sz w:val="18"/>
      <w:szCs w:val="18"/>
    </w:rPr>
  </w:style>
  <w:style w:type="paragraph" w:styleId="11">
    <w:name w:val="footer"/>
    <w:basedOn w:val="1"/>
    <w:link w:val="26"/>
    <w:semiHidden/>
    <w:unhideWhenUsed/>
    <w:qFormat/>
    <w:uiPriority w:val="99"/>
    <w:pPr>
      <w:tabs>
        <w:tab w:val="center" w:pos="4153"/>
        <w:tab w:val="right" w:pos="8306"/>
      </w:tabs>
      <w:snapToGrid w:val="0"/>
      <w:jc w:val="left"/>
    </w:pPr>
    <w:rPr>
      <w:sz w:val="18"/>
      <w:szCs w:val="18"/>
    </w:rPr>
  </w:style>
  <w:style w:type="paragraph" w:styleId="12">
    <w:name w:val="header"/>
    <w:basedOn w:val="1"/>
    <w:link w:val="27"/>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99"/>
    <w:pPr>
      <w:tabs>
        <w:tab w:val="decimal" w:pos="0"/>
        <w:tab w:val="right" w:pos="9660"/>
      </w:tabs>
      <w:ind w:right="420" w:rightChars="200"/>
      <w:jc w:val="left"/>
    </w:pPr>
    <w:rPr>
      <w:b/>
      <w:bCs/>
      <w:i/>
      <w:iCs/>
      <w:sz w:val="20"/>
    </w:rPr>
  </w:style>
  <w:style w:type="paragraph" w:styleId="14">
    <w:name w:val="Normal (Web)"/>
    <w:basedOn w:val="1"/>
    <w:unhideWhenUsed/>
    <w:qFormat/>
    <w:uiPriority w:val="99"/>
    <w:pPr>
      <w:spacing w:beforeAutospacing="1" w:afterAutospacing="1"/>
      <w:jc w:val="left"/>
    </w:pPr>
    <w:rPr>
      <w:kern w:val="0"/>
      <w:sz w:val="24"/>
    </w:rPr>
  </w:style>
  <w:style w:type="paragraph" w:styleId="15">
    <w:name w:val="annotation subject"/>
    <w:basedOn w:val="8"/>
    <w:next w:val="8"/>
    <w:link w:val="34"/>
    <w:semiHidden/>
    <w:unhideWhenUsed/>
    <w:qFormat/>
    <w:uiPriority w:val="99"/>
    <w:pPr>
      <w:jc w:val="left"/>
    </w:pPr>
    <w:rPr>
      <w:b/>
      <w:bCs/>
    </w:rPr>
  </w:style>
  <w:style w:type="table" w:styleId="17">
    <w:name w:val="Table Grid"/>
    <w:basedOn w:val="1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styleId="21">
    <w:name w:val="annotation reference"/>
    <w:qFormat/>
    <w:uiPriority w:val="0"/>
    <w:rPr>
      <w:sz w:val="16"/>
    </w:rPr>
  </w:style>
  <w:style w:type="character" w:customStyle="1" w:styleId="22">
    <w:name w:val="标题 1 Char"/>
    <w:basedOn w:val="18"/>
    <w:link w:val="2"/>
    <w:qFormat/>
    <w:uiPriority w:val="0"/>
    <w:rPr>
      <w:rFonts w:ascii="Arial" w:hAnsi="Arial" w:eastAsia="MS Mincho" w:cs="Times New Roman"/>
      <w:sz w:val="32"/>
      <w:szCs w:val="20"/>
    </w:rPr>
  </w:style>
  <w:style w:type="character" w:customStyle="1" w:styleId="23">
    <w:name w:val="标题 2 Char"/>
    <w:basedOn w:val="18"/>
    <w:link w:val="3"/>
    <w:qFormat/>
    <w:uiPriority w:val="0"/>
    <w:rPr>
      <w:rFonts w:ascii="Arial" w:hAnsi="Arial" w:eastAsia="MS Mincho" w:cs="Times New Roman"/>
      <w:sz w:val="28"/>
      <w:szCs w:val="20"/>
    </w:rPr>
  </w:style>
  <w:style w:type="character" w:customStyle="1" w:styleId="24">
    <w:name w:val="标题 3 Char"/>
    <w:basedOn w:val="18"/>
    <w:link w:val="4"/>
    <w:qFormat/>
    <w:uiPriority w:val="0"/>
    <w:rPr>
      <w:rFonts w:ascii="Arial" w:hAnsi="Arial" w:eastAsia="MS Mincho" w:cs="Times New Roman"/>
      <w:sz w:val="24"/>
      <w:szCs w:val="20"/>
    </w:rPr>
  </w:style>
  <w:style w:type="character" w:customStyle="1" w:styleId="25">
    <w:name w:val="批注文字 Char"/>
    <w:basedOn w:val="18"/>
    <w:link w:val="8"/>
    <w:qFormat/>
    <w:uiPriority w:val="0"/>
    <w:rPr>
      <w:rFonts w:ascii="Times New Roman" w:hAnsi="Times New Roman" w:eastAsia="宋体" w:cs="Times New Roman"/>
      <w:szCs w:val="20"/>
    </w:rPr>
  </w:style>
  <w:style w:type="character" w:customStyle="1" w:styleId="26">
    <w:name w:val="页脚 Char"/>
    <w:basedOn w:val="18"/>
    <w:link w:val="11"/>
    <w:semiHidden/>
    <w:qFormat/>
    <w:uiPriority w:val="99"/>
    <w:rPr>
      <w:rFonts w:ascii="Times New Roman" w:hAnsi="Times New Roman" w:eastAsia="宋体" w:cs="Times New Roman"/>
      <w:sz w:val="18"/>
      <w:szCs w:val="18"/>
    </w:rPr>
  </w:style>
  <w:style w:type="character" w:customStyle="1" w:styleId="27">
    <w:name w:val="页眉 Char"/>
    <w:basedOn w:val="18"/>
    <w:link w:val="12"/>
    <w:semiHidden/>
    <w:qFormat/>
    <w:uiPriority w:val="0"/>
    <w:rPr>
      <w:rFonts w:ascii="Times New Roman" w:hAnsi="Times New Roman" w:eastAsia="宋体" w:cs="Times New Roman"/>
      <w:sz w:val="18"/>
      <w:szCs w:val="18"/>
    </w:rPr>
  </w:style>
  <w:style w:type="paragraph" w:customStyle="1" w:styleId="28">
    <w:name w:val="References"/>
    <w:basedOn w:val="1"/>
    <w:qFormat/>
    <w:uiPriority w:val="0"/>
    <w:pPr>
      <w:numPr>
        <w:ilvl w:val="0"/>
        <w:numId w:val="2"/>
      </w:numPr>
      <w:spacing w:after="60"/>
    </w:pPr>
    <w:rPr>
      <w:szCs w:val="16"/>
    </w:rPr>
  </w:style>
  <w:style w:type="paragraph" w:styleId="29">
    <w:name w:val="List Paragraph"/>
    <w:basedOn w:val="1"/>
    <w:link w:val="36"/>
    <w:qFormat/>
    <w:uiPriority w:val="34"/>
    <w:pPr>
      <w:spacing w:beforeLines="0"/>
      <w:ind w:left="720"/>
      <w:contextualSpacing/>
    </w:pPr>
    <w:rPr>
      <w:rFonts w:eastAsia="Times New Roman"/>
      <w:sz w:val="24"/>
      <w:szCs w:val="24"/>
    </w:rPr>
  </w:style>
  <w:style w:type="character" w:customStyle="1" w:styleId="30">
    <w:name w:val="font21"/>
    <w:basedOn w:val="18"/>
    <w:qFormat/>
    <w:uiPriority w:val="0"/>
    <w:rPr>
      <w:rFonts w:hint="default" w:ascii="Times New Roman" w:hAnsi="Times New Roman" w:cs="Times New Roman"/>
      <w:color w:val="000000"/>
      <w:sz w:val="20"/>
      <w:szCs w:val="20"/>
      <w:u w:val="none"/>
    </w:rPr>
  </w:style>
  <w:style w:type="character" w:customStyle="1" w:styleId="31">
    <w:name w:val="font11"/>
    <w:basedOn w:val="18"/>
    <w:qFormat/>
    <w:uiPriority w:val="0"/>
    <w:rPr>
      <w:rFonts w:hint="default" w:ascii="Symbol" w:hAnsi="Symbol" w:cs="Symbol"/>
      <w:b/>
      <w:color w:val="000000"/>
      <w:sz w:val="20"/>
      <w:szCs w:val="20"/>
      <w:u w:val="none"/>
    </w:rPr>
  </w:style>
  <w:style w:type="character" w:customStyle="1" w:styleId="32">
    <w:name w:val="font01"/>
    <w:basedOn w:val="18"/>
    <w:qFormat/>
    <w:uiPriority w:val="0"/>
    <w:rPr>
      <w:rFonts w:hint="default" w:ascii="Symbol" w:hAnsi="Symbol" w:cs="Symbol"/>
      <w:color w:val="000000"/>
      <w:sz w:val="20"/>
      <w:szCs w:val="20"/>
      <w:u w:val="none"/>
    </w:rPr>
  </w:style>
  <w:style w:type="character" w:customStyle="1" w:styleId="33">
    <w:name w:val="批注框文本 Char"/>
    <w:basedOn w:val="18"/>
    <w:link w:val="10"/>
    <w:semiHidden/>
    <w:qFormat/>
    <w:uiPriority w:val="99"/>
    <w:rPr>
      <w:rFonts w:ascii="Times New Roman" w:hAnsi="Times New Roman" w:eastAsia="宋体" w:cs="Times New Roman"/>
      <w:sz w:val="18"/>
      <w:szCs w:val="18"/>
    </w:rPr>
  </w:style>
  <w:style w:type="character" w:customStyle="1" w:styleId="34">
    <w:name w:val="批注主题 Char"/>
    <w:basedOn w:val="25"/>
    <w:link w:val="15"/>
    <w:semiHidden/>
    <w:qFormat/>
    <w:uiPriority w:val="99"/>
    <w:rPr>
      <w:rFonts w:ascii="Times New Roman" w:hAnsi="Times New Roman" w:eastAsia="宋体" w:cs="Times New Roman"/>
      <w:b/>
      <w:bCs/>
      <w:kern w:val="2"/>
      <w:sz w:val="21"/>
      <w:szCs w:val="20"/>
    </w:rPr>
  </w:style>
  <w:style w:type="paragraph" w:customStyle="1" w:styleId="3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36">
    <w:name w:val="列出段落 Char"/>
    <w:link w:val="29"/>
    <w:qFormat/>
    <w:uiPriority w:val="34"/>
    <w:rPr>
      <w:rFonts w:ascii="Times New Roman" w:hAnsi="Times New Roman" w:eastAsia="Times New Roman" w:cs="Times New Roman"/>
      <w:kern w:val="2"/>
      <w:sz w:val="24"/>
      <w:szCs w:val="24"/>
    </w:rPr>
  </w:style>
  <w:style w:type="character" w:styleId="37">
    <w:name w:val="Placeholder Text"/>
    <w:basedOn w:val="18"/>
    <w:unhideWhenUsed/>
    <w:qFormat/>
    <w:uiPriority w:val="99"/>
    <w:rPr>
      <w:color w:val="808080"/>
    </w:rPr>
  </w:style>
  <w:style w:type="paragraph" w:customStyle="1" w:styleId="3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39">
    <w:name w:val="x_apple-converted-space"/>
    <w:qFormat/>
    <w:uiPriority w:val="0"/>
  </w:style>
  <w:style w:type="paragraph" w:customStyle="1" w:styleId="40">
    <w:name w:val="TAH"/>
    <w:basedOn w:val="41"/>
    <w:qFormat/>
    <w:uiPriority w:val="0"/>
    <w:rPr>
      <w:b/>
    </w:rPr>
  </w:style>
  <w:style w:type="paragraph" w:customStyle="1" w:styleId="41">
    <w:name w:val="TAC"/>
    <w:basedOn w:val="42"/>
    <w:qFormat/>
    <w:uiPriority w:val="0"/>
    <w:pPr>
      <w:jc w:val="center"/>
    </w:pPr>
  </w:style>
  <w:style w:type="paragraph" w:customStyle="1" w:styleId="42">
    <w:name w:val="TAL"/>
    <w:basedOn w:val="1"/>
    <w:qFormat/>
    <w:uiPriority w:val="0"/>
    <w:pPr>
      <w:keepNext/>
      <w:keepLines/>
    </w:pPr>
    <w:rPr>
      <w:rFonts w:ascii="Arial" w:hAnsi="Arial"/>
      <w:sz w:val="18"/>
    </w:rPr>
  </w:style>
  <w:style w:type="paragraph" w:customStyle="1" w:styleId="4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44">
    <w:name w:val="文档结构图 Char"/>
    <w:basedOn w:val="18"/>
    <w:link w:val="7"/>
    <w:semiHidden/>
    <w:qFormat/>
    <w:uiPriority w:val="99"/>
    <w:rPr>
      <w:rFonts w:ascii="宋体"/>
      <w:kern w:val="2"/>
      <w:sz w:val="18"/>
      <w:szCs w:val="18"/>
    </w:rPr>
  </w:style>
  <w:style w:type="paragraph" w:customStyle="1" w:styleId="4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4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47">
    <w:name w:val="apple-converted-space"/>
    <w:basedOn w:val="18"/>
    <w:qFormat/>
    <w:uiPriority w:val="0"/>
  </w:style>
  <w:style w:type="paragraph" w:customStyle="1" w:styleId="4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49">
    <w:name w:val="x_xmsonormal"/>
    <w:basedOn w:val="1"/>
    <w:qFormat/>
    <w:uiPriority w:val="0"/>
    <w:rPr>
      <w:rFonts w:ascii="宋体" w:hAnsi="宋体" w:cs="Calibri"/>
      <w:sz w:val="24"/>
    </w:rPr>
  </w:style>
  <w:style w:type="paragraph" w:customStyle="1" w:styleId="5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1">
    <w:name w:val="3GPP Normal Text"/>
    <w:basedOn w:val="9"/>
    <w:qFormat/>
    <w:uiPriority w:val="0"/>
    <w:pPr>
      <w:spacing w:after="60"/>
    </w:pPr>
    <w:rPr>
      <w:rFonts w:ascii="Times New Roman" w:hAnsi="Times New Roman" w:eastAsia="MS Mincho"/>
    </w:rPr>
  </w:style>
  <w:style w:type="paragraph" w:customStyle="1" w:styleId="52">
    <w:name w:val="List Paragraph1"/>
    <w:basedOn w:val="1"/>
    <w:qFormat/>
    <w:uiPriority w:val="0"/>
    <w:pPr>
      <w:widowControl w:val="0"/>
      <w:spacing w:beforeLines="0" w:afterLines="0" w:line="240" w:lineRule="auto"/>
      <w:ind w:firstLine="420" w:firstLineChars="200"/>
    </w:pPr>
    <w:rPr>
      <w:rFonts w:ascii="Calibri" w:hAnsi="Calibri"/>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3.wmf"/><Relationship Id="rId32" Type="http://schemas.openxmlformats.org/officeDocument/2006/relationships/oleObject" Target="embeddings/oleObject1.bin"/><Relationship Id="rId31" Type="http://schemas.openxmlformats.org/officeDocument/2006/relationships/image" Target="media/image22.emf"/><Relationship Id="rId30" Type="http://schemas.openxmlformats.org/officeDocument/2006/relationships/image" Target="media/image21.e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emf"/><Relationship Id="rId27" Type="http://schemas.openxmlformats.org/officeDocument/2006/relationships/image" Target="media/image18.emf"/><Relationship Id="rId26" Type="http://schemas.openxmlformats.org/officeDocument/2006/relationships/image" Target="media/image17.emf"/><Relationship Id="rId25" Type="http://schemas.openxmlformats.org/officeDocument/2006/relationships/image" Target="media/image16.emf"/><Relationship Id="rId24" Type="http://schemas.openxmlformats.org/officeDocument/2006/relationships/image" Target="media/image15.emf"/><Relationship Id="rId23" Type="http://schemas.openxmlformats.org/officeDocument/2006/relationships/image" Target="media/image14.emf"/><Relationship Id="rId22" Type="http://schemas.openxmlformats.org/officeDocument/2006/relationships/image" Target="media/image13.emf"/><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33108-31AA-42E1-96F9-2B40D87499C4}">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5210</Words>
  <Characters>29699</Characters>
  <Lines>247</Lines>
  <Paragraphs>69</Paragraphs>
  <TotalTime>4</TotalTime>
  <ScaleCrop>false</ScaleCrop>
  <LinksUpToDate>false</LinksUpToDate>
  <CharactersWithSpaces>34840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2021-09-28T03:40:00Z</dcterms:created>
  <dc:creator>YuzhouHu</dc:creator>
  <cp:lastModifiedBy>ZTE-MXY</cp:lastModifiedBy>
  <dcterms:modified xsi:type="dcterms:W3CDTF">2021-09-30T06:54:37Z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