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9"/>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9"/>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6331737" w14:textId="77777777" w:rsidR="009C64EC" w:rsidRDefault="0076378E">
            <w:pPr>
              <w:spacing w:after="0"/>
              <w:rPr>
                <w:rFonts w:eastAsia="ＭＳ 明朝"/>
              </w:rPr>
            </w:pPr>
            <w:r>
              <w:rPr>
                <w:rFonts w:eastAsia="ＭＳ 明朝"/>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FA64BD5" w14:textId="77777777" w:rsidR="009C64EC" w:rsidRDefault="0076378E">
            <w:pPr>
              <w:spacing w:after="0"/>
              <w:rPr>
                <w:rFonts w:eastAsia="ＭＳ 明朝"/>
              </w:rPr>
            </w:pPr>
            <w:r>
              <w:rPr>
                <w:rFonts w:eastAsia="ＭＳ 明朝"/>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4"/>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ＭＳ 明朝"/>
                <w:bCs/>
                <w:lang w:eastAsia="ja-JP"/>
              </w:rPr>
            </w:pPr>
            <w:r>
              <w:rPr>
                <w:rFonts w:eastAsia="ＭＳ 明朝"/>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ＭＳ 明朝"/>
                <w:bCs/>
                <w:lang w:eastAsia="ja-JP"/>
              </w:rPr>
            </w:pPr>
            <w:r>
              <w:rPr>
                <w:rFonts w:eastAsia="ＭＳ 明朝"/>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ＭＳ 明朝"/>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4"/>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ＭＳ 明朝"/>
                <w:lang w:eastAsia="ja-JP"/>
              </w:rPr>
            </w:pPr>
            <w:r>
              <w:rPr>
                <w:rFonts w:eastAsia="ＭＳ 明朝"/>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ＭＳ 明朝"/>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9"/>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9"/>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9"/>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9"/>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4"/>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af4"/>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af9"/>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af9"/>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456843">
            <w:pPr>
              <w:spacing w:after="0"/>
              <w:rPr>
                <w:bCs/>
                <w:lang w:eastAsia="zh-CN"/>
              </w:rPr>
            </w:pPr>
            <w:r>
              <w:rPr>
                <w:bCs/>
                <w:lang w:eastAsia="zh-CN"/>
              </w:rPr>
              <w:t>Apple</w:t>
            </w:r>
          </w:p>
        </w:tc>
        <w:tc>
          <w:tcPr>
            <w:tcW w:w="7627" w:type="dxa"/>
          </w:tcPr>
          <w:p w14:paraId="26B607B9" w14:textId="77777777" w:rsidR="008A4DF0" w:rsidRDefault="008A4DF0" w:rsidP="00456843">
            <w:pPr>
              <w:spacing w:after="0"/>
              <w:rPr>
                <w:lang w:eastAsia="zh-CN"/>
              </w:rPr>
            </w:pPr>
            <w:r>
              <w:rPr>
                <w:lang w:eastAsia="zh-CN"/>
              </w:rPr>
              <w:t xml:space="preserve">Agree with FL’s proposal in principal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456843">
            <w:pPr>
              <w:spacing w:after="0"/>
              <w:rPr>
                <w:bCs/>
                <w:lang w:eastAsia="zh-CN"/>
              </w:rPr>
            </w:pPr>
            <w:r>
              <w:rPr>
                <w:rFonts w:hint="eastAsia"/>
                <w:bCs/>
                <w:lang w:eastAsia="zh-CN"/>
              </w:rPr>
              <w:t>S</w:t>
            </w:r>
            <w:r>
              <w:rPr>
                <w:bCs/>
                <w:lang w:eastAsia="zh-CN"/>
              </w:rPr>
              <w:t>preadtrum</w:t>
            </w:r>
          </w:p>
        </w:tc>
        <w:tc>
          <w:tcPr>
            <w:tcW w:w="7627" w:type="dxa"/>
          </w:tcPr>
          <w:p w14:paraId="5A0E5634" w14:textId="77777777" w:rsidR="001B56EA" w:rsidRDefault="001B56EA" w:rsidP="00456843">
            <w:pPr>
              <w:spacing w:after="0"/>
              <w:rPr>
                <w:lang w:eastAsia="zh-CN"/>
              </w:rPr>
            </w:pPr>
            <w:r>
              <w:rPr>
                <w:lang w:eastAsia="zh-CN"/>
              </w:rPr>
              <w:t>We agree with CATT.</w:t>
            </w:r>
          </w:p>
          <w:p w14:paraId="08A562EB" w14:textId="626B8DEB" w:rsidR="001B56EA" w:rsidRPr="001B56EA" w:rsidRDefault="001B56EA" w:rsidP="001B56EA">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9"/>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9"/>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9"/>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9"/>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9"/>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CovEnh WI for slot-based PUCCH repetition can be directly applied </w:t>
      </w:r>
      <w:r>
        <w:rPr>
          <w:rFonts w:ascii="Times New Roman" w:eastAsiaTheme="minorEastAsia" w:hAnsi="Times New Roman"/>
          <w:sz w:val="20"/>
          <w:szCs w:val="20"/>
        </w:rPr>
        <w:lastRenderedPageBreak/>
        <w:t>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9"/>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9"/>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88A180B" w14:textId="77777777" w:rsidR="009C64EC" w:rsidRDefault="0076378E">
            <w:pPr>
              <w:spacing w:after="0"/>
              <w:rPr>
                <w:rFonts w:eastAsia="ＭＳ 明朝"/>
                <w:bCs/>
                <w:lang w:eastAsia="ja-JP"/>
              </w:rPr>
            </w:pPr>
            <w:r>
              <w:rPr>
                <w:rFonts w:eastAsia="ＭＳ 明朝" w:hint="eastAsia"/>
                <w:bCs/>
                <w:lang w:eastAsia="ja-JP"/>
              </w:rPr>
              <w:t>O</w:t>
            </w:r>
            <w:r>
              <w:rPr>
                <w:rFonts w:eastAsia="ＭＳ 明朝"/>
                <w:bCs/>
                <w:lang w:eastAsia="ja-JP"/>
              </w:rPr>
              <w:t>K</w:t>
            </w:r>
          </w:p>
        </w:tc>
      </w:tr>
      <w:tr w:rsidR="009C64EC" w14:paraId="55FA710C" w14:textId="77777777">
        <w:tc>
          <w:tcPr>
            <w:tcW w:w="2335" w:type="dxa"/>
          </w:tcPr>
          <w:p w14:paraId="7739155C" w14:textId="77777777" w:rsidR="009C64EC" w:rsidRDefault="0076378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3F5563E"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15FE3729" w14:textId="77777777">
        <w:tc>
          <w:tcPr>
            <w:tcW w:w="2335" w:type="dxa"/>
          </w:tcPr>
          <w:p w14:paraId="03CFC21D" w14:textId="77777777" w:rsidR="009C64EC" w:rsidRDefault="0076378E">
            <w:pPr>
              <w:spacing w:after="0"/>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ＭＳ 明朝"/>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CE68AC4" w14:textId="77777777" w:rsidR="009C64EC" w:rsidRDefault="0076378E">
            <w:pPr>
              <w:spacing w:after="0"/>
              <w:rPr>
                <w:rFonts w:eastAsia="ＭＳ 明朝"/>
                <w:bCs/>
                <w:lang w:eastAsia="ja-JP"/>
              </w:rPr>
            </w:pPr>
            <w:r>
              <w:rPr>
                <w:rFonts w:eastAsia="ＭＳ 明朝" w:hint="eastAsia"/>
                <w:bCs/>
                <w:lang w:eastAsia="ja-JP"/>
              </w:rPr>
              <w:t>W</w:t>
            </w:r>
            <w:r>
              <w:rPr>
                <w:rFonts w:eastAsia="ＭＳ 明朝"/>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lastRenderedPageBreak/>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9"/>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using repetition number of PUSCH.</w:t>
      </w:r>
    </w:p>
    <w:p w14:paraId="65E16DC9" w14:textId="77777777" w:rsidR="009C64EC" w:rsidRDefault="0076378E">
      <w:pPr>
        <w:pStyle w:val="af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lastRenderedPageBreak/>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9"/>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3F089214" w14:textId="77777777" w:rsidR="009C64EC" w:rsidRDefault="0076378E">
            <w:pPr>
              <w:spacing w:before="0" w:after="0"/>
              <w:rPr>
                <w:rFonts w:eastAsia="ＭＳ 明朝"/>
                <w:lang w:eastAsia="ja-JP"/>
              </w:rPr>
            </w:pPr>
            <w:r>
              <w:rPr>
                <w:rFonts w:eastAsia="ＭＳ 明朝"/>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lastRenderedPageBreak/>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370370D"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72EEDEE7" w14:textId="77777777">
        <w:tc>
          <w:tcPr>
            <w:tcW w:w="2335" w:type="dxa"/>
          </w:tcPr>
          <w:p w14:paraId="42D1DB67" w14:textId="77777777" w:rsidR="009C64EC" w:rsidRDefault="0076378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7DAE0CD"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63E43284" w14:textId="77777777">
        <w:tc>
          <w:tcPr>
            <w:tcW w:w="2335" w:type="dxa"/>
          </w:tcPr>
          <w:p w14:paraId="50EA3A3B" w14:textId="77777777" w:rsidR="009C64EC" w:rsidRDefault="0076378E">
            <w:pPr>
              <w:spacing w:after="0"/>
              <w:rPr>
                <w:rFonts w:eastAsia="ＭＳ 明朝"/>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ＭＳ 明朝"/>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4BBA881" w14:textId="77777777" w:rsidR="009C64EC" w:rsidRDefault="0076378E">
            <w:pPr>
              <w:spacing w:after="0"/>
              <w:rPr>
                <w:rFonts w:eastAsia="ＭＳ 明朝"/>
                <w:bCs/>
                <w:lang w:eastAsia="ja-JP"/>
              </w:rPr>
            </w:pPr>
            <w:r>
              <w:rPr>
                <w:rFonts w:eastAsia="ＭＳ 明朝" w:hint="eastAsia"/>
                <w:bCs/>
                <w:lang w:eastAsia="ja-JP"/>
              </w:rPr>
              <w:t>W</w:t>
            </w:r>
            <w:r>
              <w:rPr>
                <w:rFonts w:eastAsia="ＭＳ 明朝"/>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ＭＳ 明朝"/>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456843">
        <w:tc>
          <w:tcPr>
            <w:tcW w:w="2335" w:type="dxa"/>
          </w:tcPr>
          <w:p w14:paraId="3B90DE1D" w14:textId="77777777" w:rsidR="006615B2" w:rsidRDefault="006615B2" w:rsidP="00456843">
            <w:pPr>
              <w:spacing w:after="0"/>
              <w:rPr>
                <w:bCs/>
                <w:lang w:eastAsia="zh-CN"/>
              </w:rPr>
            </w:pPr>
            <w:r>
              <w:rPr>
                <w:bCs/>
                <w:lang w:eastAsia="zh-CN"/>
              </w:rPr>
              <w:t>Apple</w:t>
            </w:r>
          </w:p>
        </w:tc>
        <w:tc>
          <w:tcPr>
            <w:tcW w:w="7627" w:type="dxa"/>
          </w:tcPr>
          <w:p w14:paraId="3FA5D168" w14:textId="77777777" w:rsidR="006615B2" w:rsidRDefault="006615B2" w:rsidP="00456843">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3A2B3F05" w14:textId="77777777" w:rsidR="009C64EC" w:rsidRDefault="0076378E">
            <w:pPr>
              <w:spacing w:before="0" w:after="0"/>
              <w:rPr>
                <w:rFonts w:eastAsia="ＭＳ 明朝"/>
                <w:lang w:eastAsia="ja-JP"/>
              </w:rPr>
            </w:pPr>
            <w:r>
              <w:rPr>
                <w:rFonts w:eastAsia="ＭＳ 明朝"/>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A2510C9" w14:textId="77777777" w:rsidR="009C64EC" w:rsidRDefault="0076378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9D812D0" w14:textId="77777777" w:rsidR="009C64EC" w:rsidRDefault="0076378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ＭＳ 明朝"/>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ＭＳ 明朝"/>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14E6A84" w14:textId="77777777" w:rsidR="009C64EC" w:rsidRDefault="0076378E">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ＭＳ 明朝"/>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ＭＳ 明朝"/>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9"/>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9"/>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4"/>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7E16AD1" w14:textId="77777777" w:rsidR="009C64EC" w:rsidRDefault="0076378E">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ＭＳ 明朝"/>
                <w:bCs/>
                <w:lang w:eastAsia="ja-JP"/>
              </w:rPr>
            </w:pPr>
            <w:r>
              <w:rPr>
                <w:rFonts w:eastAsia="ＭＳ 明朝"/>
                <w:bCs/>
                <w:lang w:eastAsia="ja-JP"/>
              </w:rPr>
              <w:t>Qualcomm</w:t>
            </w:r>
          </w:p>
        </w:tc>
        <w:tc>
          <w:tcPr>
            <w:tcW w:w="7627" w:type="dxa"/>
          </w:tcPr>
          <w:p w14:paraId="3A92198C" w14:textId="77777777" w:rsidR="009C64EC" w:rsidRDefault="0076378E">
            <w:pPr>
              <w:spacing w:after="0"/>
              <w:rPr>
                <w:rFonts w:eastAsia="ＭＳ 明朝"/>
                <w:bCs/>
                <w:lang w:eastAsia="ja-JP"/>
              </w:rPr>
            </w:pPr>
            <w:r>
              <w:rPr>
                <w:rFonts w:eastAsia="ＭＳ 明朝"/>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ＭＳ 明朝"/>
                <w:bCs/>
                <w:lang w:eastAsia="ja-JP"/>
              </w:rPr>
            </w:pPr>
            <w:r>
              <w:rPr>
                <w:rFonts w:hint="eastAsia"/>
                <w:bCs/>
                <w:lang w:eastAsia="zh-CN"/>
              </w:rPr>
              <w:t>CATT</w:t>
            </w:r>
          </w:p>
        </w:tc>
        <w:tc>
          <w:tcPr>
            <w:tcW w:w="7627" w:type="dxa"/>
          </w:tcPr>
          <w:p w14:paraId="0DE90534" w14:textId="77777777" w:rsidR="009C64EC" w:rsidRDefault="0076378E">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lastRenderedPageBreak/>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9"/>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4"/>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lastRenderedPageBreak/>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lastRenderedPageBreak/>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EA9EC68" w14:textId="77777777" w:rsidR="009C64EC" w:rsidRDefault="0076378E">
            <w:pPr>
              <w:spacing w:after="0"/>
              <w:rPr>
                <w:rFonts w:eastAsia="ＭＳ 明朝"/>
                <w:bCs/>
                <w:lang w:eastAsia="ja-JP"/>
              </w:rPr>
            </w:pPr>
            <w:r>
              <w:rPr>
                <w:rFonts w:eastAsia="ＭＳ 明朝" w:hint="eastAsia"/>
                <w:bCs/>
                <w:lang w:eastAsia="ja-JP"/>
              </w:rPr>
              <w:t>W</w:t>
            </w:r>
            <w:r>
              <w:rPr>
                <w:rFonts w:eastAsia="ＭＳ 明朝"/>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24DD43C" w14:textId="77777777" w:rsidR="009C64EC" w:rsidRDefault="0076378E">
            <w:pPr>
              <w:spacing w:after="0"/>
              <w:rPr>
                <w:rFonts w:eastAsia="ＭＳ 明朝"/>
                <w:bCs/>
                <w:lang w:eastAsia="ja-JP"/>
              </w:rPr>
            </w:pPr>
            <w:r>
              <w:rPr>
                <w:rFonts w:eastAsia="ＭＳ 明朝" w:hint="eastAsia"/>
                <w:bCs/>
                <w:lang w:eastAsia="ja-JP"/>
              </w:rPr>
              <w:t>W</w:t>
            </w:r>
            <w:r>
              <w:rPr>
                <w:rFonts w:eastAsia="ＭＳ 明朝"/>
                <w:bCs/>
                <w:lang w:eastAsia="ja-JP"/>
              </w:rPr>
              <w:t>e support that the configured TDW length is used for the determination of hop duration in frequency hopping. Therefore we support that “configured TDW determination” =</w:t>
            </w:r>
            <w:r>
              <w:rPr>
                <w:rFonts w:eastAsia="ＭＳ 明朝" w:hint="eastAsia"/>
                <w:bCs/>
                <w:lang w:eastAsia="ja-JP"/>
              </w:rPr>
              <w:t>“</w:t>
            </w:r>
            <w:r>
              <w:rPr>
                <w:rFonts w:eastAsia="ＭＳ 明朝"/>
                <w:bCs/>
                <w:lang w:eastAsia="ja-JP"/>
              </w:rPr>
              <w:t xml:space="preserve">hopping intervals determination” -&gt; </w:t>
            </w:r>
            <w:r>
              <w:rPr>
                <w:rFonts w:eastAsia="ＭＳ 明朝" w:hint="eastAsia"/>
                <w:bCs/>
                <w:lang w:eastAsia="ja-JP"/>
              </w:rPr>
              <w:t>“</w:t>
            </w:r>
            <w:r>
              <w:rPr>
                <w:rFonts w:eastAsia="ＭＳ 明朝"/>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ＭＳ 明朝"/>
                <w:bCs/>
                <w:lang w:eastAsia="ja-JP"/>
              </w:rPr>
            </w:pPr>
            <w:r>
              <w:rPr>
                <w:rFonts w:eastAsia="Malgun Gothic" w:hint="eastAsia"/>
                <w:bCs/>
                <w:lang w:eastAsia="ko-KR"/>
              </w:rPr>
              <w:lastRenderedPageBreak/>
              <w:t>LG</w:t>
            </w:r>
          </w:p>
        </w:tc>
        <w:tc>
          <w:tcPr>
            <w:tcW w:w="7627" w:type="dxa"/>
          </w:tcPr>
          <w:p w14:paraId="079DEBE8" w14:textId="77777777" w:rsidR="009C64EC" w:rsidRDefault="0076378E">
            <w:pPr>
              <w:spacing w:after="0"/>
              <w:rPr>
                <w:rFonts w:eastAsia="ＭＳ 明朝"/>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lastRenderedPageBreak/>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af9"/>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9"/>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af9"/>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9"/>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9"/>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af9"/>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9"/>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r w:rsidRPr="00864A04">
              <w:rPr>
                <w:bCs/>
                <w:lang w:eastAsia="zh-CN"/>
              </w:rPr>
              <w:t>InterDigital</w:t>
            </w:r>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456843">
            <w:pPr>
              <w:spacing w:after="0"/>
              <w:rPr>
                <w:bCs/>
                <w:lang w:eastAsia="zh-CN"/>
              </w:rPr>
            </w:pPr>
            <w:r>
              <w:rPr>
                <w:bCs/>
                <w:lang w:eastAsia="zh-CN"/>
              </w:rPr>
              <w:t>Apple</w:t>
            </w:r>
          </w:p>
        </w:tc>
        <w:tc>
          <w:tcPr>
            <w:tcW w:w="7627" w:type="dxa"/>
          </w:tcPr>
          <w:p w14:paraId="6F235914" w14:textId="77777777" w:rsidR="00B8794C" w:rsidRDefault="00B8794C" w:rsidP="00456843">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456843">
            <w:pPr>
              <w:spacing w:after="0"/>
              <w:rPr>
                <w:bCs/>
                <w:lang w:eastAsia="zh-CN"/>
              </w:rPr>
            </w:pPr>
            <w:r>
              <w:rPr>
                <w:rFonts w:hint="eastAsia"/>
                <w:bCs/>
                <w:lang w:eastAsia="zh-CN"/>
              </w:rPr>
              <w:t>S</w:t>
            </w:r>
            <w:r>
              <w:rPr>
                <w:bCs/>
                <w:lang w:eastAsia="zh-CN"/>
              </w:rPr>
              <w:t>preadtrum</w:t>
            </w:r>
          </w:p>
        </w:tc>
        <w:tc>
          <w:tcPr>
            <w:tcW w:w="7627" w:type="dxa"/>
          </w:tcPr>
          <w:p w14:paraId="486451B8" w14:textId="7528733C" w:rsidR="00721A3A" w:rsidRDefault="00721A3A" w:rsidP="00456843">
            <w:pPr>
              <w:spacing w:after="0"/>
              <w:rPr>
                <w:lang w:eastAsia="zh-CN"/>
              </w:rPr>
            </w:pPr>
            <w:r>
              <w:rPr>
                <w:rFonts w:hint="eastAsia"/>
                <w:lang w:eastAsia="zh-CN"/>
              </w:rPr>
              <w:t>S</w:t>
            </w:r>
            <w:r>
              <w:rPr>
                <w:lang w:eastAsia="zh-CN"/>
              </w:rPr>
              <w:t>upport</w:t>
            </w:r>
          </w:p>
        </w:tc>
      </w:tr>
      <w:tr w:rsidR="00AA42C0" w14:paraId="409170B8" w14:textId="77777777" w:rsidTr="00B8794C">
        <w:tc>
          <w:tcPr>
            <w:tcW w:w="2335" w:type="dxa"/>
          </w:tcPr>
          <w:p w14:paraId="047B11EF" w14:textId="1A01B45E" w:rsidR="00AA42C0" w:rsidRDefault="00AA42C0" w:rsidP="00AA42C0">
            <w:pPr>
              <w:spacing w:after="0"/>
              <w:rPr>
                <w:bCs/>
                <w:lang w:eastAsia="zh-CN"/>
              </w:rPr>
            </w:pPr>
            <w:r>
              <w:rPr>
                <w:bCs/>
                <w:lang w:eastAsia="zh-CN"/>
              </w:rPr>
              <w:t>QC</w:t>
            </w:r>
          </w:p>
        </w:tc>
        <w:tc>
          <w:tcPr>
            <w:tcW w:w="7627" w:type="dxa"/>
          </w:tcPr>
          <w:p w14:paraId="4E7129F4" w14:textId="77777777" w:rsidR="00AA42C0" w:rsidRDefault="00AA42C0" w:rsidP="00AA42C0">
            <w:pPr>
              <w:spacing w:after="0"/>
              <w:rPr>
                <w:lang w:eastAsia="zh-CN"/>
              </w:rPr>
            </w:pPr>
            <w:r>
              <w:rPr>
                <w:lang w:eastAsia="zh-CN"/>
              </w:rPr>
              <w:t>Support and prefer Option 1.</w:t>
            </w:r>
          </w:p>
          <w:p w14:paraId="66634B22" w14:textId="77777777" w:rsidR="00AA42C0" w:rsidRDefault="00AA42C0" w:rsidP="00AA42C0">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0A463ADC" w14:textId="77777777" w:rsidR="00AA42C0" w:rsidRDefault="00AA42C0" w:rsidP="00AA42C0">
            <w:pPr>
              <w:spacing w:after="0"/>
              <w:rPr>
                <w:lang w:eastAsia="zh-CN"/>
              </w:rPr>
            </w:pPr>
            <w:r>
              <w:rPr>
                <w:lang w:eastAsia="zh-CN"/>
              </w:rPr>
              <w:t>At any given instance its unlikely that fraction of cell-edge UEs outnumber cell-center UEs. So allowing a mixed pairing (with and without bundling) is useful as well.</w:t>
            </w:r>
          </w:p>
          <w:p w14:paraId="006BBF2A" w14:textId="434CC5CA" w:rsidR="00AA42C0" w:rsidRDefault="00AA42C0" w:rsidP="00AA42C0">
            <w:pPr>
              <w:spacing w:after="0"/>
              <w:rPr>
                <w:lang w:eastAsia="zh-CN"/>
              </w:rPr>
            </w:pPr>
            <w:r>
              <w:rPr>
                <w:lang w:eastAsia="zh-CN"/>
              </w:rPr>
              <w:t>R15 choice of odd/even slots for hopping sets a clear precedent. We should build on this.</w:t>
            </w:r>
          </w:p>
        </w:tc>
      </w:tr>
      <w:tr w:rsidR="00913291" w14:paraId="5968AF9D" w14:textId="77777777" w:rsidTr="00B8794C">
        <w:tc>
          <w:tcPr>
            <w:tcW w:w="2335" w:type="dxa"/>
          </w:tcPr>
          <w:p w14:paraId="2366670C" w14:textId="68BCC3BE" w:rsidR="00913291" w:rsidRDefault="00913291" w:rsidP="00AA42C0">
            <w:pPr>
              <w:spacing w:after="0"/>
              <w:rPr>
                <w:bCs/>
                <w:lang w:eastAsia="zh-CN"/>
              </w:rPr>
            </w:pPr>
            <w:r>
              <w:rPr>
                <w:bCs/>
                <w:lang w:eastAsia="zh-CN"/>
              </w:rPr>
              <w:t>Sharp</w:t>
            </w:r>
          </w:p>
        </w:tc>
        <w:tc>
          <w:tcPr>
            <w:tcW w:w="7627" w:type="dxa"/>
          </w:tcPr>
          <w:p w14:paraId="2A8C0A02" w14:textId="5860DFD0" w:rsidR="00913291" w:rsidRPr="00913291" w:rsidRDefault="00913291" w:rsidP="00AA42C0">
            <w:pPr>
              <w:spacing w:after="0"/>
              <w:rPr>
                <w:rFonts w:eastAsia="ＭＳ 明朝" w:hint="eastAsia"/>
                <w:lang w:eastAsia="ja-JP"/>
              </w:rPr>
            </w:pPr>
            <w:r>
              <w:rPr>
                <w:rFonts w:eastAsia="ＭＳ 明朝" w:hint="eastAsia"/>
                <w:lang w:eastAsia="ja-JP"/>
              </w:rPr>
              <w:t>S</w:t>
            </w:r>
            <w:r>
              <w:rPr>
                <w:rFonts w:eastAsia="ＭＳ 明朝"/>
                <w:lang w:eastAsia="ja-JP"/>
              </w:rPr>
              <w:t xml:space="preserve">upport and prefer </w:t>
            </w:r>
            <w:r w:rsidR="0069366D">
              <w:rPr>
                <w:rFonts w:eastAsia="ＭＳ 明朝"/>
                <w:lang w:eastAsia="ja-JP"/>
              </w:rPr>
              <w:t xml:space="preserve">either </w:t>
            </w:r>
            <w:r>
              <w:rPr>
                <w:rFonts w:eastAsia="ＭＳ 明朝"/>
                <w:lang w:eastAsia="ja-JP"/>
              </w:rPr>
              <w:t>Option 1 or Option 2.</w:t>
            </w:r>
          </w:p>
        </w:tc>
      </w:tr>
    </w:tbl>
    <w:p w14:paraId="55A57352" w14:textId="77777777" w:rsidR="000E2F7A" w:rsidRDefault="000E2F7A">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9"/>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1" w:name="_Ref54470658"/>
      <w:r>
        <w:t>References</w:t>
      </w:r>
      <w:bookmarkEnd w:id="21"/>
    </w:p>
    <w:tbl>
      <w:tblPr>
        <w:tblStyle w:val="af4"/>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3E348E">
            <w:pPr>
              <w:spacing w:before="0" w:after="0"/>
              <w:rPr>
                <w:iCs/>
                <w:u w:val="single"/>
                <w:lang w:eastAsia="zh-CN"/>
              </w:rPr>
            </w:pPr>
            <w:hyperlink r:id="rId14" w:tgtFrame="_parent" w:history="1">
              <w:r w:rsidR="0076378E">
                <w:rPr>
                  <w:rStyle w:val="af6"/>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3E348E">
            <w:pPr>
              <w:spacing w:before="0" w:after="0"/>
              <w:rPr>
                <w:iCs/>
                <w:u w:val="single"/>
                <w:lang w:eastAsia="zh-CN"/>
              </w:rPr>
            </w:pPr>
            <w:hyperlink r:id="rId15" w:tgtFrame="_parent" w:history="1">
              <w:r w:rsidR="0076378E">
                <w:rPr>
                  <w:rStyle w:val="af6"/>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3E348E">
            <w:pPr>
              <w:spacing w:before="0" w:after="0"/>
              <w:rPr>
                <w:iCs/>
                <w:u w:val="single"/>
                <w:lang w:eastAsia="zh-CN"/>
              </w:rPr>
            </w:pPr>
            <w:hyperlink r:id="rId16" w:tgtFrame="_parent" w:history="1">
              <w:r w:rsidR="0076378E">
                <w:rPr>
                  <w:rStyle w:val="af6"/>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3E348E">
            <w:pPr>
              <w:spacing w:before="0" w:after="0"/>
              <w:rPr>
                <w:iCs/>
                <w:u w:val="single"/>
                <w:lang w:eastAsia="zh-CN"/>
              </w:rPr>
            </w:pPr>
            <w:hyperlink r:id="rId17" w:tgtFrame="_parent" w:history="1">
              <w:r w:rsidR="0076378E">
                <w:rPr>
                  <w:rStyle w:val="af6"/>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3E348E">
            <w:pPr>
              <w:spacing w:before="0" w:after="0"/>
              <w:rPr>
                <w:iCs/>
                <w:u w:val="single"/>
                <w:lang w:eastAsia="zh-CN"/>
              </w:rPr>
            </w:pPr>
            <w:hyperlink r:id="rId18" w:tgtFrame="_parent" w:history="1">
              <w:r w:rsidR="0076378E">
                <w:rPr>
                  <w:rStyle w:val="af6"/>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3E348E">
            <w:pPr>
              <w:spacing w:before="0" w:after="0"/>
              <w:rPr>
                <w:iCs/>
                <w:u w:val="single"/>
                <w:lang w:eastAsia="zh-CN"/>
              </w:rPr>
            </w:pPr>
            <w:hyperlink r:id="rId19" w:tgtFrame="_parent" w:history="1">
              <w:r w:rsidR="0076378E">
                <w:rPr>
                  <w:rStyle w:val="af6"/>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3E348E">
            <w:pPr>
              <w:spacing w:before="0" w:after="0"/>
              <w:rPr>
                <w:iCs/>
                <w:u w:val="single"/>
                <w:lang w:eastAsia="zh-CN"/>
              </w:rPr>
            </w:pPr>
            <w:hyperlink r:id="rId20" w:tgtFrame="_parent" w:history="1">
              <w:r w:rsidR="0076378E">
                <w:rPr>
                  <w:rStyle w:val="af6"/>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3E348E">
            <w:pPr>
              <w:spacing w:before="0" w:after="0"/>
              <w:rPr>
                <w:iCs/>
                <w:u w:val="single"/>
                <w:lang w:eastAsia="zh-CN"/>
              </w:rPr>
            </w:pPr>
            <w:hyperlink r:id="rId21" w:tgtFrame="_parent" w:history="1">
              <w:r w:rsidR="0076378E">
                <w:rPr>
                  <w:rStyle w:val="af6"/>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3E348E">
            <w:pPr>
              <w:spacing w:before="0" w:after="0"/>
              <w:rPr>
                <w:iCs/>
                <w:u w:val="single"/>
                <w:lang w:eastAsia="zh-CN"/>
              </w:rPr>
            </w:pPr>
            <w:hyperlink r:id="rId22" w:tgtFrame="_parent" w:history="1">
              <w:r w:rsidR="0076378E">
                <w:rPr>
                  <w:rStyle w:val="af6"/>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3E348E">
            <w:pPr>
              <w:spacing w:before="0" w:after="0"/>
              <w:rPr>
                <w:iCs/>
                <w:u w:val="single"/>
                <w:lang w:eastAsia="zh-CN"/>
              </w:rPr>
            </w:pPr>
            <w:hyperlink r:id="rId23" w:tgtFrame="_parent" w:history="1">
              <w:r w:rsidR="0076378E">
                <w:rPr>
                  <w:rStyle w:val="af6"/>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3E348E">
            <w:pPr>
              <w:spacing w:before="0" w:after="0"/>
              <w:rPr>
                <w:iCs/>
                <w:u w:val="single"/>
                <w:lang w:eastAsia="zh-CN"/>
              </w:rPr>
            </w:pPr>
            <w:hyperlink r:id="rId24" w:tgtFrame="_parent" w:history="1">
              <w:r w:rsidR="0076378E">
                <w:rPr>
                  <w:rStyle w:val="af6"/>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3E348E">
            <w:pPr>
              <w:spacing w:before="0" w:after="0"/>
              <w:rPr>
                <w:iCs/>
                <w:u w:val="single"/>
                <w:lang w:eastAsia="zh-CN"/>
              </w:rPr>
            </w:pPr>
            <w:hyperlink r:id="rId25" w:tgtFrame="_parent" w:history="1">
              <w:r w:rsidR="0076378E">
                <w:rPr>
                  <w:rStyle w:val="af6"/>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3E348E">
            <w:pPr>
              <w:spacing w:before="0" w:after="0"/>
              <w:rPr>
                <w:iCs/>
                <w:u w:val="single"/>
                <w:lang w:eastAsia="zh-CN"/>
              </w:rPr>
            </w:pPr>
            <w:hyperlink r:id="rId26" w:tgtFrame="_parent" w:history="1">
              <w:r w:rsidR="0076378E">
                <w:rPr>
                  <w:rStyle w:val="af6"/>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3E348E">
            <w:pPr>
              <w:spacing w:before="0" w:after="0"/>
              <w:rPr>
                <w:iCs/>
                <w:u w:val="single"/>
                <w:lang w:eastAsia="zh-CN"/>
              </w:rPr>
            </w:pPr>
            <w:hyperlink r:id="rId27" w:tgtFrame="_parent" w:history="1">
              <w:r w:rsidR="0076378E">
                <w:rPr>
                  <w:rStyle w:val="af6"/>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3E348E">
            <w:pPr>
              <w:spacing w:before="0" w:after="0"/>
              <w:rPr>
                <w:iCs/>
                <w:u w:val="single"/>
                <w:lang w:eastAsia="zh-CN"/>
              </w:rPr>
            </w:pPr>
            <w:hyperlink r:id="rId28" w:tgtFrame="_parent" w:history="1">
              <w:r w:rsidR="0076378E">
                <w:rPr>
                  <w:rStyle w:val="af6"/>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3E348E">
            <w:pPr>
              <w:spacing w:before="0" w:after="0"/>
              <w:rPr>
                <w:iCs/>
                <w:u w:val="single"/>
                <w:lang w:eastAsia="zh-CN"/>
              </w:rPr>
            </w:pPr>
            <w:hyperlink r:id="rId29" w:tgtFrame="_parent" w:history="1">
              <w:r w:rsidR="0076378E">
                <w:rPr>
                  <w:rStyle w:val="af6"/>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3E348E">
            <w:pPr>
              <w:spacing w:before="0" w:after="0"/>
              <w:rPr>
                <w:iCs/>
                <w:u w:val="single"/>
                <w:lang w:eastAsia="zh-CN"/>
              </w:rPr>
            </w:pPr>
            <w:hyperlink r:id="rId30" w:tgtFrame="_parent" w:history="1">
              <w:r w:rsidR="0076378E">
                <w:rPr>
                  <w:rStyle w:val="af6"/>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3E348E">
            <w:pPr>
              <w:spacing w:before="0" w:after="0"/>
              <w:rPr>
                <w:iCs/>
                <w:u w:val="single"/>
                <w:lang w:eastAsia="zh-CN"/>
              </w:rPr>
            </w:pPr>
            <w:hyperlink r:id="rId31" w:tgtFrame="_parent" w:history="1">
              <w:r w:rsidR="0076378E">
                <w:rPr>
                  <w:rStyle w:val="af6"/>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3E348E">
            <w:pPr>
              <w:spacing w:before="0" w:after="0"/>
              <w:rPr>
                <w:iCs/>
                <w:u w:val="single"/>
                <w:lang w:eastAsia="zh-CN"/>
              </w:rPr>
            </w:pPr>
            <w:hyperlink r:id="rId32" w:tgtFrame="_parent" w:history="1">
              <w:r w:rsidR="0076378E">
                <w:rPr>
                  <w:rStyle w:val="af6"/>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3E348E">
            <w:pPr>
              <w:spacing w:before="0" w:after="0"/>
              <w:rPr>
                <w:iCs/>
                <w:u w:val="single"/>
                <w:lang w:eastAsia="zh-CN"/>
              </w:rPr>
            </w:pPr>
            <w:hyperlink r:id="rId33" w:tgtFrame="_parent" w:history="1">
              <w:r w:rsidR="0076378E">
                <w:rPr>
                  <w:rStyle w:val="af6"/>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3E348E">
            <w:pPr>
              <w:spacing w:before="0" w:after="0"/>
              <w:rPr>
                <w:iCs/>
                <w:u w:val="single"/>
                <w:lang w:eastAsia="zh-CN"/>
              </w:rPr>
            </w:pPr>
            <w:hyperlink r:id="rId34" w:tgtFrame="_parent" w:history="1">
              <w:r w:rsidR="0076378E">
                <w:rPr>
                  <w:rStyle w:val="af6"/>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3E348E">
            <w:pPr>
              <w:spacing w:before="0" w:after="0"/>
              <w:rPr>
                <w:iCs/>
                <w:u w:val="single"/>
                <w:lang w:eastAsia="zh-CN"/>
              </w:rPr>
            </w:pPr>
            <w:hyperlink r:id="rId35" w:tgtFrame="_parent" w:history="1">
              <w:r w:rsidR="0076378E">
                <w:rPr>
                  <w:rStyle w:val="af6"/>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39F8" w14:textId="77777777" w:rsidR="003E348E" w:rsidRDefault="003E348E">
      <w:pPr>
        <w:spacing w:after="0" w:line="240" w:lineRule="auto"/>
      </w:pPr>
      <w:r>
        <w:separator/>
      </w:r>
    </w:p>
  </w:endnote>
  <w:endnote w:type="continuationSeparator" w:id="0">
    <w:p w14:paraId="5541D8D0" w14:textId="77777777" w:rsidR="003E348E" w:rsidRDefault="003E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D23388" w:rsidRDefault="00D2338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B23B6EA" w14:textId="77777777" w:rsidR="00D23388" w:rsidRDefault="00D2338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580B0D5E" w:rsidR="00D23388" w:rsidRDefault="00D23388">
    <w:pPr>
      <w:pStyle w:val="ad"/>
      <w:ind w:right="360"/>
    </w:pPr>
    <w:r>
      <w:rPr>
        <w:rStyle w:val="af5"/>
      </w:rPr>
      <w:fldChar w:fldCharType="begin"/>
    </w:r>
    <w:r>
      <w:rPr>
        <w:rStyle w:val="af5"/>
      </w:rPr>
      <w:instrText xml:space="preserve"> PAGE </w:instrText>
    </w:r>
    <w:r>
      <w:rPr>
        <w:rStyle w:val="af5"/>
      </w:rPr>
      <w:fldChar w:fldCharType="separate"/>
    </w:r>
    <w:r w:rsidR="00721A3A">
      <w:rPr>
        <w:rStyle w:val="af5"/>
        <w:noProof/>
      </w:rPr>
      <w:t>21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21A3A">
      <w:rPr>
        <w:rStyle w:val="af5"/>
        <w:noProof/>
      </w:rPr>
      <w:t>24</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D43" w14:textId="77777777" w:rsidR="00A80796" w:rsidRDefault="00A8079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43BC" w14:textId="77777777" w:rsidR="003E348E" w:rsidRDefault="003E348E">
      <w:pPr>
        <w:spacing w:after="0" w:line="240" w:lineRule="auto"/>
      </w:pPr>
      <w:r>
        <w:separator/>
      </w:r>
    </w:p>
  </w:footnote>
  <w:footnote w:type="continuationSeparator" w:id="0">
    <w:p w14:paraId="5A78C5EF" w14:textId="77777777" w:rsidR="003E348E" w:rsidRDefault="003E3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F86" w14:textId="77777777" w:rsidR="00A80796" w:rsidRDefault="00A8079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4743" w14:textId="77777777" w:rsidR="00A80796" w:rsidRDefault="00A8079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ＭＳ 明朝"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F11EE0C-2804-4242-B3BE-3C01CDCF2A98}">
  <ds:schemaRefs>
    <ds:schemaRef ds:uri="http://schemas.openxmlformats.org/officeDocument/2006/bibliography"/>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10036</Words>
  <Characters>57211</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4</cp:revision>
  <cp:lastPrinted>2014-11-07T05:38:00Z</cp:lastPrinted>
  <dcterms:created xsi:type="dcterms:W3CDTF">2021-10-14T00:17:00Z</dcterms:created>
  <dcterms:modified xsi:type="dcterms:W3CDTF">2021-10-14T01:04:00Z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