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14:paraId="25C7B763" w14:textId="77777777" w:rsidR="003F6E82" w:rsidRDefault="00F00769">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871B27">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871B27">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871B27">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871B27">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871B27">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871B27">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871B27">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871B27">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871B27">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871B27">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871B27">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871B27">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871B27">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871B27">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871B27">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871B27">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871B27">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871B27">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 xml:space="preserve">Early indication of </w:t>
      </w:r>
      <w:proofErr w:type="spellStart"/>
      <w:r>
        <w:t>RedCap</w:t>
      </w:r>
      <w:proofErr w:type="spellEnd"/>
      <w:r>
        <w:t xml:space="preserve">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using PRACH part is significantly higher than using the PUSCH part, therefore we prefer to discuss the early indication by PUSCH part first (including the confirmation by RAN2</w:t>
            </w:r>
            <w:proofErr w:type="gramStart"/>
            <w:r>
              <w:rPr>
                <w:rFonts w:eastAsiaTheme="minorEastAsia"/>
                <w:lang w:val="en-US" w:eastAsia="zh-CN"/>
              </w:rPr>
              <w:t>), and</w:t>
            </w:r>
            <w:proofErr w:type="gramEnd"/>
            <w:r>
              <w:rPr>
                <w:rFonts w:eastAsiaTheme="minorEastAsia"/>
                <w:lang w:val="en-US" w:eastAsia="zh-CN"/>
              </w:rPr>
              <w:t xml:space="preserve">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56CCC7D7" w14:textId="77777777" w:rsidR="003F6E82" w:rsidRDefault="00F00769">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w:t>
            </w:r>
            <w:proofErr w:type="gramStart"/>
            <w:r>
              <w:rPr>
                <w:rFonts w:eastAsia="Yu Mincho"/>
                <w:lang w:val="en-US" w:eastAsia="ja-JP"/>
              </w:rPr>
              <w:t>has to</w:t>
            </w:r>
            <w:proofErr w:type="gramEnd"/>
            <w:r>
              <w:rPr>
                <w:rFonts w:eastAsia="Yu Mincho"/>
                <w:lang w:val="en-US" w:eastAsia="ja-JP"/>
              </w:rPr>
              <w:t xml:space="preserve">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UEs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together; </w:t>
            </w:r>
            <w:proofErr w:type="spellStart"/>
            <w:r>
              <w:rPr>
                <w:rFonts w:eastAsia="Yu Mincho"/>
                <w:lang w:val="en-US" w:eastAsia="ja-JP"/>
              </w:rPr>
              <w:t>RedCap</w:t>
            </w:r>
            <w:proofErr w:type="spellEnd"/>
            <w:r>
              <w:rPr>
                <w:rFonts w:eastAsia="Yu Mincho"/>
                <w:lang w:val="en-US" w:eastAsia="ja-JP"/>
              </w:rPr>
              <w:t xml:space="preserve"> UEs, in this case, are identified during the normal capability exchange. However, we can live with the proposal if the intent is to leave it to RAN2 and "from the RAN1 perspective" means one or </w:t>
            </w:r>
            <w:proofErr w:type="gramStart"/>
            <w:r>
              <w:rPr>
                <w:rFonts w:eastAsia="Yu Mincho"/>
                <w:lang w:val="en-US" w:eastAsia="ja-JP"/>
              </w:rPr>
              <w:t xml:space="preserve">both of the </w:t>
            </w:r>
            <w:proofErr w:type="spellStart"/>
            <w:r>
              <w:rPr>
                <w:rFonts w:eastAsia="Yu Mincho"/>
                <w:lang w:val="en-US" w:eastAsia="ja-JP"/>
              </w:rPr>
              <w:t>subbullets</w:t>
            </w:r>
            <w:proofErr w:type="spellEnd"/>
            <w:proofErr w:type="gram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separate indications in SIB1 for barring </w:t>
            </w:r>
            <w:proofErr w:type="spellStart"/>
            <w:r>
              <w:rPr>
                <w:lang w:val="en-US"/>
              </w:rPr>
              <w:t>RedCap</w:t>
            </w:r>
            <w:proofErr w:type="spellEnd"/>
            <w:r>
              <w:rPr>
                <w:lang w:val="en-US"/>
              </w:rPr>
              <w:t xml:space="preserve">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a </w:t>
            </w:r>
            <w:proofErr w:type="spellStart"/>
            <w:r>
              <w:rPr>
                <w:lang w:val="en-US"/>
              </w:rPr>
              <w:t>RedCap</w:t>
            </w:r>
            <w:proofErr w:type="spellEnd"/>
            <w:r>
              <w:rPr>
                <w:lang w:val="en-US"/>
              </w:rPr>
              <w:t xml:space="preserve">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w:t>
            </w:r>
            <w:proofErr w:type="gramStart"/>
            <w:r>
              <w:rPr>
                <w:lang w:val="en-US" w:eastAsia="ko-KR"/>
              </w:rPr>
              <w:t>don’t  think</w:t>
            </w:r>
            <w:proofErr w:type="gramEnd"/>
            <w:r>
              <w:rPr>
                <w:lang w:val="en-US" w:eastAsia="ko-KR"/>
              </w:rPr>
              <w:t xml:space="preserve">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 xml:space="preserve">Alt.1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w:t>
            </w:r>
            <w:proofErr w:type="spellStart"/>
            <w:r w:rsidRPr="00D739E9">
              <w:rPr>
                <w:rFonts w:eastAsiaTheme="minorEastAsia"/>
                <w:lang w:val="en-US" w:eastAsia="zh-CN"/>
              </w:rPr>
              <w:t>RedCap</w:t>
            </w:r>
            <w:proofErr w:type="spellEnd"/>
            <w:r w:rsidRPr="00D739E9">
              <w:rPr>
                <w:rFonts w:eastAsiaTheme="minorEastAsia"/>
                <w:lang w:val="en-US" w:eastAsia="zh-CN"/>
              </w:rPr>
              <w:t xml:space="preserve">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w:t>
            </w:r>
            <w:proofErr w:type="gramStart"/>
            <w:r>
              <w:rPr>
                <w:rFonts w:eastAsiaTheme="minorEastAsia"/>
                <w:lang w:val="en-US" w:eastAsia="zh-CN"/>
              </w:rPr>
              <w:t>MSG</w:t>
            </w:r>
            <w:proofErr w:type="gramEnd"/>
            <w:r>
              <w:rPr>
                <w:rFonts w:eastAsiaTheme="minorEastAsia"/>
                <w:lang w:val="en-US" w:eastAsia="zh-CN"/>
              </w:rPr>
              <w:t xml:space="preserve">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w:t>
            </w:r>
            <w:proofErr w:type="gramStart"/>
            <w:r>
              <w:rPr>
                <w:rFonts w:eastAsiaTheme="minorEastAsia"/>
                <w:lang w:val="en-US" w:eastAsia="zh-CN"/>
              </w:rPr>
              <w:t>to come</w:t>
            </w:r>
            <w:proofErr w:type="gramEnd"/>
            <w:r>
              <w:rPr>
                <w:rFonts w:eastAsiaTheme="minorEastAsia"/>
                <w:lang w:val="en-US" w:eastAsia="zh-CN"/>
              </w:rPr>
              <w:t xml:space="preserv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w:t>
            </w:r>
            <w:proofErr w:type="spellStart"/>
            <w:r>
              <w:rPr>
                <w:rFonts w:eastAsiaTheme="minorEastAsia" w:hint="eastAsia"/>
                <w:lang w:val="en-US" w:eastAsia="zh-CN"/>
              </w:rPr>
              <w:t>RedCap</w:t>
            </w:r>
            <w:proofErr w:type="spellEnd"/>
            <w:r>
              <w:rPr>
                <w:rFonts w:eastAsiaTheme="minorEastAsia" w:hint="eastAsia"/>
                <w:lang w:val="en-US" w:eastAsia="zh-CN"/>
              </w:rPr>
              <w:t xml:space="preserve">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and non-</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 xml:space="preserve">was possible). But, while not our preference, we can live with </w:t>
            </w:r>
            <w:proofErr w:type="spellStart"/>
            <w:r w:rsidRPr="000F260D">
              <w:rPr>
                <w:rFonts w:eastAsiaTheme="minorEastAsia"/>
                <w:lang w:val="en-US" w:eastAsia="zh-CN"/>
              </w:rPr>
              <w:t>thisas</w:t>
            </w:r>
            <w:proofErr w:type="spellEnd"/>
            <w:r w:rsidRPr="000F260D">
              <w:rPr>
                <w:rFonts w:eastAsiaTheme="minorEastAsia"/>
                <w:lang w:val="en-US" w:eastAsia="zh-CN"/>
              </w:rPr>
              <w:t xml:space="preserve">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2-step RACH and early identification via 2-step RACH are optional features for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Sharing of 2-Step RACH resources by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and non-</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lastRenderedPageBreak/>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rsidR="00FF10EF" w:rsidRPr="000F260D" w14:paraId="6F0C7976" w14:textId="77777777" w:rsidTr="00B31262">
        <w:tc>
          <w:tcPr>
            <w:tcW w:w="1479" w:type="dxa"/>
          </w:tcPr>
          <w:p w14:paraId="6C23A7F3" w14:textId="4E9C0EED" w:rsidR="00FF10EF" w:rsidRPr="00FF10EF" w:rsidRDefault="00FF10EF" w:rsidP="008E134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EEF115C" w14:textId="53F58744"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2479C878" w14:textId="77777777" w:rsidR="00FF10EF" w:rsidRDefault="00FF10EF" w:rsidP="008E1340">
            <w:pPr>
              <w:rPr>
                <w:rFonts w:eastAsiaTheme="minorEastAsia"/>
                <w:lang w:val="en-US" w:eastAsia="zh-CN"/>
              </w:rPr>
            </w:pPr>
          </w:p>
        </w:tc>
      </w:tr>
      <w:tr w:rsidR="00A856AE" w:rsidRPr="000F260D" w14:paraId="36279B9D" w14:textId="77777777" w:rsidTr="00B31262">
        <w:tc>
          <w:tcPr>
            <w:tcW w:w="1479" w:type="dxa"/>
          </w:tcPr>
          <w:p w14:paraId="7C3C836C" w14:textId="19ADC26F" w:rsidR="00A856AE" w:rsidRDefault="00A856AE" w:rsidP="00A856AE">
            <w:pPr>
              <w:rPr>
                <w:rFonts w:eastAsia="Yu Mincho"/>
                <w:lang w:eastAsia="ja-JP"/>
              </w:rPr>
            </w:pPr>
            <w:r>
              <w:t>SPRD</w:t>
            </w:r>
          </w:p>
        </w:tc>
        <w:tc>
          <w:tcPr>
            <w:tcW w:w="1372" w:type="dxa"/>
          </w:tcPr>
          <w:p w14:paraId="388AB55B" w14:textId="3A08D3B2" w:rsidR="00A856AE" w:rsidRDefault="00A856AE" w:rsidP="00A856AE">
            <w:pPr>
              <w:tabs>
                <w:tab w:val="left" w:pos="551"/>
              </w:tabs>
              <w:rPr>
                <w:rFonts w:eastAsia="Yu Mincho"/>
                <w:lang w:val="en-US" w:eastAsia="ja-JP"/>
              </w:rPr>
            </w:pPr>
            <w:r>
              <w:t>Y</w:t>
            </w:r>
          </w:p>
        </w:tc>
        <w:tc>
          <w:tcPr>
            <w:tcW w:w="6780" w:type="dxa"/>
          </w:tcPr>
          <w:p w14:paraId="3C5C25EC" w14:textId="77777777" w:rsidR="00A856AE" w:rsidRDefault="00A856AE" w:rsidP="00A856AE">
            <w:pPr>
              <w:rPr>
                <w:rFonts w:eastAsiaTheme="minorEastAsia"/>
                <w:lang w:val="en-US" w:eastAsia="zh-CN"/>
              </w:rPr>
            </w:pPr>
          </w:p>
        </w:tc>
      </w:tr>
      <w:tr w:rsidR="000465B2" w:rsidRPr="000F260D" w14:paraId="34D1561D" w14:textId="77777777" w:rsidTr="00B31262">
        <w:tc>
          <w:tcPr>
            <w:tcW w:w="1479" w:type="dxa"/>
          </w:tcPr>
          <w:p w14:paraId="0BF3AE78" w14:textId="5DE15ACB" w:rsidR="000465B2" w:rsidRDefault="000465B2" w:rsidP="00A856AE">
            <w:pPr>
              <w:rPr>
                <w:lang w:eastAsia="ko-KR"/>
              </w:rPr>
            </w:pPr>
            <w:r>
              <w:rPr>
                <w:rFonts w:hint="eastAsia"/>
                <w:lang w:eastAsia="ko-KR"/>
              </w:rPr>
              <w:t>LG</w:t>
            </w:r>
          </w:p>
        </w:tc>
        <w:tc>
          <w:tcPr>
            <w:tcW w:w="1372" w:type="dxa"/>
          </w:tcPr>
          <w:p w14:paraId="1E78DB68" w14:textId="296509CB" w:rsidR="000465B2" w:rsidRDefault="000465B2" w:rsidP="00A856AE">
            <w:pPr>
              <w:tabs>
                <w:tab w:val="left" w:pos="551"/>
              </w:tabs>
              <w:rPr>
                <w:lang w:eastAsia="ko-KR"/>
              </w:rPr>
            </w:pPr>
            <w:r>
              <w:rPr>
                <w:rFonts w:hint="eastAsia"/>
                <w:lang w:eastAsia="ko-KR"/>
              </w:rPr>
              <w:t>Y</w:t>
            </w:r>
          </w:p>
        </w:tc>
        <w:tc>
          <w:tcPr>
            <w:tcW w:w="6780" w:type="dxa"/>
          </w:tcPr>
          <w:p w14:paraId="1D85E5E5" w14:textId="1EE37599" w:rsidR="000465B2" w:rsidRDefault="000465B2" w:rsidP="00A856AE">
            <w:pPr>
              <w:rPr>
                <w:rFonts w:eastAsiaTheme="minorEastAsia"/>
                <w:lang w:val="en-US" w:eastAsia="ko-KR"/>
              </w:rPr>
            </w:pPr>
            <w:r>
              <w:rPr>
                <w:rFonts w:eastAsiaTheme="minorEastAsia" w:hint="eastAsia"/>
                <w:lang w:val="en-US" w:eastAsia="ko-KR"/>
              </w:rPr>
              <w:t>We prefer to remove Alt 2.</w:t>
            </w:r>
          </w:p>
        </w:tc>
      </w:tr>
      <w:tr w:rsidR="003655FA" w:rsidRPr="000F260D" w14:paraId="37B9C643" w14:textId="77777777" w:rsidTr="00B31262">
        <w:tc>
          <w:tcPr>
            <w:tcW w:w="1479" w:type="dxa"/>
          </w:tcPr>
          <w:p w14:paraId="62E5DDBC" w14:textId="15A6E013" w:rsidR="003655FA" w:rsidRDefault="003655FA" w:rsidP="00A856AE">
            <w:pPr>
              <w:rPr>
                <w:rFonts w:hint="eastAsia"/>
                <w:lang w:eastAsia="ko-KR"/>
              </w:rPr>
            </w:pPr>
            <w:r>
              <w:rPr>
                <w:lang w:eastAsia="ko-KR"/>
              </w:rPr>
              <w:t>Sierra Wireless</w:t>
            </w:r>
          </w:p>
        </w:tc>
        <w:tc>
          <w:tcPr>
            <w:tcW w:w="1372" w:type="dxa"/>
          </w:tcPr>
          <w:p w14:paraId="27786BFC" w14:textId="3DEEF692" w:rsidR="003655FA" w:rsidRDefault="003655FA" w:rsidP="00A856AE">
            <w:pPr>
              <w:tabs>
                <w:tab w:val="left" w:pos="551"/>
              </w:tabs>
              <w:rPr>
                <w:rFonts w:hint="eastAsia"/>
                <w:lang w:eastAsia="ko-KR"/>
              </w:rPr>
            </w:pPr>
            <w:r>
              <w:rPr>
                <w:lang w:eastAsia="ko-KR"/>
              </w:rPr>
              <w:t>Y</w:t>
            </w:r>
          </w:p>
        </w:tc>
        <w:tc>
          <w:tcPr>
            <w:tcW w:w="6780" w:type="dxa"/>
          </w:tcPr>
          <w:p w14:paraId="51D37198" w14:textId="46D87E28" w:rsidR="003655FA" w:rsidRDefault="003655FA" w:rsidP="00A856AE">
            <w:pPr>
              <w:rPr>
                <w:rFonts w:eastAsiaTheme="minorEastAsia" w:hint="eastAsia"/>
                <w:lang w:val="en-US" w:eastAsia="ko-KR"/>
              </w:rPr>
            </w:pPr>
            <w:r>
              <w:rPr>
                <w:rFonts w:eastAsiaTheme="minorEastAsia"/>
                <w:lang w:val="en-US" w:eastAsia="ko-KR"/>
              </w:rPr>
              <w:t>Agree with QC.</w:t>
            </w: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lastRenderedPageBreak/>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proofErr w:type="gramStart"/>
            <w:r>
              <w:rPr>
                <w:rFonts w:eastAsia="SimSun"/>
                <w:lang w:val="en-US" w:eastAsia="zh-CN"/>
              </w:rPr>
              <w:t>Again</w:t>
            </w:r>
            <w:proofErr w:type="gramEnd"/>
            <w:r>
              <w:rPr>
                <w:rFonts w:eastAsia="SimSun"/>
                <w:lang w:val="en-US" w:eastAsia="zh-CN"/>
              </w:rPr>
              <w:t xml:space="preserve"> our preference is not to support 2 step RACH </w:t>
            </w:r>
            <w:r>
              <w:rPr>
                <w:rFonts w:eastAsia="SimSun"/>
                <w:i/>
                <w:iCs/>
                <w:lang w:val="en-US" w:eastAsia="zh-CN"/>
              </w:rPr>
              <w:t>and</w:t>
            </w:r>
            <w:r>
              <w:rPr>
                <w:rFonts w:eastAsia="SimSun"/>
                <w:lang w:val="en-US" w:eastAsia="zh-CN"/>
              </w:rPr>
              <w:t xml:space="preserve"> early indication of </w:t>
            </w:r>
            <w:proofErr w:type="spellStart"/>
            <w:r>
              <w:rPr>
                <w:rFonts w:eastAsia="SimSun"/>
                <w:lang w:val="en-US" w:eastAsia="zh-CN"/>
              </w:rPr>
              <w:t>RedCap</w:t>
            </w:r>
            <w:proofErr w:type="spellEnd"/>
            <w:r>
              <w:rPr>
                <w:rFonts w:eastAsia="SimSun"/>
                <w:lang w:val="en-US" w:eastAsia="zh-CN"/>
              </w:rPr>
              <w:t xml:space="preserve">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w:t>
            </w:r>
            <w:proofErr w:type="gramStart"/>
            <w:r>
              <w:rPr>
                <w:rFonts w:eastAsia="SimSun"/>
                <w:lang w:eastAsia="zh-CN"/>
              </w:rPr>
              <w:t>similar to</w:t>
            </w:r>
            <w:proofErr w:type="gramEnd"/>
            <w:r>
              <w:rPr>
                <w:rFonts w:eastAsia="SimSun"/>
                <w:lang w:eastAsia="zh-CN"/>
              </w:rPr>
              <w:t xml:space="preserve">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lastRenderedPageBreak/>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resource is configured and can only be used by </w:t>
            </w:r>
            <w:proofErr w:type="spellStart"/>
            <w:r>
              <w:rPr>
                <w:rFonts w:eastAsia="Yu Mincho"/>
                <w:lang w:val="en-US" w:eastAsia="ja-JP"/>
              </w:rPr>
              <w:t>RedCap</w:t>
            </w:r>
            <w:proofErr w:type="spellEnd"/>
            <w:r>
              <w:rPr>
                <w:rFonts w:eastAsia="Yu Mincho"/>
                <w:lang w:val="en-US" w:eastAsia="ja-JP"/>
              </w:rPr>
              <w:t xml:space="preserve">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proofErr w:type="spellStart"/>
            <w:r>
              <w:rPr>
                <w:rFonts w:eastAsia="SimSun"/>
                <w:lang w:eastAsia="ja-JP"/>
              </w:rPr>
              <w:t>RedCap</w:t>
            </w:r>
            <w:proofErr w:type="spellEnd"/>
            <w:r>
              <w:rPr>
                <w:rFonts w:eastAsia="SimSun"/>
                <w:lang w:eastAsia="ja-JP"/>
              </w:rPr>
              <w:t>, early indication in Msg3 only works as a duplicated function. It is kind of a waste.</w:t>
            </w:r>
            <w:r>
              <w:rPr>
                <w:rFonts w:eastAsiaTheme="minorEastAsia" w:hint="eastAsia"/>
                <w:lang w:val="en-US" w:eastAsia="zh-CN"/>
              </w:rPr>
              <w:t xml:space="preserve"> </w:t>
            </w:r>
            <w:r>
              <w:rPr>
                <w:rFonts w:eastAsia="SimSun"/>
                <w:lang w:eastAsia="ja-JP"/>
              </w:rPr>
              <w:t>We prefer that in addition to “</w:t>
            </w:r>
            <w:proofErr w:type="spellStart"/>
            <w:r>
              <w:rPr>
                <w:rFonts w:eastAsia="SimSun"/>
                <w:lang w:eastAsia="ja-JP"/>
              </w:rPr>
              <w:t>RedCap</w:t>
            </w:r>
            <w:proofErr w:type="spellEnd"/>
            <w:r>
              <w:rPr>
                <w:rFonts w:eastAsia="SimSun"/>
                <w:lang w:eastAsia="ja-JP"/>
              </w:rPr>
              <w:t xml:space="preserve">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w:t>
            </w:r>
            <w:proofErr w:type="spellStart"/>
            <w:r>
              <w:rPr>
                <w:rFonts w:eastAsia="SimSun"/>
                <w:bCs/>
                <w:i/>
                <w:iCs/>
                <w:lang w:eastAsia="ja-JP"/>
              </w:rPr>
              <w:t>RedCap</w:t>
            </w:r>
            <w:proofErr w:type="spellEnd"/>
            <w:r>
              <w:rPr>
                <w:rFonts w:eastAsia="SimSun"/>
                <w:bCs/>
                <w:i/>
                <w:iCs/>
                <w:lang w:eastAsia="ja-JP"/>
              </w:rPr>
              <w:t xml:space="preserve"> </w:t>
            </w:r>
            <w:proofErr w:type="spellStart"/>
            <w:r>
              <w:rPr>
                <w:rFonts w:eastAsia="SimSun"/>
                <w:bCs/>
                <w:i/>
                <w:iCs/>
                <w:lang w:eastAsia="ja-JP"/>
              </w:rPr>
              <w:t>U</w:t>
            </w:r>
            <w:r w:rsidR="004C4161">
              <w:rPr>
                <w:rFonts w:eastAsia="SimSun"/>
                <w:bCs/>
                <w:i/>
                <w:iCs/>
                <w:lang w:eastAsia="ja-JP"/>
              </w:rPr>
              <w:t>e</w:t>
            </w:r>
            <w:r>
              <w:rPr>
                <w:rFonts w:eastAsia="SimSun"/>
                <w:bCs/>
                <w:i/>
                <w:iCs/>
                <w:lang w:eastAsia="ja-JP"/>
              </w:rPr>
              <w:t>s</w:t>
            </w:r>
            <w:proofErr w:type="spellEnd"/>
            <w:r>
              <w:rPr>
                <w:rFonts w:eastAsia="SimSun"/>
                <w:bCs/>
                <w:i/>
                <w:iCs/>
                <w:lang w:eastAsia="ja-JP"/>
              </w:rPr>
              <w:t xml:space="preserve">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proofErr w:type="gramStart"/>
            <w:r>
              <w:rPr>
                <w:rFonts w:eastAsia="Yu Mincho"/>
                <w:lang w:val="en-US" w:eastAsia="ja-JP"/>
              </w:rPr>
              <w:t>E.g.</w:t>
            </w:r>
            <w:proofErr w:type="gramEnd"/>
            <w:r>
              <w:rPr>
                <w:rFonts w:eastAsia="Yu Mincho"/>
                <w:lang w:val="en-US" w:eastAsia="ja-JP"/>
              </w:rPr>
              <w:t xml:space="preserve">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 xml:space="preserve">Vivo, OPPO, </w:t>
            </w:r>
            <w:proofErr w:type="spellStart"/>
            <w:r w:rsidRPr="00BC559F">
              <w:rPr>
                <w:rFonts w:eastAsiaTheme="minorEastAsia"/>
                <w:lang w:val="fr-FR" w:eastAsia="zh-CN"/>
              </w:rPr>
              <w:t>L</w:t>
            </w:r>
            <w:r w:rsidR="004C4161" w:rsidRPr="00BC559F">
              <w:rPr>
                <w:rFonts w:eastAsiaTheme="minorEastAsia"/>
                <w:lang w:val="fr-FR" w:eastAsia="zh-CN"/>
              </w:rPr>
              <w:t>g</w:t>
            </w:r>
            <w:r w:rsidRPr="00BC559F">
              <w:rPr>
                <w:rFonts w:eastAsiaTheme="minorEastAsia"/>
                <w:lang w:val="fr-FR" w:eastAsia="zh-CN"/>
              </w:rPr>
              <w:t>e</w:t>
            </w:r>
            <w:proofErr w:type="spellEnd"/>
            <w:r w:rsidRPr="00BC559F">
              <w:rPr>
                <w:rFonts w:eastAsiaTheme="minorEastAsia"/>
                <w:lang w:val="fr-FR" w:eastAsia="zh-CN"/>
              </w:rPr>
              <w:t xml:space="preserv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lastRenderedPageBreak/>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w:t>
      </w:r>
      <w:proofErr w:type="gramStart"/>
      <w:r>
        <w:t>it is clear that major</w:t>
      </w:r>
      <w:proofErr w:type="gramEnd"/>
      <w:r>
        <w:t xml:space="preserve">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b) Within the Contention free preamble resources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 xml:space="preserve">C: </w:t>
            </w:r>
            <w:proofErr w:type="gramStart"/>
            <w:r>
              <w:rPr>
                <w:rFonts w:ascii="Times New Roman" w:hAnsi="Times New Roman" w:cs="Times New Roman"/>
                <w:lang w:val="en-US"/>
              </w:rPr>
              <w:t>As a general rule</w:t>
            </w:r>
            <w:proofErr w:type="gramEnd"/>
            <w:r>
              <w:rPr>
                <w:rFonts w:ascii="Times New Roman" w:hAnsi="Times New Roman" w:cs="Times New Roman"/>
                <w:lang w:val="en-US"/>
              </w:rPr>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Pr>
                <w:rFonts w:ascii="Times New Roman" w:hAnsi="Times New Roman" w:cs="Times New Roman"/>
                <w:lang w:val="en-US"/>
              </w:rPr>
              <w:t>case by case</w:t>
            </w:r>
            <w:proofErr w:type="gramEnd"/>
            <w:r>
              <w:rPr>
                <w:rFonts w:ascii="Times New Roman" w:hAnsi="Times New Roman" w:cs="Times New Roman"/>
                <w:lang w:val="en-US"/>
              </w:rPr>
              <w:t xml:space="preserv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lastRenderedPageBreak/>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w:t>
            </w:r>
            <w:proofErr w:type="spellStart"/>
            <w:r>
              <w:rPr>
                <w:rFonts w:eastAsia="SimSun"/>
                <w:kern w:val="2"/>
                <w:lang w:val="en-US" w:eastAsia="zh-CN" w:bidi="ar"/>
              </w:rPr>
              <w:t>RedCap</w:t>
            </w:r>
            <w:proofErr w:type="spellEnd"/>
            <w:r>
              <w:rPr>
                <w:rFonts w:eastAsia="SimSun"/>
                <w:kern w:val="2"/>
                <w:lang w:val="en-US" w:eastAsia="zh-CN" w:bidi="ar"/>
              </w:rPr>
              <w:t xml:space="preserve"> UE with CE and </w:t>
            </w:r>
            <w:proofErr w:type="spellStart"/>
            <w:r>
              <w:rPr>
                <w:rFonts w:eastAsia="SimSun"/>
                <w:kern w:val="2"/>
                <w:lang w:val="en-US" w:eastAsia="zh-CN" w:bidi="ar"/>
              </w:rPr>
              <w:t>RedCap</w:t>
            </w:r>
            <w:proofErr w:type="spellEnd"/>
            <w:r>
              <w:rPr>
                <w:rFonts w:eastAsia="SimSun"/>
                <w:kern w:val="2"/>
                <w:lang w:val="en-US" w:eastAsia="zh-CN" w:bidi="ar"/>
              </w:rPr>
              <w:t xml:space="preserve"> UE without CE, non-</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w:t>
            </w:r>
            <w:proofErr w:type="spellStart"/>
            <w:r>
              <w:t>RedCap</w:t>
            </w:r>
            <w:proofErr w:type="spellEnd"/>
            <w:r>
              <w:t xml:space="preserve">,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proofErr w:type="spellStart"/>
            <w:r>
              <w:rPr>
                <w:rFonts w:eastAsiaTheme="minorEastAsia"/>
                <w:lang w:eastAsia="zh-CN"/>
              </w:rPr>
              <w:lastRenderedPageBreak/>
              <w:t>RedCap</w:t>
            </w:r>
            <w:proofErr w:type="spellEnd"/>
            <w:r>
              <w:rPr>
                <w:rFonts w:eastAsiaTheme="minorEastAsia"/>
                <w:lang w:eastAsia="zh-CN"/>
              </w:rPr>
              <w:t xml:space="preserve"> </w:t>
            </w:r>
            <w:proofErr w:type="spellStart"/>
            <w:proofErr w:type="gram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r w:rsidR="00FF10EF" w14:paraId="09A60642" w14:textId="77777777" w:rsidTr="003F3EA5">
        <w:tc>
          <w:tcPr>
            <w:tcW w:w="1479" w:type="dxa"/>
          </w:tcPr>
          <w:p w14:paraId="117692D7" w14:textId="0E9C77F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EBF80F" w14:textId="23B2F85A" w:rsidR="00FF10EF" w:rsidRPr="00FF10EF" w:rsidRDefault="00FF10EF" w:rsidP="009F3246">
            <w:pPr>
              <w:tabs>
                <w:tab w:val="left" w:pos="551"/>
              </w:tabs>
              <w:rPr>
                <w:rFonts w:eastAsia="Yu Mincho"/>
                <w:lang w:val="en-US" w:eastAsia="ja-JP"/>
              </w:rPr>
            </w:pPr>
            <w:r>
              <w:rPr>
                <w:rFonts w:eastAsia="Yu Mincho" w:hint="eastAsia"/>
                <w:lang w:val="en-US" w:eastAsia="ja-JP"/>
              </w:rPr>
              <w:t>Y</w:t>
            </w:r>
          </w:p>
        </w:tc>
        <w:tc>
          <w:tcPr>
            <w:tcW w:w="6780" w:type="dxa"/>
          </w:tcPr>
          <w:p w14:paraId="53980288" w14:textId="0B3EC486" w:rsidR="00FF10EF" w:rsidRDefault="00FF10EF" w:rsidP="009F3246">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Xiaomi’s comment, whether RO masking approach is also used for a particular feature/feature combination for Rel-17 RA partitioning is under the ongoing RAN2 discussion. RAN2 would handle it.  </w:t>
            </w:r>
          </w:p>
        </w:tc>
      </w:tr>
      <w:tr w:rsidR="00A856AE" w14:paraId="561C538A" w14:textId="77777777" w:rsidTr="003F3EA5">
        <w:tc>
          <w:tcPr>
            <w:tcW w:w="1479" w:type="dxa"/>
          </w:tcPr>
          <w:p w14:paraId="7DF00F1E" w14:textId="4F500946" w:rsidR="00A856AE" w:rsidRDefault="00A856AE" w:rsidP="00A856AE">
            <w:pPr>
              <w:rPr>
                <w:rFonts w:eastAsia="Yu Mincho"/>
                <w:lang w:val="en-US" w:eastAsia="ja-JP"/>
              </w:rPr>
            </w:pPr>
            <w:r>
              <w:t>SPRD</w:t>
            </w:r>
          </w:p>
        </w:tc>
        <w:tc>
          <w:tcPr>
            <w:tcW w:w="1372" w:type="dxa"/>
          </w:tcPr>
          <w:p w14:paraId="7D80E2D0" w14:textId="4C80A615" w:rsidR="00A856AE" w:rsidRDefault="00A856AE" w:rsidP="00A856AE">
            <w:pPr>
              <w:tabs>
                <w:tab w:val="left" w:pos="551"/>
              </w:tabs>
              <w:rPr>
                <w:rFonts w:eastAsia="Yu Mincho"/>
                <w:lang w:val="en-US" w:eastAsia="ja-JP"/>
              </w:rPr>
            </w:pPr>
            <w:r>
              <w:t>Y</w:t>
            </w:r>
          </w:p>
        </w:tc>
        <w:tc>
          <w:tcPr>
            <w:tcW w:w="6780" w:type="dxa"/>
          </w:tcPr>
          <w:p w14:paraId="548A3B93" w14:textId="7E7063CB" w:rsidR="00A856AE" w:rsidRDefault="00A856AE" w:rsidP="00A856AE">
            <w:pPr>
              <w:spacing w:after="120"/>
              <w:ind w:right="-101"/>
              <w:jc w:val="both"/>
              <w:rPr>
                <w:rFonts w:eastAsia="Yu Mincho"/>
                <w:lang w:eastAsia="ja-JP"/>
              </w:rPr>
            </w:pPr>
            <w:r>
              <w:t>Given RAN2 has an ongoing discussion on this aspect, we support the proposal.</w:t>
            </w:r>
          </w:p>
        </w:tc>
      </w:tr>
      <w:tr w:rsidR="003655FA" w14:paraId="34250C9E" w14:textId="77777777" w:rsidTr="003F3EA5">
        <w:tc>
          <w:tcPr>
            <w:tcW w:w="1479" w:type="dxa"/>
          </w:tcPr>
          <w:p w14:paraId="28F4BDA2" w14:textId="3F3FF391" w:rsidR="003655FA" w:rsidRDefault="003655FA" w:rsidP="00A856AE">
            <w:r>
              <w:t>Sierra Wireless</w:t>
            </w:r>
          </w:p>
        </w:tc>
        <w:tc>
          <w:tcPr>
            <w:tcW w:w="1372" w:type="dxa"/>
          </w:tcPr>
          <w:p w14:paraId="501BB1DD" w14:textId="136FE230" w:rsidR="003655FA" w:rsidRDefault="003655FA" w:rsidP="00A856AE">
            <w:pPr>
              <w:tabs>
                <w:tab w:val="left" w:pos="551"/>
              </w:tabs>
            </w:pPr>
            <w:r>
              <w:t>Y</w:t>
            </w:r>
          </w:p>
        </w:tc>
        <w:tc>
          <w:tcPr>
            <w:tcW w:w="6780" w:type="dxa"/>
          </w:tcPr>
          <w:p w14:paraId="51834619" w14:textId="77777777" w:rsidR="003655FA" w:rsidRDefault="003655FA" w:rsidP="00A856AE">
            <w:pPr>
              <w:spacing w:after="120"/>
              <w:ind w:right="-101"/>
              <w:jc w:val="both"/>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lastRenderedPageBreak/>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lastRenderedPageBreak/>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xml:space="preserve">,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 xml:space="preserve">As the WID description, the motivation of </w:t>
            </w:r>
            <w:proofErr w:type="spellStart"/>
            <w:r>
              <w:rPr>
                <w:rFonts w:eastAsia="SimSun" w:hint="eastAsia"/>
                <w:lang w:val="en-US" w:eastAsia="zh-CN"/>
              </w:rPr>
              <w:t>RedCap</w:t>
            </w:r>
            <w:proofErr w:type="spellEnd"/>
            <w:r>
              <w:rPr>
                <w:rFonts w:eastAsia="SimSun" w:hint="eastAsia"/>
                <w:lang w:val="en-US" w:eastAsia="zh-CN"/>
              </w:rPr>
              <w:t xml:space="preserve"> type definition is to identify a </w:t>
            </w:r>
            <w:proofErr w:type="spellStart"/>
            <w:r>
              <w:rPr>
                <w:rFonts w:eastAsia="SimSun" w:hint="eastAsia"/>
                <w:lang w:val="en-US" w:eastAsia="zh-CN"/>
              </w:rPr>
              <w:t>RedCap</w:t>
            </w:r>
            <w:proofErr w:type="spellEnd"/>
            <w:r>
              <w:rPr>
                <w:rFonts w:eastAsia="SimSun" w:hint="eastAsia"/>
                <w:lang w:val="en-US" w:eastAsia="zh-CN"/>
              </w:rPr>
              <w:t xml:space="preserve"> UE or preclude a non-</w:t>
            </w:r>
            <w:proofErr w:type="spellStart"/>
            <w:r>
              <w:rPr>
                <w:rFonts w:eastAsia="SimSun" w:hint="eastAsia"/>
                <w:lang w:val="en-US" w:eastAsia="zh-CN"/>
              </w:rPr>
              <w:t>RedCap</w:t>
            </w:r>
            <w:proofErr w:type="spellEnd"/>
            <w:r>
              <w:rPr>
                <w:rFonts w:eastAsia="SimSun" w:hint="eastAsia"/>
                <w:lang w:val="en-US" w:eastAsia="zh-CN"/>
              </w:rPr>
              <w:t xml:space="preserve"> UE.</w:t>
            </w:r>
          </w:p>
          <w:p w14:paraId="56F92051" w14:textId="77777777" w:rsidR="003F6E82" w:rsidRDefault="00F00769">
            <w:pPr>
              <w:rPr>
                <w:rFonts w:eastAsia="SimSun"/>
                <w:lang w:val="en-US" w:eastAsia="zh-CN"/>
              </w:rPr>
            </w:pPr>
            <w:r>
              <w:rPr>
                <w:rFonts w:eastAsia="SimSun" w:hint="eastAsia"/>
                <w:lang w:val="en-US" w:eastAsia="zh-CN"/>
              </w:rPr>
              <w:t xml:space="preserve">Only bandwidth is not enough to declare itself a </w:t>
            </w:r>
            <w:proofErr w:type="spellStart"/>
            <w:r>
              <w:rPr>
                <w:rFonts w:eastAsia="SimSun" w:hint="eastAsia"/>
                <w:lang w:val="en-US" w:eastAsia="zh-CN"/>
              </w:rPr>
              <w:t>RedCap</w:t>
            </w:r>
            <w:proofErr w:type="spellEnd"/>
            <w:r>
              <w:rPr>
                <w:rFonts w:eastAsia="SimSun" w:hint="eastAsia"/>
                <w:lang w:val="en-US" w:eastAsia="zh-CN"/>
              </w:rPr>
              <w:t xml:space="preserve">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w:t>
            </w:r>
            <w:proofErr w:type="spellStart"/>
            <w:r>
              <w:rPr>
                <w:rFonts w:eastAsia="SimSun" w:hint="eastAsia"/>
                <w:lang w:val="en-US" w:eastAsia="zh-CN"/>
              </w:rPr>
              <w:t>RedCap</w:t>
            </w:r>
            <w:proofErr w:type="spellEnd"/>
            <w:r>
              <w:rPr>
                <w:rFonts w:eastAsia="SimSun" w:hint="eastAsia"/>
                <w:lang w:val="en-US" w:eastAsia="zh-CN"/>
              </w:rPr>
              <w:t xml:space="preserve"> UE, therefore, it also can be considered for the </w:t>
            </w:r>
            <w:proofErr w:type="spellStart"/>
            <w:r>
              <w:rPr>
                <w:rFonts w:eastAsia="SimSun" w:hint="eastAsia"/>
                <w:lang w:val="en-US" w:eastAsia="zh-CN"/>
              </w:rPr>
              <w:t>RedCap</w:t>
            </w:r>
            <w:proofErr w:type="spellEnd"/>
            <w:r>
              <w:rPr>
                <w:rFonts w:eastAsia="SimSun" w:hint="eastAsia"/>
                <w:lang w:val="en-US" w:eastAsia="zh-CN"/>
              </w:rPr>
              <w:t xml:space="preserve">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w:t>
            </w:r>
            <w:proofErr w:type="spellStart"/>
            <w:r>
              <w:rPr>
                <w:rFonts w:eastAsia="DengXian"/>
                <w:sz w:val="22"/>
                <w:lang w:eastAsia="zh-CN"/>
              </w:rPr>
              <w:t>RedCap</w:t>
            </w:r>
            <w:proofErr w:type="spellEnd"/>
            <w:r>
              <w:rPr>
                <w:rFonts w:eastAsia="DengXian"/>
                <w:sz w:val="22"/>
                <w:lang w:eastAsia="zh-CN"/>
              </w:rPr>
              <w:t xml:space="preserve">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w:t>
            </w:r>
            <w:proofErr w:type="spellStart"/>
            <w:r>
              <w:rPr>
                <w:rFonts w:eastAsia="DengXian"/>
                <w:sz w:val="22"/>
                <w:lang w:eastAsia="zh-CN"/>
              </w:rPr>
              <w:t>RedCap</w:t>
            </w:r>
            <w:proofErr w:type="spellEnd"/>
            <w:r>
              <w:rPr>
                <w:rFonts w:eastAsia="DengXian"/>
                <w:sz w:val="22"/>
                <w:lang w:eastAsia="zh-CN"/>
              </w:rPr>
              <w:t xml:space="preserve">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w:t>
            </w:r>
            <w:proofErr w:type="spellStart"/>
            <w:r>
              <w:rPr>
                <w:rFonts w:eastAsia="DengXian"/>
                <w:sz w:val="22"/>
                <w:lang w:eastAsia="zh-CN"/>
              </w:rPr>
              <w:t>RedCap</w:t>
            </w:r>
            <w:proofErr w:type="spellEnd"/>
            <w:r>
              <w:rPr>
                <w:rFonts w:eastAsia="DengXian"/>
                <w:sz w:val="22"/>
                <w:lang w:eastAsia="zh-CN"/>
              </w:rPr>
              <w:t xml:space="preserve"> capabilities only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lastRenderedPageBreak/>
              <w:t></w:t>
            </w:r>
            <w:r>
              <w:rPr>
                <w:rFonts w:eastAsia="DengXian"/>
                <w:sz w:val="22"/>
                <w:lang w:eastAsia="zh-CN"/>
              </w:rPr>
              <w:tab/>
              <w:t xml:space="preserve">For preventing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from using capabilities not intended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In our understanding, the second bullet implies that non-</w:t>
            </w:r>
            <w:proofErr w:type="spellStart"/>
            <w:r>
              <w:rPr>
                <w:rFonts w:eastAsia="DengXian"/>
                <w:sz w:val="22"/>
                <w:lang w:eastAsia="zh-CN"/>
              </w:rPr>
              <w:t>RedCap</w:t>
            </w:r>
            <w:proofErr w:type="spellEnd"/>
            <w:r>
              <w:rPr>
                <w:rFonts w:eastAsia="DengXian"/>
                <w:sz w:val="22"/>
                <w:lang w:eastAsia="zh-CN"/>
              </w:rPr>
              <w:t xml:space="preserve">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w:t>
            </w:r>
            <w:proofErr w:type="spellStart"/>
            <w:r>
              <w:rPr>
                <w:rFonts w:eastAsia="DengXian"/>
                <w:sz w:val="22"/>
                <w:lang w:eastAsia="zh-CN"/>
              </w:rPr>
              <w:t>RedCap</w:t>
            </w:r>
            <w:proofErr w:type="spellEnd"/>
            <w:r>
              <w:rPr>
                <w:rFonts w:eastAsia="DengXian"/>
                <w:sz w:val="22"/>
                <w:lang w:eastAsia="zh-CN"/>
              </w:rPr>
              <w:t xml:space="preserve"> are not constrained in the capabilities </w:t>
            </w:r>
            <w:proofErr w:type="gramStart"/>
            <w:r>
              <w:rPr>
                <w:rFonts w:eastAsia="DengXian"/>
                <w:sz w:val="22"/>
                <w:lang w:eastAsia="zh-CN"/>
              </w:rPr>
              <w:t>not included</w:t>
            </w:r>
            <w:proofErr w:type="gramEnd"/>
            <w:r>
              <w:rPr>
                <w:rFonts w:eastAsia="DengXian"/>
                <w:sz w:val="22"/>
                <w:lang w:eastAsia="zh-CN"/>
              </w:rPr>
              <w:t xml:space="preserve"> the </w:t>
            </w:r>
            <w:proofErr w:type="spellStart"/>
            <w:r>
              <w:rPr>
                <w:rFonts w:eastAsia="DengXian"/>
                <w:sz w:val="22"/>
                <w:lang w:eastAsia="zh-CN"/>
              </w:rPr>
              <w:t>RedCap</w:t>
            </w:r>
            <w:proofErr w:type="spellEnd"/>
            <w:r>
              <w:rPr>
                <w:rFonts w:eastAsia="DengXian"/>
                <w:sz w:val="22"/>
                <w:lang w:eastAsia="zh-CN"/>
              </w:rPr>
              <w:t xml:space="preserve"> definition. For example, if reduced Rx is not included in the </w:t>
            </w:r>
            <w:proofErr w:type="spellStart"/>
            <w:r>
              <w:rPr>
                <w:rFonts w:eastAsia="DengXian"/>
                <w:sz w:val="22"/>
                <w:lang w:eastAsia="zh-CN"/>
              </w:rPr>
              <w:t>RedCap</w:t>
            </w:r>
            <w:proofErr w:type="spellEnd"/>
            <w:r>
              <w:rPr>
                <w:rFonts w:eastAsia="DengXian"/>
                <w:sz w:val="22"/>
                <w:lang w:eastAsia="zh-CN"/>
              </w:rPr>
              <w:t xml:space="preserve"> definition, the consequence may become that the </w:t>
            </w:r>
            <w:proofErr w:type="spellStart"/>
            <w:r>
              <w:rPr>
                <w:rFonts w:eastAsia="DengXian"/>
                <w:sz w:val="22"/>
                <w:lang w:eastAsia="zh-CN"/>
              </w:rPr>
              <w:t>RedCap</w:t>
            </w:r>
            <w:proofErr w:type="spellEnd"/>
            <w:r>
              <w:rPr>
                <w:rFonts w:eastAsia="DengXian"/>
                <w:sz w:val="22"/>
                <w:lang w:eastAsia="zh-CN"/>
              </w:rPr>
              <w:t xml:space="preserve"> may use the same number of Rx with non-</w:t>
            </w:r>
            <w:proofErr w:type="spellStart"/>
            <w:r>
              <w:rPr>
                <w:rFonts w:eastAsia="DengXian"/>
                <w:sz w:val="22"/>
                <w:lang w:eastAsia="zh-CN"/>
              </w:rPr>
              <w:t>RedCap</w:t>
            </w:r>
            <w:proofErr w:type="spellEnd"/>
            <w:r>
              <w:rPr>
                <w:rFonts w:eastAsia="DengXian"/>
                <w:sz w:val="22"/>
                <w:lang w:eastAsia="zh-CN"/>
              </w:rPr>
              <w:t xml:space="preserve"> e.g., 20MHz+4Rx in TDD band or the non-</w:t>
            </w:r>
            <w:proofErr w:type="spellStart"/>
            <w:r>
              <w:rPr>
                <w:rFonts w:eastAsia="DengXian"/>
                <w:sz w:val="22"/>
                <w:lang w:eastAsia="zh-CN"/>
              </w:rPr>
              <w:t>RedCap</w:t>
            </w:r>
            <w:proofErr w:type="spellEnd"/>
            <w:r>
              <w:rPr>
                <w:rFonts w:eastAsia="DengXian"/>
                <w:sz w:val="22"/>
                <w:lang w:eastAsia="zh-CN"/>
              </w:rPr>
              <w:t xml:space="preserve">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lastRenderedPageBreak/>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w:t>
            </w:r>
            <w:proofErr w:type="gramStart"/>
            <w:r>
              <w:t>8.17.6</w:t>
            </w:r>
            <w:proofErr w:type="gramEnd"/>
            <w:r>
              <w:t xml:space="preserve">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w:t>
            </w:r>
            <w:proofErr w:type="spellStart"/>
            <w:r>
              <w:rPr>
                <w:rFonts w:eastAsia="SimSun"/>
                <w:lang w:val="en-US" w:eastAsia="zh-CN"/>
              </w:rPr>
              <w:t>RedCap</w:t>
            </w:r>
            <w:proofErr w:type="spellEnd"/>
            <w:r>
              <w:rPr>
                <w:rFonts w:eastAsia="SimSun"/>
                <w:lang w:val="en-US" w:eastAsia="zh-CN"/>
              </w:rPr>
              <w:t xml:space="preserve"> UEs.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 xml:space="preserve">The remaining are all additional optional characteristics of </w:t>
            </w:r>
            <w:proofErr w:type="spellStart"/>
            <w:r>
              <w:rPr>
                <w:rFonts w:eastAsia="SimSun"/>
                <w:lang w:val="en-US" w:eastAsia="zh-CN"/>
              </w:rPr>
              <w:t>RedCap</w:t>
            </w:r>
            <w:proofErr w:type="spellEnd"/>
            <w:r>
              <w:rPr>
                <w:rFonts w:eastAsia="SimSun"/>
                <w:lang w:val="en-US" w:eastAsia="zh-CN"/>
              </w:rPr>
              <w:t xml:space="preserve"> UEs that will be captured anyway and does not need to be part of the definition. In fact, they do not uniquely identify </w:t>
            </w:r>
            <w:proofErr w:type="spellStart"/>
            <w:r>
              <w:rPr>
                <w:rFonts w:eastAsia="SimSun"/>
                <w:lang w:val="en-US" w:eastAsia="zh-CN"/>
              </w:rPr>
              <w:t>RedCap</w:t>
            </w:r>
            <w:proofErr w:type="spellEnd"/>
            <w:r>
              <w:rPr>
                <w:rFonts w:eastAsia="SimSun"/>
                <w:lang w:val="en-US" w:eastAsia="zh-CN"/>
              </w:rPr>
              <w:t xml:space="preserve"> UEs (e.g., # of DL MIMO layers in bands requiring up to 2 DL MIMO layers for non-</w:t>
            </w:r>
            <w:proofErr w:type="spellStart"/>
            <w:r>
              <w:rPr>
                <w:rFonts w:eastAsia="SimSun"/>
                <w:lang w:val="en-US" w:eastAsia="zh-CN"/>
              </w:rPr>
              <w:t>RedCap</w:t>
            </w:r>
            <w:proofErr w:type="spellEnd"/>
            <w:r>
              <w:rPr>
                <w:rFonts w:eastAsia="SimSun"/>
                <w:lang w:val="en-US" w:eastAsia="zh-CN"/>
              </w:rPr>
              <w:t xml:space="preserve">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SimSun"/>
                <w:szCs w:val="21"/>
              </w:rPr>
              <w:t xml:space="preserve">capabilities should be added in </w:t>
            </w:r>
            <w:proofErr w:type="spellStart"/>
            <w:r>
              <w:rPr>
                <w:rFonts w:eastAsia="SimSun"/>
                <w:szCs w:val="21"/>
              </w:rPr>
              <w:t>RedCap</w:t>
            </w:r>
            <w:proofErr w:type="spellEnd"/>
            <w:r>
              <w:rPr>
                <w:rFonts w:eastAsia="SimSun"/>
                <w:szCs w:val="21"/>
              </w:rPr>
              <w:t xml:space="preserve">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w:t>
            </w:r>
            <w:proofErr w:type="spellStart"/>
            <w:r>
              <w:rPr>
                <w:lang w:eastAsia="zh-CN"/>
              </w:rPr>
              <w:t>RedCap</w:t>
            </w:r>
            <w:proofErr w:type="spellEnd"/>
            <w:r>
              <w:rPr>
                <w:lang w:eastAsia="zh-CN"/>
              </w:rPr>
              <w:t xml:space="preserve"> UE type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w:t>
            </w:r>
            <w:proofErr w:type="gramStart"/>
            <w:r>
              <w:rPr>
                <w:lang w:eastAsia="zh-CN"/>
              </w:rPr>
              <w:t>devices, and</w:t>
            </w:r>
            <w:proofErr w:type="gramEnd"/>
            <w:r>
              <w:rPr>
                <w:lang w:eastAsia="zh-CN"/>
              </w:rPr>
              <w:t xml:space="preserve">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w:t>
            </w:r>
            <w:proofErr w:type="gramStart"/>
            <w:r>
              <w:rPr>
                <w:rFonts w:hint="eastAsia"/>
                <w:lang w:val="en-US" w:eastAsia="zh-CN"/>
              </w:rPr>
              <w:t xml:space="preserve">is </w:t>
            </w:r>
            <w:r>
              <w:rPr>
                <w:lang w:val="en-US" w:eastAsia="zh-CN"/>
              </w:rPr>
              <w:t>”</w:t>
            </w:r>
            <w:r>
              <w:rPr>
                <w:rFonts w:eastAsia="SimSun"/>
                <w:bCs/>
                <w:i/>
                <w:iCs/>
                <w:lang w:val="en-US" w:eastAsia="ja-JP"/>
              </w:rPr>
              <w:t>Specify</w:t>
            </w:r>
            <w:proofErr w:type="gramEnd"/>
            <w:r>
              <w:rPr>
                <w:rFonts w:eastAsia="SimSun"/>
                <w:bCs/>
                <w:i/>
                <w:iCs/>
                <w:lang w:val="en-US" w:eastAsia="ja-JP"/>
              </w:rPr>
              <w:t xml:space="preserve"> definition of one </w:t>
            </w:r>
            <w:proofErr w:type="spellStart"/>
            <w:r>
              <w:rPr>
                <w:rFonts w:eastAsia="SimSun"/>
                <w:bCs/>
                <w:i/>
                <w:iCs/>
                <w:lang w:val="en-US" w:eastAsia="ja-JP"/>
              </w:rPr>
              <w:t>RedCap</w:t>
            </w:r>
            <w:proofErr w:type="spellEnd"/>
            <w:r>
              <w:rPr>
                <w:rFonts w:eastAsia="SimSun"/>
                <w:bCs/>
                <w:i/>
                <w:iCs/>
                <w:lang w:val="en-US" w:eastAsia="ja-JP"/>
              </w:rPr>
              <w:t xml:space="preserve"> UE type including capabilities for </w:t>
            </w:r>
            <w:proofErr w:type="spellStart"/>
            <w:r>
              <w:rPr>
                <w:rFonts w:eastAsia="SimSun"/>
                <w:bCs/>
                <w:i/>
                <w:iCs/>
                <w:lang w:val="en-US" w:eastAsia="ja-JP"/>
              </w:rPr>
              <w:t>RedCap</w:t>
            </w:r>
            <w:proofErr w:type="spellEnd"/>
            <w:r>
              <w:rPr>
                <w:rFonts w:eastAsia="SimSun"/>
                <w:bCs/>
                <w:i/>
                <w:iCs/>
                <w:lang w:val="en-US" w:eastAsia="ja-JP"/>
              </w:rPr>
              <w:t xml:space="preserve"> UE identification and for constraining the use of those </w:t>
            </w:r>
            <w:proofErr w:type="spellStart"/>
            <w:r>
              <w:rPr>
                <w:rFonts w:eastAsia="SimSun"/>
                <w:bCs/>
                <w:i/>
                <w:iCs/>
                <w:lang w:val="en-US" w:eastAsia="ja-JP"/>
              </w:rPr>
              <w:t>RedCap</w:t>
            </w:r>
            <w:proofErr w:type="spellEnd"/>
            <w:r>
              <w:rPr>
                <w:rFonts w:eastAsia="SimSun"/>
                <w:bCs/>
                <w:i/>
                <w:iCs/>
                <w:lang w:val="en-US" w:eastAsia="ja-JP"/>
              </w:rPr>
              <w:t xml:space="preserve"> capabilities only for </w:t>
            </w:r>
            <w:proofErr w:type="spellStart"/>
            <w:r>
              <w:rPr>
                <w:rFonts w:eastAsia="SimSun"/>
                <w:bCs/>
                <w:i/>
                <w:iCs/>
                <w:lang w:val="en-US" w:eastAsia="ja-JP"/>
              </w:rPr>
              <w:t>RedCap</w:t>
            </w:r>
            <w:proofErr w:type="spellEnd"/>
            <w:r>
              <w:rPr>
                <w:rFonts w:eastAsia="SimSun"/>
                <w:bCs/>
                <w:i/>
                <w:iCs/>
                <w:lang w:val="en-US" w:eastAsia="ja-JP"/>
              </w:rPr>
              <w:t xml:space="preserve"> UEs, and preventing </w:t>
            </w:r>
            <w:proofErr w:type="spellStart"/>
            <w:r>
              <w:rPr>
                <w:rFonts w:eastAsia="SimSun"/>
                <w:bCs/>
                <w:i/>
                <w:iCs/>
                <w:lang w:val="en-US" w:eastAsia="ja-JP"/>
              </w:rPr>
              <w:t>RedCap</w:t>
            </w:r>
            <w:proofErr w:type="spellEnd"/>
            <w:r>
              <w:rPr>
                <w:rFonts w:eastAsia="SimSun"/>
                <w:bCs/>
                <w:i/>
                <w:iCs/>
                <w:lang w:val="en-US" w:eastAsia="ja-JP"/>
              </w:rPr>
              <w:t xml:space="preserve"> UEs from using capabilities not intended for </w:t>
            </w:r>
            <w:proofErr w:type="spellStart"/>
            <w:r>
              <w:rPr>
                <w:rFonts w:eastAsia="SimSun"/>
                <w:bCs/>
                <w:i/>
                <w:iCs/>
                <w:lang w:val="en-US" w:eastAsia="ja-JP"/>
              </w:rPr>
              <w:t>RedCap</w:t>
            </w:r>
            <w:proofErr w:type="spellEnd"/>
            <w:r>
              <w:rPr>
                <w:rFonts w:eastAsia="SimSun"/>
                <w:bCs/>
                <w:i/>
                <w:iCs/>
                <w:lang w:val="en-US" w:eastAsia="ja-JP"/>
              </w:rPr>
              <w:t xml:space="preserve">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 xml:space="preserve">o constrain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w:t>
            </w:r>
            <w:r>
              <w:rPr>
                <w:rFonts w:eastAsia="DengXian" w:hint="eastAsia"/>
                <w:lang w:val="en-US" w:eastAsia="zh-CN"/>
              </w:rPr>
              <w:t xml:space="preserve"> and prevent </w:t>
            </w:r>
            <w:proofErr w:type="spellStart"/>
            <w:r>
              <w:rPr>
                <w:rFonts w:eastAsia="DengXian"/>
                <w:lang w:eastAsia="zh-CN"/>
              </w:rPr>
              <w:t>RedCap</w:t>
            </w:r>
            <w:proofErr w:type="spellEnd"/>
            <w:r>
              <w:rPr>
                <w:rFonts w:eastAsia="DengXian"/>
                <w:lang w:eastAsia="zh-CN"/>
              </w:rPr>
              <w:t xml:space="preserve">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xml:space="preserve">, it should be clear enough that what </w:t>
            </w:r>
            <w:proofErr w:type="spellStart"/>
            <w:r>
              <w:rPr>
                <w:rFonts w:eastAsia="DengXian"/>
                <w:lang w:eastAsia="zh-CN"/>
              </w:rPr>
              <w:t>RedCap</w:t>
            </w:r>
            <w:proofErr w:type="spellEnd"/>
            <w:r>
              <w:rPr>
                <w:rFonts w:eastAsia="DengXian"/>
                <w:lang w:eastAsia="zh-CN"/>
              </w:rPr>
              <w:t xml:space="preserve"> capabilities they are supposed to use</w:t>
            </w:r>
            <w:r>
              <w:rPr>
                <w:rFonts w:eastAsia="DengXian" w:hint="eastAsia"/>
                <w:lang w:val="en-US" w:eastAsia="zh-CN"/>
              </w:rPr>
              <w:t xml:space="preserve"> for </w:t>
            </w:r>
            <w:proofErr w:type="spellStart"/>
            <w:r>
              <w:rPr>
                <w:rFonts w:eastAsia="DengXian"/>
                <w:lang w:eastAsia="zh-CN"/>
              </w:rPr>
              <w:t>RedCap</w:t>
            </w:r>
            <w:proofErr w:type="spellEnd"/>
            <w:r>
              <w:rPr>
                <w:rFonts w:eastAsia="DengXian"/>
                <w:lang w:eastAsia="zh-CN"/>
              </w:rPr>
              <w:t xml:space="preserve">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 xml:space="preserve">No special conclusion needed. RAN2 will also proceed as they are leading group. The conclusion in RAN1 will </w:t>
            </w:r>
            <w:proofErr w:type="gramStart"/>
            <w:r>
              <w:rPr>
                <w:rFonts w:eastAsiaTheme="minorEastAsia"/>
                <w:lang w:val="en-US" w:eastAsia="zh-CN"/>
              </w:rPr>
              <w:t>unnecessary</w:t>
            </w:r>
            <w:proofErr w:type="gramEnd"/>
            <w:r>
              <w:rPr>
                <w:rFonts w:eastAsiaTheme="minorEastAsia"/>
                <w:lang w:val="en-US" w:eastAsia="zh-CN"/>
              </w:rPr>
              <w:t xml:space="preserve">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r w:rsidR="00FF10EF" w14:paraId="59A33C4E" w14:textId="77777777" w:rsidTr="00B31262">
        <w:tc>
          <w:tcPr>
            <w:tcW w:w="1479" w:type="dxa"/>
          </w:tcPr>
          <w:p w14:paraId="0991679E" w14:textId="00A8093E" w:rsidR="00FF10EF" w:rsidRPr="00FF10EF" w:rsidRDefault="00FF10EF"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40BDCA" w14:textId="49773A4F"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10BDBA5D" w14:textId="77777777" w:rsidR="00FF10EF" w:rsidRDefault="00FF10EF" w:rsidP="008E1340">
            <w:pPr>
              <w:rPr>
                <w:rFonts w:eastAsiaTheme="minorEastAsia"/>
                <w:lang w:val="en-US" w:eastAsia="zh-CN"/>
              </w:rPr>
            </w:pPr>
          </w:p>
        </w:tc>
      </w:tr>
      <w:tr w:rsidR="00A856AE" w14:paraId="354DDB56" w14:textId="77777777" w:rsidTr="00B31262">
        <w:tc>
          <w:tcPr>
            <w:tcW w:w="1479" w:type="dxa"/>
          </w:tcPr>
          <w:p w14:paraId="6B6989A0" w14:textId="0F6052E9" w:rsidR="00A856AE" w:rsidRDefault="00A856AE" w:rsidP="00A856AE">
            <w:pPr>
              <w:rPr>
                <w:rFonts w:eastAsia="Yu Mincho"/>
                <w:lang w:val="en-US" w:eastAsia="ja-JP"/>
              </w:rPr>
            </w:pPr>
            <w:r>
              <w:t>SPRD</w:t>
            </w:r>
          </w:p>
        </w:tc>
        <w:tc>
          <w:tcPr>
            <w:tcW w:w="1372" w:type="dxa"/>
          </w:tcPr>
          <w:p w14:paraId="4AD1AF38" w14:textId="7D597C33" w:rsidR="00A856AE" w:rsidRDefault="00A856AE" w:rsidP="00A856AE">
            <w:pPr>
              <w:tabs>
                <w:tab w:val="left" w:pos="551"/>
              </w:tabs>
              <w:rPr>
                <w:rFonts w:eastAsia="Yu Mincho"/>
                <w:lang w:val="en-US" w:eastAsia="ja-JP"/>
              </w:rPr>
            </w:pPr>
            <w:r>
              <w:t>Y</w:t>
            </w:r>
          </w:p>
        </w:tc>
        <w:tc>
          <w:tcPr>
            <w:tcW w:w="6780" w:type="dxa"/>
          </w:tcPr>
          <w:p w14:paraId="693BC6FE" w14:textId="7EBE0B0F" w:rsidR="00A856AE" w:rsidRDefault="00A856AE" w:rsidP="00A856AE">
            <w:pPr>
              <w:rPr>
                <w:rFonts w:eastAsiaTheme="minorEastAsia"/>
                <w:lang w:val="en-US" w:eastAsia="zh-CN"/>
              </w:rPr>
            </w:pPr>
          </w:p>
        </w:tc>
      </w:tr>
      <w:tr w:rsidR="003655FA" w14:paraId="754E0963" w14:textId="77777777" w:rsidTr="00B31262">
        <w:tc>
          <w:tcPr>
            <w:tcW w:w="1479" w:type="dxa"/>
          </w:tcPr>
          <w:p w14:paraId="6063814D" w14:textId="5043AF28" w:rsidR="003655FA" w:rsidRDefault="003655FA" w:rsidP="00A856AE">
            <w:r>
              <w:t>Sierra Wireless</w:t>
            </w:r>
          </w:p>
        </w:tc>
        <w:tc>
          <w:tcPr>
            <w:tcW w:w="1372" w:type="dxa"/>
          </w:tcPr>
          <w:p w14:paraId="646460E1" w14:textId="4FA38226" w:rsidR="003655FA" w:rsidRDefault="003655FA" w:rsidP="00A856AE">
            <w:pPr>
              <w:tabs>
                <w:tab w:val="left" w:pos="551"/>
              </w:tabs>
            </w:pPr>
            <w:r>
              <w:t>Y</w:t>
            </w:r>
          </w:p>
        </w:tc>
        <w:tc>
          <w:tcPr>
            <w:tcW w:w="6780" w:type="dxa"/>
          </w:tcPr>
          <w:p w14:paraId="79E585E1" w14:textId="77777777" w:rsidR="003655FA" w:rsidRDefault="003655FA" w:rsidP="00A856AE">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093D98">
      <w:pPr>
        <w:pStyle w:val="Heading1"/>
        <w:rPr>
          <w:rFonts w:ascii="Times" w:hAnsi="Times"/>
          <w:szCs w:val="24"/>
        </w:rPr>
      </w:pPr>
      <w:bookmarkStart w:id="17" w:name="_Toc84709389"/>
      <w:r>
        <w:t>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 xml:space="preserve">Specify a system information indication to indicate whether a </w:t>
            </w:r>
            <w:proofErr w:type="spellStart"/>
            <w:r>
              <w:rPr>
                <w:rFonts w:eastAsia="SimSun"/>
                <w:bCs/>
                <w:lang w:eastAsia="ja-JP"/>
              </w:rPr>
              <w:t>RedCap</w:t>
            </w:r>
            <w:proofErr w:type="spellEnd"/>
            <w:r>
              <w:rPr>
                <w:rFonts w:eastAsia="SimSun"/>
                <w:bCs/>
                <w:lang w:eastAsia="ja-JP"/>
              </w:rPr>
              <w:t xml:space="preserve">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lastRenderedPageBreak/>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r w:rsidR="00FF10EF" w:rsidRPr="00D716F4" w14:paraId="7DAAFCBF" w14:textId="77777777" w:rsidTr="003F3EA5">
        <w:tc>
          <w:tcPr>
            <w:tcW w:w="1479" w:type="dxa"/>
          </w:tcPr>
          <w:p w14:paraId="5DE073E8" w14:textId="26E7AB9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B6DAA" w14:textId="20AE889D" w:rsidR="00FF10EF" w:rsidRPr="00FF10EF" w:rsidRDefault="00FF10EF" w:rsidP="009F3246">
            <w:pPr>
              <w:tabs>
                <w:tab w:val="left" w:pos="551"/>
              </w:tabs>
              <w:rPr>
                <w:rFonts w:eastAsia="Yu Mincho"/>
                <w:lang w:val="en-US" w:eastAsia="ja-JP"/>
              </w:rPr>
            </w:pPr>
            <w:r>
              <w:rPr>
                <w:rFonts w:eastAsia="Yu Mincho" w:hint="eastAsia"/>
                <w:lang w:val="en-US" w:eastAsia="ja-JP"/>
              </w:rPr>
              <w:t>N</w:t>
            </w:r>
          </w:p>
        </w:tc>
        <w:tc>
          <w:tcPr>
            <w:tcW w:w="6780" w:type="dxa"/>
          </w:tcPr>
          <w:p w14:paraId="453AD931" w14:textId="16A05C1A" w:rsidR="00FF10EF" w:rsidRDefault="00FF10EF" w:rsidP="009F3246">
            <w:pPr>
              <w:rPr>
                <w:rFonts w:eastAsiaTheme="minorEastAsia"/>
                <w:lang w:val="en-US" w:eastAsia="zh-CN"/>
              </w:rPr>
            </w:pPr>
            <w:r>
              <w:rPr>
                <w:rFonts w:eastAsiaTheme="minorEastAsia"/>
                <w:lang w:val="en-US" w:eastAsia="zh-CN"/>
              </w:rPr>
              <w:t>Agree with Ericsson.</w:t>
            </w:r>
          </w:p>
        </w:tc>
      </w:tr>
      <w:tr w:rsidR="003655FA" w:rsidRPr="00D716F4" w14:paraId="47DE0FB6" w14:textId="77777777" w:rsidTr="003F3EA5">
        <w:tc>
          <w:tcPr>
            <w:tcW w:w="1479" w:type="dxa"/>
          </w:tcPr>
          <w:p w14:paraId="4751F06E" w14:textId="46F543BE" w:rsidR="003655FA" w:rsidRDefault="003655FA" w:rsidP="009F3246">
            <w:pPr>
              <w:rPr>
                <w:rFonts w:eastAsia="Yu Mincho" w:hint="eastAsia"/>
                <w:lang w:val="en-US" w:eastAsia="ja-JP"/>
              </w:rPr>
            </w:pPr>
            <w:r>
              <w:rPr>
                <w:rFonts w:eastAsia="Yu Mincho"/>
                <w:lang w:val="en-US" w:eastAsia="ja-JP"/>
              </w:rPr>
              <w:lastRenderedPageBreak/>
              <w:t>Sierra Wireless</w:t>
            </w:r>
          </w:p>
        </w:tc>
        <w:tc>
          <w:tcPr>
            <w:tcW w:w="1372" w:type="dxa"/>
          </w:tcPr>
          <w:p w14:paraId="2D819397" w14:textId="4A349B2D" w:rsidR="003655FA" w:rsidRDefault="003655FA" w:rsidP="009F3246">
            <w:pPr>
              <w:tabs>
                <w:tab w:val="left" w:pos="551"/>
              </w:tabs>
              <w:rPr>
                <w:rFonts w:eastAsia="Yu Mincho" w:hint="eastAsia"/>
                <w:lang w:val="en-US" w:eastAsia="ja-JP"/>
              </w:rPr>
            </w:pPr>
            <w:r>
              <w:rPr>
                <w:rFonts w:eastAsia="Yu Mincho"/>
                <w:lang w:val="en-US" w:eastAsia="ja-JP"/>
              </w:rPr>
              <w:t>N</w:t>
            </w:r>
          </w:p>
        </w:tc>
        <w:tc>
          <w:tcPr>
            <w:tcW w:w="6780" w:type="dxa"/>
          </w:tcPr>
          <w:p w14:paraId="5F07C359" w14:textId="11D8371B" w:rsidR="003655FA" w:rsidRDefault="003655FA" w:rsidP="009F3246">
            <w:pPr>
              <w:rPr>
                <w:rFonts w:eastAsiaTheme="minorEastAsia"/>
                <w:lang w:val="en-US" w:eastAsia="zh-CN"/>
              </w:rPr>
            </w:pPr>
            <w:r>
              <w:rPr>
                <w:rFonts w:eastAsiaTheme="minorEastAsia"/>
                <w:lang w:val="en-US" w:eastAsia="zh-CN"/>
              </w:rPr>
              <w:t>In RAN2 competence</w:t>
            </w:r>
          </w:p>
        </w:tc>
      </w:tr>
    </w:tbl>
    <w:p w14:paraId="50AED21C" w14:textId="77777777" w:rsidR="003F6E82" w:rsidRDefault="003F6E82">
      <w:pPr>
        <w:tabs>
          <w:tab w:val="left" w:pos="1410"/>
        </w:tabs>
        <w:jc w:val="both"/>
        <w:rPr>
          <w:rFonts w:ascii="Times" w:hAnsi="Times"/>
          <w:szCs w:val="24"/>
        </w:rPr>
      </w:pPr>
    </w:p>
    <w:p w14:paraId="5DBF5B08" w14:textId="31D88BCC" w:rsidR="003F6E82" w:rsidRPr="00093D98" w:rsidRDefault="00F00769" w:rsidP="00093D98">
      <w:pPr>
        <w:pStyle w:val="Heading1"/>
      </w:pPr>
      <w:bookmarkStart w:id="19" w:name="_Toc84709391"/>
      <w:r>
        <w:t>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xml:space="preserve">.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14:paraId="4C5BAC64" w14:textId="77777777" w:rsidR="003F6E82" w:rsidRDefault="00F00769">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 xml:space="preserve">It is expected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read the legacy SIB1. If it </w:t>
            </w:r>
            <w:proofErr w:type="gramStart"/>
            <w:r>
              <w:rPr>
                <w:rFonts w:eastAsiaTheme="minorEastAsia" w:hint="eastAsia"/>
                <w:lang w:val="en-US" w:eastAsia="zh-CN"/>
              </w:rPr>
              <w:t>has to</w:t>
            </w:r>
            <w:proofErr w:type="gramEnd"/>
            <w:r>
              <w:rPr>
                <w:rFonts w:eastAsiaTheme="minorEastAsia" w:hint="eastAsia"/>
                <w:lang w:val="en-US" w:eastAsia="zh-CN"/>
              </w:rPr>
              <w:t xml:space="preserve">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r w:rsidR="00FF10EF" w:rsidRPr="00D716F4" w14:paraId="1878CAD1" w14:textId="77777777" w:rsidTr="003F3EA5">
        <w:tc>
          <w:tcPr>
            <w:tcW w:w="1479" w:type="dxa"/>
          </w:tcPr>
          <w:p w14:paraId="3AFC57EF" w14:textId="640A2EFA"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C644C3" w14:textId="1B048809" w:rsidR="00FF10EF" w:rsidRDefault="00FF10EF"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3A48DDFB" w14:textId="7F582D03" w:rsidR="00FF10EF" w:rsidRDefault="00FF10EF" w:rsidP="009F3246">
            <w:pPr>
              <w:rPr>
                <w:rFonts w:eastAsiaTheme="minorEastAsia"/>
                <w:lang w:val="en-US" w:eastAsia="zh-CN"/>
              </w:rPr>
            </w:pPr>
            <w:r>
              <w:rPr>
                <w:rFonts w:eastAsia="Yu Mincho" w:hint="eastAsia"/>
                <w:lang w:val="en-US" w:eastAsia="ja-JP"/>
              </w:rPr>
              <w:t>N</w:t>
            </w:r>
            <w:r>
              <w:rPr>
                <w:rFonts w:eastAsia="Yu Mincho"/>
                <w:lang w:val="en-US" w:eastAsia="ja-JP"/>
              </w:rPr>
              <w:t xml:space="preserve">ew SIB1 would cause large </w:t>
            </w:r>
            <w:r w:rsidRPr="00542B50">
              <w:rPr>
                <w:rFonts w:eastAsia="Yu Mincho"/>
                <w:lang w:val="en-US" w:eastAsia="ja-JP"/>
              </w:rPr>
              <w:t>standardization effort</w:t>
            </w:r>
            <w:r>
              <w:rPr>
                <w:rFonts w:eastAsia="Yu Mincho" w:hint="eastAsia"/>
                <w:lang w:val="en-US" w:eastAsia="ja-JP"/>
              </w:rPr>
              <w:t>.</w:t>
            </w:r>
            <w:r>
              <w:rPr>
                <w:rFonts w:eastAsia="Yu Mincho"/>
                <w:lang w:val="en-US" w:eastAsia="ja-JP"/>
              </w:rPr>
              <w:t xml:space="preserve"> Especially for shared initial DL/UL BWPs case, the most part of </w:t>
            </w:r>
            <w:r w:rsidRPr="00542B50">
              <w:rPr>
                <w:rFonts w:eastAsia="Yu Mincho"/>
                <w:lang w:val="en-US" w:eastAsia="ja-JP"/>
              </w:rPr>
              <w:t>existing SIB1</w:t>
            </w:r>
            <w:r>
              <w:rPr>
                <w:rFonts w:eastAsia="Yu Mincho"/>
                <w:lang w:val="en-US" w:eastAsia="ja-JP"/>
              </w:rPr>
              <w:t xml:space="preserve"> would be used by </w:t>
            </w:r>
            <w:proofErr w:type="spellStart"/>
            <w:r>
              <w:rPr>
                <w:rFonts w:eastAsia="Yu Mincho"/>
                <w:lang w:val="en-US" w:eastAsia="ja-JP"/>
              </w:rPr>
              <w:t>RedCap</w:t>
            </w:r>
            <w:proofErr w:type="spellEnd"/>
            <w:r>
              <w:rPr>
                <w:rFonts w:eastAsia="Yu Mincho"/>
                <w:lang w:val="en-US" w:eastAsia="ja-JP"/>
              </w:rPr>
              <w:t xml:space="preserve"> UEs. Moreover, it is suitable for RAN2 to decide whether to introduce new SIB1 or not.</w:t>
            </w:r>
          </w:p>
        </w:tc>
      </w:tr>
      <w:tr w:rsidR="00A856AE" w:rsidRPr="00D716F4" w14:paraId="42286A05" w14:textId="77777777" w:rsidTr="003F3EA5">
        <w:tc>
          <w:tcPr>
            <w:tcW w:w="1479" w:type="dxa"/>
          </w:tcPr>
          <w:p w14:paraId="32CFF580" w14:textId="28437540" w:rsidR="00A856AE" w:rsidRDefault="00A856AE" w:rsidP="00A856AE">
            <w:pPr>
              <w:rPr>
                <w:rFonts w:eastAsia="Yu Mincho"/>
                <w:lang w:val="en-US" w:eastAsia="ja-JP"/>
              </w:rPr>
            </w:pPr>
            <w:r>
              <w:t>SPRD</w:t>
            </w:r>
          </w:p>
        </w:tc>
        <w:tc>
          <w:tcPr>
            <w:tcW w:w="1372" w:type="dxa"/>
          </w:tcPr>
          <w:p w14:paraId="6F09FDCC" w14:textId="3EF5DF5B" w:rsidR="00A856AE" w:rsidRDefault="00A856AE" w:rsidP="00A856AE">
            <w:pPr>
              <w:tabs>
                <w:tab w:val="left" w:pos="551"/>
              </w:tabs>
              <w:rPr>
                <w:rFonts w:eastAsiaTheme="minorEastAsia"/>
                <w:lang w:val="en-US" w:eastAsia="zh-CN"/>
              </w:rPr>
            </w:pPr>
            <w:r>
              <w:rPr>
                <w:lang w:eastAsia="ko-KR"/>
              </w:rPr>
              <w:t>Alt.1 or Alt 3</w:t>
            </w:r>
          </w:p>
        </w:tc>
        <w:tc>
          <w:tcPr>
            <w:tcW w:w="6780" w:type="dxa"/>
          </w:tcPr>
          <w:p w14:paraId="6D5A7431" w14:textId="79868E5B" w:rsidR="00A856AE" w:rsidRDefault="00A856AE" w:rsidP="00A856AE">
            <w:pPr>
              <w:rPr>
                <w:rFonts w:eastAsia="Yu Mincho"/>
                <w:lang w:val="en-US" w:eastAsia="ja-JP"/>
              </w:rPr>
            </w:pPr>
            <w:r>
              <w:t>We</w:t>
            </w:r>
            <w:r>
              <w:rPr>
                <w:lang w:eastAsia="ko-KR"/>
              </w:rPr>
              <w:t xml:space="preserve"> </w:t>
            </w:r>
            <w:r>
              <w:t>do not see a need for a new SIB1. The final decision can be made in RAN2.</w:t>
            </w:r>
          </w:p>
        </w:tc>
      </w:tr>
      <w:tr w:rsidR="003655FA" w:rsidRPr="00D716F4" w14:paraId="6EAB3766" w14:textId="77777777" w:rsidTr="003F3EA5">
        <w:tc>
          <w:tcPr>
            <w:tcW w:w="1479" w:type="dxa"/>
          </w:tcPr>
          <w:p w14:paraId="4E984373" w14:textId="5053D22A" w:rsidR="003655FA" w:rsidRDefault="003655FA" w:rsidP="00A856AE">
            <w:r>
              <w:t>Sierra Wireless</w:t>
            </w:r>
          </w:p>
        </w:tc>
        <w:tc>
          <w:tcPr>
            <w:tcW w:w="1372" w:type="dxa"/>
          </w:tcPr>
          <w:p w14:paraId="42607742" w14:textId="0EC727A3" w:rsidR="003655FA" w:rsidRDefault="003655FA" w:rsidP="00A856AE">
            <w:pPr>
              <w:tabs>
                <w:tab w:val="left" w:pos="551"/>
              </w:tabs>
              <w:rPr>
                <w:lang w:eastAsia="ko-KR"/>
              </w:rPr>
            </w:pPr>
            <w:r>
              <w:rPr>
                <w:lang w:eastAsia="ko-KR"/>
              </w:rPr>
              <w:t>Alt. 1 or Alt 3</w:t>
            </w:r>
          </w:p>
        </w:tc>
        <w:tc>
          <w:tcPr>
            <w:tcW w:w="6780" w:type="dxa"/>
          </w:tcPr>
          <w:p w14:paraId="09CBE8B6" w14:textId="12C3751E" w:rsidR="003655FA" w:rsidRDefault="003655FA" w:rsidP="00A856AE">
            <w:r>
              <w:t>Agree with Ericsson</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w:t>
            </w:r>
            <w:r>
              <w:rPr>
                <w:rFonts w:eastAsiaTheme="minorEastAsia"/>
                <w:lang w:val="en-US" w:eastAsia="zh-CN"/>
              </w:rPr>
              <w:lastRenderedPageBreak/>
              <w:t xml:space="preserve">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lastRenderedPageBreak/>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proofErr w:type="gramStart"/>
            <w:r>
              <w:rPr>
                <w:lang w:val="en-US" w:eastAsia="ko-KR"/>
              </w:rPr>
              <w:t>This issues</w:t>
            </w:r>
            <w:proofErr w:type="gramEnd"/>
            <w:r>
              <w:rPr>
                <w:lang w:val="en-US" w:eastAsia="ko-KR"/>
              </w:rPr>
              <w:t xml:space="preserve">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w:t>
            </w:r>
            <w:proofErr w:type="spellStart"/>
            <w:r>
              <w:rPr>
                <w:lang w:val="en-US" w:eastAsia="ko-KR"/>
              </w:rPr>
              <w:t>RedCap</w:t>
            </w:r>
            <w:proofErr w:type="spellEnd"/>
            <w:r>
              <w:rPr>
                <w:lang w:val="en-US" w:eastAsia="ko-KR"/>
              </w:rPr>
              <w:t xml:space="preserve">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 xml:space="preserve">Measurements of </w:t>
            </w:r>
            <w:proofErr w:type="spellStart"/>
            <w:r>
              <w:rPr>
                <w:lang w:val="en-US" w:eastAsia="ko-KR"/>
              </w:rPr>
              <w:t>RedCap</w:t>
            </w:r>
            <w:proofErr w:type="spellEnd"/>
            <w:r>
              <w:rPr>
                <w:lang w:val="en-US" w:eastAsia="ko-KR"/>
              </w:rPr>
              <w:t xml:space="preserve">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proofErr w:type="gramStart"/>
            <w:r w:rsidRPr="00B1101B">
              <w:rPr>
                <w:lang w:val="en-US" w:eastAsia="ko-KR"/>
              </w:rPr>
              <w:t>Overall</w:t>
            </w:r>
            <w:proofErr w:type="gramEnd"/>
            <w:r w:rsidRPr="00B1101B">
              <w:rPr>
                <w:lang w:val="en-US" w:eastAsia="ko-KR"/>
              </w:rPr>
              <w:t xml:space="preserve"> we do</w:t>
            </w:r>
            <w:r>
              <w:rPr>
                <w:lang w:val="en-US" w:eastAsia="ko-KR"/>
              </w:rPr>
              <w:t xml:space="preserve"> </w:t>
            </w:r>
            <w:r w:rsidRPr="00B1101B">
              <w:rPr>
                <w:lang w:val="en-US" w:eastAsia="ko-KR"/>
              </w:rPr>
              <w:t>n</w:t>
            </w:r>
            <w:r>
              <w:rPr>
                <w:lang w:val="en-US" w:eastAsia="ko-KR"/>
              </w:rPr>
              <w:t>o</w:t>
            </w:r>
            <w:r w:rsidRPr="00B1101B">
              <w:rPr>
                <w:lang w:val="en-US" w:eastAsia="ko-KR"/>
              </w:rPr>
              <w:t xml:space="preserve">t see a need for this type of optimization. Additionally, the network can always set a threshold that would allow also 1RX </w:t>
            </w:r>
            <w:proofErr w:type="spellStart"/>
            <w:r w:rsidRPr="00B1101B">
              <w:rPr>
                <w:lang w:val="en-US" w:eastAsia="ko-KR"/>
              </w:rPr>
              <w:t>RedCap</w:t>
            </w:r>
            <w:proofErr w:type="spellEnd"/>
            <w:r w:rsidRPr="00B1101B">
              <w:rPr>
                <w:lang w:val="en-US" w:eastAsia="ko-KR"/>
              </w:rPr>
              <w:t xml:space="preserve"> UE to receive an SSB with an RSRP about such threshold and be able to initiate the </w:t>
            </w:r>
            <w:proofErr w:type="gramStart"/>
            <w:r w:rsidRPr="00B1101B">
              <w:rPr>
                <w:lang w:val="en-US" w:eastAsia="ko-KR"/>
              </w:rPr>
              <w:t>random access</w:t>
            </w:r>
            <w:proofErr w:type="gramEnd"/>
            <w:r w:rsidRPr="00B1101B">
              <w:rPr>
                <w:lang w:val="en-US" w:eastAsia="ko-KR"/>
              </w:rPr>
              <w:t xml:space="preserve">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r w:rsidR="00A856AE" w:rsidRPr="00D716F4" w14:paraId="041A7F96" w14:textId="77777777" w:rsidTr="003F3EA5">
        <w:tc>
          <w:tcPr>
            <w:tcW w:w="1479" w:type="dxa"/>
          </w:tcPr>
          <w:p w14:paraId="5C830407" w14:textId="0B98DFE8" w:rsidR="00A856AE" w:rsidRDefault="00A856AE" w:rsidP="00A856AE">
            <w:pPr>
              <w:rPr>
                <w:rFonts w:eastAsiaTheme="minorEastAsia"/>
                <w:lang w:val="en-US" w:eastAsia="zh-CN"/>
              </w:rPr>
            </w:pPr>
            <w:r>
              <w:t>SPRD</w:t>
            </w:r>
          </w:p>
        </w:tc>
        <w:tc>
          <w:tcPr>
            <w:tcW w:w="1372" w:type="dxa"/>
          </w:tcPr>
          <w:p w14:paraId="293E5510" w14:textId="77777777" w:rsidR="00A856AE" w:rsidRDefault="00A856AE" w:rsidP="00A856AE">
            <w:pPr>
              <w:tabs>
                <w:tab w:val="left" w:pos="551"/>
              </w:tabs>
              <w:rPr>
                <w:rFonts w:eastAsiaTheme="minorEastAsia"/>
                <w:lang w:val="en-US" w:eastAsia="zh-CN"/>
              </w:rPr>
            </w:pPr>
          </w:p>
        </w:tc>
        <w:tc>
          <w:tcPr>
            <w:tcW w:w="6780" w:type="dxa"/>
          </w:tcPr>
          <w:p w14:paraId="57521C74" w14:textId="02D2906A" w:rsidR="00A856AE" w:rsidRDefault="00A856AE" w:rsidP="00A856AE">
            <w:pPr>
              <w:rPr>
                <w:rFonts w:eastAsiaTheme="minorEastAsia"/>
                <w:lang w:val="en-US" w:eastAsia="zh-CN"/>
              </w:rPr>
            </w:pPr>
            <w:r>
              <w:t>We share the same view with China Telecom that RAN4 input is needed.</w:t>
            </w:r>
          </w:p>
        </w:tc>
      </w:tr>
      <w:tr w:rsidR="003655FA" w:rsidRPr="00D716F4" w14:paraId="4A3E4402" w14:textId="77777777" w:rsidTr="003F3EA5">
        <w:tc>
          <w:tcPr>
            <w:tcW w:w="1479" w:type="dxa"/>
          </w:tcPr>
          <w:p w14:paraId="205B0793" w14:textId="0C80F295" w:rsidR="003655FA" w:rsidRDefault="003655FA" w:rsidP="00A856AE">
            <w:r>
              <w:t>Sierra Wireless</w:t>
            </w:r>
          </w:p>
        </w:tc>
        <w:tc>
          <w:tcPr>
            <w:tcW w:w="1372" w:type="dxa"/>
          </w:tcPr>
          <w:p w14:paraId="5F3E5084" w14:textId="49E6F367" w:rsidR="003655FA" w:rsidRDefault="003655FA" w:rsidP="00A856AE">
            <w:pPr>
              <w:tabs>
                <w:tab w:val="left" w:pos="551"/>
              </w:tabs>
              <w:rPr>
                <w:rFonts w:eastAsiaTheme="minorEastAsia"/>
                <w:lang w:val="en-US" w:eastAsia="zh-CN"/>
              </w:rPr>
            </w:pPr>
            <w:r>
              <w:rPr>
                <w:rFonts w:eastAsiaTheme="minorEastAsia"/>
                <w:lang w:val="en-US" w:eastAsia="zh-CN"/>
              </w:rPr>
              <w:t>N</w:t>
            </w:r>
          </w:p>
        </w:tc>
        <w:tc>
          <w:tcPr>
            <w:tcW w:w="6780" w:type="dxa"/>
          </w:tcPr>
          <w:p w14:paraId="74A3C80B" w14:textId="77777777" w:rsidR="003655FA" w:rsidRDefault="003655FA" w:rsidP="00A856AE"/>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lastRenderedPageBreak/>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660ECA9A" w14:textId="77777777" w:rsidR="003F6E82" w:rsidRDefault="00871B27">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871B27">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33452866" w14:textId="77777777" w:rsidR="003F6E82" w:rsidRDefault="00871B27">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871B27">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871B27">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871B27">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871B27">
            <w:pPr>
              <w:spacing w:after="0"/>
              <w:jc w:val="center"/>
            </w:pPr>
            <w:hyperlink r:id="rId19" w:history="1">
              <w:r w:rsidR="00F00769">
                <w:rPr>
                  <w:rStyle w:val="Hyperlink"/>
                </w:rPr>
                <w:pgNum/>
              </w:r>
              <w:proofErr w:type="gramStart"/>
              <w:r w:rsidR="00F00769">
                <w:rPr>
                  <w:rStyle w:val="Hyperlink"/>
                </w:rPr>
                <w:t>enov.desai</w:t>
              </w:r>
              <w:proofErr w:type="gramEnd"/>
              <w:r w:rsidR="00F00769">
                <w:rPr>
                  <w:rStyle w:val="Hyperlink"/>
                </w:rPr>
                <w:t>@futurewei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871B27">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proofErr w:type="spellStart"/>
            <w:r>
              <w:t>Debdeep</w:t>
            </w:r>
            <w:proofErr w:type="spellEnd"/>
            <w:r>
              <w:t xml:space="preserve"> Chatterjee</w:t>
            </w:r>
          </w:p>
        </w:tc>
        <w:tc>
          <w:tcPr>
            <w:tcW w:w="4110" w:type="dxa"/>
          </w:tcPr>
          <w:p w14:paraId="05EE43BB" w14:textId="77777777" w:rsidR="003F6E82" w:rsidRDefault="00871B27">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871B27">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 xml:space="preserve">Carmela </w:t>
            </w:r>
            <w:proofErr w:type="spellStart"/>
            <w:r>
              <w:rPr>
                <w:rFonts w:eastAsiaTheme="minorEastAsia"/>
                <w:lang w:eastAsia="zh-CN"/>
              </w:rPr>
              <w:t>Cozzo</w:t>
            </w:r>
            <w:proofErr w:type="spellEnd"/>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540461" w14:paraId="52488A29" w14:textId="77777777">
        <w:tc>
          <w:tcPr>
            <w:tcW w:w="2830" w:type="dxa"/>
          </w:tcPr>
          <w:p w14:paraId="57E0E377" w14:textId="614CC3AF" w:rsidR="00540461" w:rsidRPr="00540461" w:rsidRDefault="00540461" w:rsidP="00540461">
            <w:pPr>
              <w:spacing w:after="0"/>
              <w:jc w:val="center"/>
              <w:rPr>
                <w:rFonts w:eastAsiaTheme="minorEastAsia"/>
                <w:lang w:eastAsia="zh-CN"/>
              </w:rPr>
            </w:pPr>
            <w:r w:rsidRPr="00540461">
              <w:rPr>
                <w:lang w:val="sv-SE"/>
              </w:rPr>
              <w:t>Spreadtrum</w:t>
            </w:r>
          </w:p>
        </w:tc>
        <w:tc>
          <w:tcPr>
            <w:tcW w:w="2410" w:type="dxa"/>
          </w:tcPr>
          <w:p w14:paraId="69831E6D" w14:textId="58FBECA9" w:rsidR="00540461" w:rsidRPr="00540461" w:rsidRDefault="00540461" w:rsidP="00540461">
            <w:pPr>
              <w:spacing w:after="0"/>
              <w:jc w:val="center"/>
              <w:rPr>
                <w:rFonts w:eastAsiaTheme="minorEastAsia"/>
                <w:lang w:eastAsia="zh-CN"/>
              </w:rPr>
            </w:pPr>
            <w:r w:rsidRPr="00540461">
              <w:rPr>
                <w:lang w:val="sv-SE"/>
              </w:rPr>
              <w:t>Sicong Zhao</w:t>
            </w:r>
          </w:p>
        </w:tc>
        <w:tc>
          <w:tcPr>
            <w:tcW w:w="4110" w:type="dxa"/>
          </w:tcPr>
          <w:p w14:paraId="66331F66" w14:textId="53B2F24D" w:rsidR="00540461" w:rsidRPr="00540461" w:rsidRDefault="00871B27" w:rsidP="00540461">
            <w:pPr>
              <w:spacing w:after="0"/>
              <w:jc w:val="center"/>
              <w:rPr>
                <w:rFonts w:eastAsiaTheme="minorEastAsia"/>
                <w:lang w:eastAsia="zh-CN"/>
              </w:rPr>
            </w:pPr>
            <w:hyperlink r:id="rId23" w:history="1">
              <w:r w:rsidR="00540461" w:rsidRPr="00540461">
                <w:rPr>
                  <w:rStyle w:val="Hyperlink"/>
                  <w:color w:val="auto"/>
                  <w:lang w:val="sv-SE"/>
                </w:rPr>
                <w:t>Sicong.zhao@unisoc.com</w:t>
              </w:r>
            </w:hyperlink>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t>Rapporteur (Ericsson)</w:t>
      </w:r>
      <w:bookmarkEnd w:id="21"/>
    </w:p>
    <w:p w14:paraId="27B6EEFA" w14:textId="77777777" w:rsidR="003F6E82" w:rsidRDefault="00871B27">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871B27">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871B27">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871B27">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871B27">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871B27">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871B27">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871B27">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871B27">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871B27">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871B27">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871B27">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871B27">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871B27">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871B27">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871B27">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871B27">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871B27">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871B27">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871B27">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871B27">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871B27">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871B27">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871B27">
      <w:pPr>
        <w:pStyle w:val="ListParagraph"/>
        <w:numPr>
          <w:ilvl w:val="0"/>
          <w:numId w:val="32"/>
        </w:numPr>
        <w:spacing w:line="240" w:lineRule="auto"/>
        <w:ind w:left="418" w:hanging="418"/>
        <w:contextualSpacing w:val="0"/>
        <w:rPr>
          <w:iCs/>
          <w:lang w:eastAsia="zh-CN"/>
        </w:rPr>
      </w:pPr>
      <w:hyperlink r:id="rId47"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871B27">
      <w:pPr>
        <w:pStyle w:val="ListParagraph"/>
        <w:numPr>
          <w:ilvl w:val="0"/>
          <w:numId w:val="32"/>
        </w:numPr>
        <w:ind w:left="418" w:hanging="418"/>
        <w:contextualSpacing w:val="0"/>
        <w:rPr>
          <w:lang w:eastAsia="zh-CN"/>
        </w:rPr>
      </w:pPr>
      <w:hyperlink r:id="rId48"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871B27">
      <w:pPr>
        <w:pStyle w:val="ListParagraph"/>
        <w:numPr>
          <w:ilvl w:val="0"/>
          <w:numId w:val="32"/>
        </w:numPr>
        <w:ind w:left="418" w:hanging="418"/>
        <w:contextualSpacing w:val="0"/>
        <w:rPr>
          <w:lang w:eastAsia="zh-CN"/>
        </w:rPr>
      </w:pPr>
      <w:hyperlink r:id="rId49"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871B27">
      <w:pPr>
        <w:pStyle w:val="ListParagraph"/>
        <w:numPr>
          <w:ilvl w:val="0"/>
          <w:numId w:val="32"/>
        </w:numPr>
        <w:ind w:left="418" w:hanging="418"/>
        <w:contextualSpacing w:val="0"/>
        <w:rPr>
          <w:lang w:eastAsia="zh-CN"/>
        </w:rPr>
      </w:pPr>
      <w:hyperlink r:id="rId50"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871B27">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871B27">
      <w:pPr>
        <w:pStyle w:val="ListParagraph"/>
        <w:numPr>
          <w:ilvl w:val="0"/>
          <w:numId w:val="32"/>
        </w:numPr>
        <w:spacing w:line="240" w:lineRule="auto"/>
        <w:ind w:left="418" w:hanging="418"/>
        <w:contextualSpacing w:val="0"/>
        <w:rPr>
          <w:lang w:eastAsia="zh-CN"/>
        </w:rPr>
      </w:pPr>
      <w:hyperlink r:id="rId52"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2F5E" w14:textId="77777777" w:rsidR="00871B27" w:rsidRDefault="00871B27" w:rsidP="00CF06F8">
      <w:pPr>
        <w:spacing w:after="0"/>
      </w:pPr>
      <w:r>
        <w:separator/>
      </w:r>
    </w:p>
  </w:endnote>
  <w:endnote w:type="continuationSeparator" w:id="0">
    <w:p w14:paraId="71D0F0EC" w14:textId="77777777" w:rsidR="00871B27" w:rsidRDefault="00871B27"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0A46" w14:textId="77777777" w:rsidR="00871B27" w:rsidRDefault="00871B27" w:rsidP="00CF06F8">
      <w:pPr>
        <w:spacing w:after="0"/>
      </w:pPr>
      <w:r>
        <w:separator/>
      </w:r>
    </w:p>
  </w:footnote>
  <w:footnote w:type="continuationSeparator" w:id="0">
    <w:p w14:paraId="58DA80C5" w14:textId="77777777" w:rsidR="00871B27" w:rsidRDefault="00871B27"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465B2"/>
    <w:rsid w:val="000726AE"/>
    <w:rsid w:val="00076B5B"/>
    <w:rsid w:val="0008651C"/>
    <w:rsid w:val="00093D98"/>
    <w:rsid w:val="000F260D"/>
    <w:rsid w:val="001235EF"/>
    <w:rsid w:val="001239C4"/>
    <w:rsid w:val="00124A4A"/>
    <w:rsid w:val="00145A3B"/>
    <w:rsid w:val="00181AFF"/>
    <w:rsid w:val="00195FFB"/>
    <w:rsid w:val="001D1C8B"/>
    <w:rsid w:val="001F1C4C"/>
    <w:rsid w:val="002046C2"/>
    <w:rsid w:val="00221E7E"/>
    <w:rsid w:val="00233211"/>
    <w:rsid w:val="002835D6"/>
    <w:rsid w:val="002914C6"/>
    <w:rsid w:val="00294878"/>
    <w:rsid w:val="002B25C1"/>
    <w:rsid w:val="002B668D"/>
    <w:rsid w:val="003221CE"/>
    <w:rsid w:val="003655FA"/>
    <w:rsid w:val="0036659D"/>
    <w:rsid w:val="003C29FD"/>
    <w:rsid w:val="003E4D6E"/>
    <w:rsid w:val="003F1976"/>
    <w:rsid w:val="003F3EA5"/>
    <w:rsid w:val="003F6E82"/>
    <w:rsid w:val="00440551"/>
    <w:rsid w:val="00444163"/>
    <w:rsid w:val="00492CE4"/>
    <w:rsid w:val="004A0C89"/>
    <w:rsid w:val="004B6ABE"/>
    <w:rsid w:val="004C0105"/>
    <w:rsid w:val="004C221A"/>
    <w:rsid w:val="004C4161"/>
    <w:rsid w:val="004F7C67"/>
    <w:rsid w:val="00513AEE"/>
    <w:rsid w:val="00540461"/>
    <w:rsid w:val="0054562D"/>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71B27"/>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856AE"/>
    <w:rsid w:val="00AB7971"/>
    <w:rsid w:val="00B02573"/>
    <w:rsid w:val="00B1160B"/>
    <w:rsid w:val="00B31262"/>
    <w:rsid w:val="00B57DF3"/>
    <w:rsid w:val="00B67B45"/>
    <w:rsid w:val="00B77311"/>
    <w:rsid w:val="00BB1E30"/>
    <w:rsid w:val="00BC559F"/>
    <w:rsid w:val="00BC73D4"/>
    <w:rsid w:val="00BE7427"/>
    <w:rsid w:val="00C15C31"/>
    <w:rsid w:val="00CC16E7"/>
    <w:rsid w:val="00CF06F8"/>
    <w:rsid w:val="00D15608"/>
    <w:rsid w:val="00D47652"/>
    <w:rsid w:val="00D47A4A"/>
    <w:rsid w:val="00D678F4"/>
    <w:rsid w:val="00D704F9"/>
    <w:rsid w:val="00DD19C2"/>
    <w:rsid w:val="00DD2B93"/>
    <w:rsid w:val="00DE0903"/>
    <w:rsid w:val="00DE2A4F"/>
    <w:rsid w:val="00DF0A6C"/>
    <w:rsid w:val="00EA0AFC"/>
    <w:rsid w:val="00EC568F"/>
    <w:rsid w:val="00EE1B8A"/>
    <w:rsid w:val="00F00769"/>
    <w:rsid w:val="00F0752F"/>
    <w:rsid w:val="00F43EC6"/>
    <w:rsid w:val="00F50C76"/>
    <w:rsid w:val="00F76626"/>
    <w:rsid w:val="00F862B9"/>
    <w:rsid w:val="00F90FF2"/>
    <w:rsid w:val="00FD751F"/>
    <w:rsid w:val="00FF10E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084.zip" TargetMode="Externa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B2262-7336-40D5-901D-89112388B612}">
  <ds:schemaRefs>
    <ds:schemaRef ds:uri="http://schemas.openxmlformats.org/officeDocument/2006/bibliography"/>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9879</Words>
  <Characters>56312</Characters>
  <Application>Microsoft Office Word</Application>
  <DocSecurity>0</DocSecurity>
  <Lines>469</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Dejan Donin</cp:lastModifiedBy>
  <cp:revision>3</cp:revision>
  <dcterms:created xsi:type="dcterms:W3CDTF">2021-10-13T02:26:00Z</dcterms:created>
  <dcterms:modified xsi:type="dcterms:W3CDTF">2021-10-13T03:56:00Z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