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맑은 고딕"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p w14:paraId="2E63B9C7" w14:textId="77777777" w:rsidR="00C95FCB" w:rsidRDefault="00D804E1">
            <w:pPr>
              <w:spacing w:after="0" w:line="280" w:lineRule="atLeast"/>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맑은 고딕"/>
                <w:bCs/>
              </w:rPr>
            </w:pPr>
          </w:p>
          <w:p w14:paraId="5EF669CF" w14:textId="77777777" w:rsidR="00C95FCB" w:rsidRDefault="00D804E1">
            <w:pPr>
              <w:spacing w:after="0" w:line="280" w:lineRule="atLeast"/>
              <w:rPr>
                <w:rFonts w:eastAsia="맑은 고딕"/>
                <w:bCs/>
              </w:rPr>
            </w:pPr>
            <w:r>
              <w:rPr>
                <w:rFonts w:eastAsia="맑은 고딕"/>
                <w:bCs/>
              </w:rPr>
              <w:lastRenderedPageBreak/>
              <w:t>Observation 7</w:t>
            </w:r>
            <w:r>
              <w:rPr>
                <w:rFonts w:eastAsia="맑은 고딕"/>
                <w:bCs/>
              </w:rPr>
              <w:tab/>
              <w:t xml:space="preserve">UE PDSCH/PUSCH processing timelines for 480/960 kHz SCS </w:t>
            </w:r>
            <w:proofErr w:type="gramStart"/>
            <w:r>
              <w:rPr>
                <w:rFonts w:eastAsia="맑은 고딕"/>
                <w:bCs/>
              </w:rPr>
              <w:t>should to</w:t>
            </w:r>
            <w:proofErr w:type="gramEnd"/>
            <w:r>
              <w:rPr>
                <w:rFonts w:eastAsia="맑은 고딕"/>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맑은 고딕"/>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바탕" w:hAnsi="Times"/>
                <w:szCs w:val="24"/>
              </w:rPr>
            </w:pPr>
            <w:r>
              <w:t>Proposal 1: Focus on the agreed processing timeline for Rel-17.</w:t>
            </w:r>
          </w:p>
          <w:p w14:paraId="13ACEE89" w14:textId="77777777" w:rsidR="00C95FCB" w:rsidRDefault="00D804E1">
            <w:pPr>
              <w:spacing w:line="280" w:lineRule="atLeast"/>
              <w:rPr>
                <w:rFonts w:eastAsia="맑은 고딕"/>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5632A5">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5632A5">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바탕"/>
                <w:lang w:eastAsia="ko-KR"/>
              </w:rPr>
            </w:pPr>
            <w:r>
              <w:rPr>
                <w:rFonts w:eastAsia="바탕"/>
                <w:lang w:eastAsia="ko-KR"/>
              </w:rPr>
              <w:t>Proposal #26: Consider scaling values for the extra symbols (</w:t>
            </w:r>
            <w:proofErr w:type="gramStart"/>
            <w:r>
              <w:rPr>
                <w:rFonts w:eastAsia="바탕"/>
                <w:lang w:eastAsia="ko-KR"/>
              </w:rPr>
              <w:t>e.g.</w:t>
            </w:r>
            <w:proofErr w:type="gramEnd"/>
            <w:r>
              <w:rPr>
                <w:rFonts w:eastAsia="바탕"/>
                <w:lang w:eastAsia="ko-KR"/>
              </w:rPr>
              <w:t xml:space="preserve">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58A6A3C6" w14:textId="77777777" w:rsidR="00C95FCB" w:rsidRDefault="00D804E1">
            <w:pPr>
              <w:spacing w:after="120" w:line="240" w:lineRule="auto"/>
              <w:rPr>
                <w:rFonts w:eastAsia="바탕"/>
                <w:lang w:eastAsia="ko-KR"/>
              </w:rPr>
            </w:pPr>
            <w:r>
              <w:rPr>
                <w:rFonts w:eastAsia="바탕"/>
                <w:lang w:eastAsia="ko-KR"/>
              </w:rPr>
              <w:t>Proposal #27: Consider scaling values for the extra symbols (</w:t>
            </w:r>
            <w:proofErr w:type="gramStart"/>
            <w:r>
              <w:rPr>
                <w:rFonts w:eastAsia="바탕"/>
                <w:lang w:eastAsia="ko-KR"/>
              </w:rPr>
              <w:t>e.g.</w:t>
            </w:r>
            <w:proofErr w:type="gramEnd"/>
            <w:r>
              <w:rPr>
                <w:rFonts w:eastAsia="바탕"/>
                <w:lang w:eastAsia="ko-KR"/>
              </w:rPr>
              <w:t xml:space="preserve">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바탕"/>
                <w:lang w:eastAsia="ko-KR"/>
              </w:rPr>
            </w:pPr>
            <w:r>
              <w:rPr>
                <w:rFonts w:eastAsia="바탕"/>
                <w:lang w:eastAsia="ko-KR"/>
              </w:rPr>
              <w:t>Proposal #28: The configured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 e.g., ceil(N1/14) or floor(N1/14).</w:t>
            </w:r>
          </w:p>
          <w:p w14:paraId="0ACB563C" w14:textId="77777777" w:rsidR="00C95FCB" w:rsidRDefault="00D804E1">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DB09319" w14:textId="77777777" w:rsidR="00C95FCB" w:rsidRDefault="00D804E1">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4" o:title=""/>
                </v:shape>
                <o:OLEObject Type="Embed" ProgID="Equation.3" ShapeID="_x0000_i1025" DrawAspect="Content" ObjectID="_1696108617" r:id="rId15"/>
              </w:object>
            </w:r>
          </w:p>
        </w:tc>
        <w:tc>
          <w:tcPr>
            <w:tcW w:w="8666" w:type="dxa"/>
            <w:gridSpan w:val="2"/>
            <w:shd w:val="clear" w:color="auto" w:fill="auto"/>
          </w:tcPr>
          <w:p w14:paraId="15C775D8"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74D4E094" w14:textId="77777777" w:rsidR="00C95FCB" w:rsidRDefault="00D804E1">
            <w:pPr>
              <w:pStyle w:val="TAC"/>
              <w:rPr>
                <w:rFonts w:ascii="Times New Roman" w:eastAsia="바탕" w:hAnsi="Times New Roman"/>
                <w:color w:val="000000"/>
                <w:sz w:val="20"/>
              </w:rPr>
            </w:pPr>
            <w:r>
              <w:rPr>
                <w:rFonts w:ascii="Times New Roman" w:eastAsia="바탕"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560C59BB">
                <v:shape id="_x0000_i1026" type="#_x0000_t75" style="width:14.55pt;height:14.55pt" o:ole="">
                  <v:imagedata r:id="rId14" o:title=""/>
                </v:shape>
                <o:OLEObject Type="Embed" ProgID="Equation.3" ShapeID="_x0000_i1026" DrawAspect="Content" ObjectID="_1696108618"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32DB3C0B">
                <v:shape id="_x0000_i1027" type="#_x0000_t75" style="width:14.55pt;height:14.55pt" o:ole="">
                  <v:imagedata r:id="rId14" o:title=""/>
                </v:shape>
                <o:OLEObject Type="Embed" ProgID="Equation.3" ShapeID="_x0000_i1027" DrawAspect="Content" ObjectID="_1696108619"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1F9B350F">
                <v:shape id="_x0000_i1028" type="#_x0000_t75" style="width:14.55pt;height:14.55pt" o:ole="">
                  <v:imagedata r:id="rId14" o:title=""/>
                </v:shape>
                <o:OLEObject Type="Embed" ProgID="Equation.3" ShapeID="_x0000_i1028" DrawAspect="Content" ObjectID="_1696108620" r:id="rId18"/>
              </w:object>
            </w:r>
          </w:p>
        </w:tc>
        <w:tc>
          <w:tcPr>
            <w:tcW w:w="8666" w:type="dxa"/>
            <w:gridSpan w:val="2"/>
            <w:shd w:val="clear" w:color="auto" w:fill="auto"/>
          </w:tcPr>
          <w:p w14:paraId="392A70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204F49BB">
                <v:shape id="_x0000_i1029" type="#_x0000_t75" style="width:14.55pt;height:14.55pt" o:ole="">
                  <v:imagedata r:id="rId14" o:title=""/>
                </v:shape>
                <o:OLEObject Type="Embed" ProgID="Equation.3" ShapeID="_x0000_i1029" DrawAspect="Content" ObjectID="_1696108621"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CCC5723">
                <v:shape id="_x0000_i1030" type="#_x0000_t75" style="width:14.55pt;height:14.55pt" o:ole="">
                  <v:imagedata r:id="rId14" o:title=""/>
                </v:shape>
                <o:OLEObject Type="Embed" ProgID="Equation.3" ShapeID="_x0000_i1030" DrawAspect="Content" ObjectID="_1696108622"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6637A923">
                <v:shape id="_x0000_i1031" type="#_x0000_t75" style="width:14.55pt;height:14.55pt" o:ole="">
                  <v:imagedata r:id="rId14" o:title=""/>
                </v:shape>
                <o:OLEObject Type="Embed" ProgID="Equation.3" ShapeID="_x0000_i1031" DrawAspect="Content" ObjectID="_1696108623" r:id="rId21"/>
              </w:object>
            </w:r>
          </w:p>
        </w:tc>
        <w:tc>
          <w:tcPr>
            <w:tcW w:w="8666" w:type="dxa"/>
            <w:gridSpan w:val="2"/>
            <w:shd w:val="clear" w:color="auto" w:fill="auto"/>
          </w:tcPr>
          <w:p w14:paraId="2C726019"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0060923D">
                <v:shape id="_x0000_i1032" type="#_x0000_t75" style="width:14.55pt;height:14.55pt" o:ole="">
                  <v:imagedata r:id="rId14" o:title=""/>
                </v:shape>
                <o:OLEObject Type="Embed" ProgID="Equation.3" ShapeID="_x0000_i1032" DrawAspect="Content" ObjectID="_1696108624"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3D6DE91">
                <v:shape id="_x0000_i1033" type="#_x0000_t75" style="width:14.55pt;height:14.55pt" o:ole="">
                  <v:imagedata r:id="rId14" o:title=""/>
                </v:shape>
                <o:OLEObject Type="Embed" ProgID="Equation.3" ShapeID="_x0000_i1033" DrawAspect="Content" ObjectID="_1696108625"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w:t>
            </w:r>
            <w:proofErr w:type="gramStart"/>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B4606C" w14:paraId="3D278E19" w14:textId="77777777">
        <w:trPr>
          <w:trHeight w:val="339"/>
        </w:trPr>
        <w:tc>
          <w:tcPr>
            <w:tcW w:w="1871" w:type="dxa"/>
          </w:tcPr>
          <w:p w14:paraId="3F33E174" w14:textId="3D4D34B0" w:rsidR="00B4606C" w:rsidRDefault="00B4606C" w:rsidP="006140D1">
            <w:pPr>
              <w:pStyle w:val="BodyText"/>
              <w:spacing w:after="0" w:line="280" w:lineRule="atLeast"/>
              <w:rPr>
                <w:rFonts w:ascii="Times New Roman" w:hAnsi="Times New Roman"/>
                <w:szCs w:val="20"/>
                <w:lang w:eastAsia="zh-CN"/>
              </w:rPr>
            </w:pPr>
          </w:p>
        </w:tc>
        <w:tc>
          <w:tcPr>
            <w:tcW w:w="8021" w:type="dxa"/>
          </w:tcPr>
          <w:p w14:paraId="445CF4C9" w14:textId="7E87DD99" w:rsidR="00B4606C" w:rsidRDefault="00B4606C" w:rsidP="00B4606C">
            <w:pPr>
              <w:pStyle w:val="BodyText"/>
              <w:spacing w:after="0" w:line="280" w:lineRule="atLeast"/>
              <w:rPr>
                <w:rFonts w:ascii="Times New Roman" w:hAnsi="Times New Roman"/>
                <w:szCs w:val="20"/>
                <w:lang w:eastAsia="zh-CN"/>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lastRenderedPageBreak/>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lastRenderedPageBreak/>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 xml:space="preserve">192/14) = 14 slots, </w:t>
            </w:r>
            <w:r>
              <w:rPr>
                <w:rFonts w:ascii="Times New Roman" w:eastAsiaTheme="minorEastAsia" w:hAnsi="Times New Roman"/>
                <w:szCs w:val="20"/>
                <w:lang w:eastAsia="ko-KR"/>
              </w:rPr>
              <w:lastRenderedPageBreak/>
              <w:t>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proofErr w:type="gramStart"/>
            <w:r>
              <w:rPr>
                <w:lang w:eastAsia="zh-CN"/>
              </w:rPr>
              <w:t>Thanks Ericsson</w:t>
            </w:r>
            <w:proofErr w:type="gramEnd"/>
            <w:r>
              <w:rPr>
                <w:lang w:eastAsia="zh-CN"/>
              </w:rPr>
              <w:t xml:space="preserve">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8B676D" w14:paraId="316E83B8" w14:textId="77777777" w:rsidTr="008B676D">
        <w:trPr>
          <w:trHeight w:val="339"/>
        </w:trPr>
        <w:tc>
          <w:tcPr>
            <w:tcW w:w="1871" w:type="dxa"/>
          </w:tcPr>
          <w:p w14:paraId="1AA67D7A" w14:textId="44AD0AF9" w:rsidR="008B676D" w:rsidRDefault="008B676D" w:rsidP="008B676D">
            <w:pPr>
              <w:pStyle w:val="BodyText"/>
              <w:spacing w:before="0" w:after="0" w:line="240" w:lineRule="auto"/>
              <w:rPr>
                <w:rFonts w:ascii="Times New Roman" w:hAnsi="Times New Roman"/>
                <w:szCs w:val="20"/>
                <w:lang w:eastAsia="zh-CN"/>
              </w:rPr>
            </w:pPr>
          </w:p>
        </w:tc>
        <w:tc>
          <w:tcPr>
            <w:tcW w:w="8021" w:type="dxa"/>
          </w:tcPr>
          <w:p w14:paraId="3BF7EDE7" w14:textId="1FF09E2E" w:rsidR="008B676D" w:rsidRDefault="008B676D" w:rsidP="008B676D">
            <w:pPr>
              <w:pStyle w:val="BodyText"/>
              <w:spacing w:before="0" w:after="0" w:line="240" w:lineRule="auto"/>
              <w:rPr>
                <w:rFonts w:ascii="Times New Roman" w:hAnsi="Times New Roman"/>
                <w:szCs w:val="20"/>
                <w:lang w:eastAsia="zh-CN"/>
              </w:rPr>
            </w:pPr>
          </w:p>
        </w:tc>
      </w:tr>
      <w:tr w:rsidR="008B676D" w14:paraId="31A760C7" w14:textId="77777777" w:rsidTr="008B676D">
        <w:trPr>
          <w:trHeight w:val="339"/>
        </w:trPr>
        <w:tc>
          <w:tcPr>
            <w:tcW w:w="1871" w:type="dxa"/>
          </w:tcPr>
          <w:p w14:paraId="77C00AA6" w14:textId="764E3258" w:rsidR="008B676D" w:rsidRDefault="008B676D" w:rsidP="008B676D">
            <w:pPr>
              <w:pStyle w:val="BodyText"/>
              <w:spacing w:after="0" w:line="240" w:lineRule="auto"/>
              <w:rPr>
                <w:rFonts w:ascii="Times New Roman" w:hAnsi="Times New Roman"/>
                <w:szCs w:val="20"/>
                <w:lang w:eastAsia="zh-CN"/>
              </w:rPr>
            </w:pPr>
          </w:p>
        </w:tc>
        <w:tc>
          <w:tcPr>
            <w:tcW w:w="8021" w:type="dxa"/>
          </w:tcPr>
          <w:p w14:paraId="1FC708C0" w14:textId="77777777" w:rsidR="008B676D" w:rsidRDefault="008B676D" w:rsidP="008B676D">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w:t>
            </w:r>
            <w:proofErr w:type="gramStart"/>
            <w:r>
              <w:rPr>
                <w:rFonts w:asciiTheme="minorHAnsi" w:hAnsiTheme="minorHAnsi" w:cstheme="minorHAnsi"/>
                <w:szCs w:val="20"/>
                <w:lang w:eastAsia="zh-CN"/>
              </w:rPr>
              <w:t>in  scheduling</w:t>
            </w:r>
            <w:proofErr w:type="gramEnd"/>
            <w:r>
              <w:rPr>
                <w:rFonts w:asciiTheme="minorHAnsi" w:hAnsiTheme="minorHAnsi" w:cstheme="minorHAnsi"/>
                <w:szCs w:val="20"/>
                <w:lang w:eastAsia="zh-CN"/>
              </w:rPr>
              <w:t xml:space="preserve">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Thanks Ericsson</w:t>
            </w:r>
            <w:proofErr w:type="gramEnd"/>
            <w:r>
              <w:rPr>
                <w:rFonts w:ascii="Times New Roman" w:hAnsi="Times New Roman"/>
                <w:szCs w:val="20"/>
                <w:lang w:eastAsia="zh-CN"/>
              </w:rPr>
              <w:t xml:space="preserve"> for the illustrated explanation.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lastRenderedPageBreak/>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Ericsson, Intel, Lenovo, Huawei, Nokia, </w:t>
            </w:r>
            <w:proofErr w:type="spellStart"/>
            <w:r>
              <w:rPr>
                <w:rFonts w:ascii="Times New Roman" w:eastAsiaTheme="minorEastAsia" w:hAnsi="Times New Roman"/>
                <w:szCs w:val="20"/>
                <w:lang w:eastAsia="ko-KR"/>
              </w:rPr>
              <w:t>Futurewei</w:t>
            </w:r>
            <w:proofErr w:type="spellEnd"/>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lastRenderedPageBreak/>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proofErr w:type="gramStart"/>
            <w:r>
              <w:rPr>
                <w:iCs/>
                <w:u w:val="single"/>
                <w:lang w:eastAsia="zh-CN"/>
              </w:rPr>
              <w:t>min(</w:t>
            </w:r>
            <w:proofErr w:type="gramEnd"/>
            <w:r>
              <w:rPr>
                <w:iCs/>
                <w:u w:val="single"/>
                <w:lang w:eastAsia="zh-CN"/>
              </w:rPr>
              <w:t>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xml:space="preserve">, and confirm the values that were left in </w:t>
            </w:r>
            <w:proofErr w:type="gramStart"/>
            <w:r>
              <w:rPr>
                <w:rFonts w:ascii="Times New Roman" w:hAnsi="Times New Roman"/>
                <w:szCs w:val="20"/>
                <w:lang w:eastAsia="zh-CN"/>
              </w:rPr>
              <w:t>[ ]</w:t>
            </w:r>
            <w:proofErr w:type="gramEnd"/>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CSI and data processing latency are not the same. While having bigger delay for CSI will be less visible system performance for stable deployments, data transmission delay will make clear difference. If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w:t>
            </w:r>
            <w:r>
              <w:rPr>
                <w:rFonts w:ascii="Times New Roman" w:hAnsi="Times New Roman"/>
                <w:i/>
                <w:szCs w:val="20"/>
                <w:lang w:eastAsia="zh-CN"/>
              </w:rPr>
              <w:lastRenderedPageBreak/>
              <w:t>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w:t>
            </w:r>
            <w:proofErr w:type="gramStart"/>
            <w:r>
              <w:rPr>
                <w:rFonts w:ascii="Times New Roman" w:hAnsi="Times New Roman"/>
                <w:szCs w:val="20"/>
                <w:lang w:eastAsia="zh-CN"/>
              </w:rPr>
              <w:t>applied,  then</w:t>
            </w:r>
            <w:proofErr w:type="gramEnd"/>
            <w:r>
              <w:rPr>
                <w:rFonts w:ascii="Times New Roman" w:hAnsi="Times New Roman"/>
                <w:szCs w:val="20"/>
                <w:lang w:eastAsia="zh-CN"/>
              </w:rPr>
              <w:t xml:space="preserve">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w:t>
            </w:r>
            <w:r>
              <w:rPr>
                <w:rFonts w:ascii="Times New Roman" w:hAnsi="Times New Roman"/>
                <w:szCs w:val="20"/>
                <w:lang w:eastAsia="zh-CN"/>
              </w:rPr>
              <w:lastRenderedPageBreak/>
              <w:t xml:space="preserve">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lastRenderedPageBreak/>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OK with the proposal.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바탕"/>
                <w:i/>
                <w:lang w:eastAsia="ko-KR"/>
              </w:rPr>
              <w:t>d</w:t>
            </w:r>
            <w:r w:rsidRPr="00C86CEE">
              <w:rPr>
                <w:rFonts w:eastAsia="바탕"/>
                <w:i/>
                <w:vertAlign w:val="subscript"/>
                <w:lang w:eastAsia="ko-KR"/>
              </w:rPr>
              <w:t>1,</w:t>
            </w:r>
            <w:proofErr w:type="gramStart"/>
            <w:r w:rsidRPr="00C86CEE">
              <w:rPr>
                <w:rFonts w:eastAsia="바탕"/>
                <w:i/>
                <w:vertAlign w:val="subscript"/>
                <w:lang w:eastAsia="ko-KR"/>
              </w:rPr>
              <w:t>1</w:t>
            </w:r>
            <w:r>
              <w:rPr>
                <w:rFonts w:ascii="Times New Roman" w:hAnsi="Times New Roman"/>
                <w:szCs w:val="20"/>
                <w:lang w:eastAsia="zh-CN"/>
              </w:rPr>
              <w:t xml:space="preserve">  should</w:t>
            </w:r>
            <w:proofErr w:type="gramEnd"/>
            <w:r>
              <w:rPr>
                <w:rFonts w:ascii="Times New Roman" w:hAnsi="Times New Roman"/>
                <w:szCs w:val="20"/>
                <w:lang w:eastAsia="zh-CN"/>
              </w:rPr>
              <w:t xml:space="preserve">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바탕"/>
                <w:b/>
                <w:i/>
                <w:lang w:eastAsia="ko-KR"/>
              </w:rPr>
              <w:t xml:space="preserve"> </w:t>
            </w:r>
            <w:r w:rsidRPr="00C86CEE">
              <w:rPr>
                <w:rFonts w:eastAsia="바탕"/>
                <w:i/>
                <w:lang w:eastAsia="ko-KR"/>
              </w:rPr>
              <w:t>d</w:t>
            </w:r>
            <w:r w:rsidRPr="00C86CEE">
              <w:rPr>
                <w:rFonts w:eastAsia="바탕"/>
                <w:i/>
                <w:vertAlign w:val="subscript"/>
                <w:lang w:eastAsia="ko-KR"/>
              </w:rPr>
              <w:t>1,</w:t>
            </w:r>
            <w:proofErr w:type="gramStart"/>
            <w:r w:rsidRPr="00C86CEE">
              <w:rPr>
                <w:rFonts w:eastAsia="바탕"/>
                <w:i/>
                <w:vertAlign w:val="subscript"/>
                <w:lang w:eastAsia="ko-KR"/>
              </w:rPr>
              <w:t>1</w:t>
            </w:r>
            <w:r w:rsidRPr="00C86CEE">
              <w:rPr>
                <w:rFonts w:eastAsia="바탕"/>
                <w:lang w:eastAsia="ko-KR"/>
              </w:rPr>
              <w:t xml:space="preserve"> )</w:t>
            </w:r>
            <w:proofErr w:type="gramEnd"/>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바탕"/>
                <w:i/>
                <w:lang w:eastAsia="ko-KR"/>
              </w:rPr>
              <w:t xml:space="preserve"> 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w:t>
                  </w:r>
                  <w:proofErr w:type="spellStart"/>
                  <w:r>
                    <w:rPr>
                      <w:rFonts w:eastAsia="굴림"/>
                      <w:b/>
                      <w:bCs/>
                      <w:sz w:val="16"/>
                      <w:szCs w:val="16"/>
                      <w:lang w:val="en-GB" w:eastAsia="zh-CN"/>
                    </w:rPr>
                    <w:t>ms</w:t>
                  </w:r>
                  <w:proofErr w:type="spellEnd"/>
                  <w:r>
                    <w:rPr>
                      <w:rFonts w:eastAsia="굴림"/>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굴림"/>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lastRenderedPageBreak/>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15pt;height:18.85pt" o:ole="">
                  <v:imagedata r:id="rId40" o:title=""/>
                </v:shape>
                <o:OLEObject Type="Embed" ProgID="Equation.DSMT4" ShapeID="_x0000_i1034" DrawAspect="Content" ObjectID="_1696108626"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5632A5" w14:paraId="5C96FD48" w14:textId="77777777" w:rsidTr="005632A5">
        <w:trPr>
          <w:trHeight w:val="339"/>
        </w:trPr>
        <w:tc>
          <w:tcPr>
            <w:tcW w:w="1871" w:type="dxa"/>
          </w:tcPr>
          <w:p w14:paraId="5A964863" w14:textId="6F5E9FD6" w:rsidR="005632A5" w:rsidRPr="000B4FD1" w:rsidRDefault="005632A5" w:rsidP="005632A5">
            <w:pPr>
              <w:pStyle w:val="BodyText"/>
              <w:spacing w:after="0" w:line="280" w:lineRule="atLeast"/>
              <w:rPr>
                <w:rFonts w:ascii="Times New Roman" w:hAnsi="Times New Roman" w:hint="eastAsia"/>
                <w:szCs w:val="20"/>
                <w:lang w:eastAsia="zh-CN"/>
              </w:rPr>
            </w:pPr>
          </w:p>
        </w:tc>
        <w:tc>
          <w:tcPr>
            <w:tcW w:w="8021" w:type="dxa"/>
          </w:tcPr>
          <w:p w14:paraId="5263E00C" w14:textId="77777777" w:rsidR="005632A5" w:rsidRPr="000B4FD1" w:rsidRDefault="005632A5" w:rsidP="005632A5">
            <w:pPr>
              <w:pStyle w:val="BodyText"/>
              <w:spacing w:after="0" w:line="240" w:lineRule="auto"/>
              <w:rPr>
                <w:rFonts w:ascii="Times New Roman" w:eastAsiaTheme="minorEastAsia" w:hAnsi="Times New Roman" w:hint="eastAsia"/>
                <w:szCs w:val="20"/>
                <w:lang w:eastAsia="ko-KR"/>
              </w:rPr>
            </w:pP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lastRenderedPageBreak/>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77777777" w:rsidR="00C95FCB" w:rsidRPr="009C50BB" w:rsidRDefault="00D804E1" w:rsidP="009C50BB">
      <w:pPr>
        <w:pStyle w:val="Heading5"/>
      </w:pPr>
      <w:r w:rsidRPr="009C50BB">
        <w:t xml:space="preserve">Discussion </w:t>
      </w:r>
      <w:proofErr w:type="gramStart"/>
      <w:r w:rsidRPr="009C50BB">
        <w:t>point</w:t>
      </w:r>
      <w:proofErr w:type="gramEnd"/>
      <w:r w:rsidRPr="009C50BB">
        <w:t xml:space="preserve"> 1-8</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lastRenderedPageBreak/>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 xml:space="preserve">to de-prioritize the </w:t>
            </w:r>
            <w:proofErr w:type="gramStart"/>
            <w:r w:rsidR="00F91D08">
              <w:rPr>
                <w:rFonts w:ascii="Times New Roman" w:hAnsi="Times New Roman"/>
                <w:szCs w:val="20"/>
                <w:lang w:eastAsia="zh-CN"/>
              </w:rPr>
              <w:t>discussions)  when</w:t>
            </w:r>
            <w:proofErr w:type="gramEnd"/>
            <w:r w:rsidR="00F91D08">
              <w:rPr>
                <w:rFonts w:ascii="Times New Roman" w:hAnsi="Times New Roman"/>
                <w:szCs w:val="20"/>
                <w:lang w:eastAsia="zh-CN"/>
              </w:rPr>
              <w:t xml:space="preserve">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5632A5">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lastRenderedPageBreak/>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바탕"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바탕"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굴림"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바탕"/>
                <w:lang w:eastAsia="ko-KR"/>
              </w:rPr>
              <w:t>noticeable improvements</w:t>
            </w:r>
            <w:proofErr w:type="gramEnd"/>
            <w:r>
              <w:rPr>
                <w:rFonts w:eastAsia="바탕"/>
                <w:lang w:eastAsia="ko-KR"/>
              </w:rPr>
              <w:t xml:space="preserve">. </w:t>
            </w:r>
          </w:p>
          <w:p w14:paraId="10E9CC00" w14:textId="77777777" w:rsidR="00C95FCB" w:rsidRDefault="00D804E1">
            <w:pPr>
              <w:spacing w:after="120" w:line="240" w:lineRule="auto"/>
              <w:rPr>
                <w:rFonts w:eastAsia="바탕"/>
                <w:lang w:eastAsia="ko-KR"/>
              </w:rPr>
            </w:pPr>
            <w:r>
              <w:rPr>
                <w:rFonts w:eastAsia="바탕"/>
                <w:lang w:eastAsia="ko-KR"/>
              </w:rPr>
              <w:t>Proposal #20: Keep current PTRS density values K = 2 and K = 4, without extending the set.</w:t>
            </w:r>
          </w:p>
          <w:p w14:paraId="7443CC2D" w14:textId="77777777" w:rsidR="00C95FCB" w:rsidRDefault="00D804E1">
            <w:pPr>
              <w:spacing w:after="120" w:line="240" w:lineRule="auto"/>
              <w:rPr>
                <w:rFonts w:eastAsia="바탕"/>
                <w:lang w:eastAsia="ko-KR"/>
              </w:rPr>
            </w:pPr>
            <w:r>
              <w:rPr>
                <w:rFonts w:eastAsia="바탕"/>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 xml:space="preserve">ower boosting is applied to only block PTRS with decreased power of data, making sure the total power per OFDM symbol </w:t>
      </w:r>
      <w:proofErr w:type="gramStart"/>
      <w:r>
        <w:rPr>
          <w:color w:val="000000" w:themeColor="text1"/>
          <w:lang w:eastAsia="zh-CN"/>
        </w:rPr>
        <w:t>are</w:t>
      </w:r>
      <w:proofErr w:type="gramEnd"/>
      <w:r>
        <w:rPr>
          <w:color w:val="000000" w:themeColor="text1"/>
          <w:lang w:eastAsia="zh-CN"/>
        </w:rPr>
        <w:t xml:space="preserv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55pt;height:20.15pt" o:ole="">
            <v:imagedata r:id="rId42" o:title=""/>
          </v:shape>
          <o:OLEObject Type="Embed" ProgID="Equation.3" ShapeID="_x0000_i1035" DrawAspect="Content" ObjectID="_1696108627"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proofErr w:type="spellStart"/>
      <w:r>
        <w:rPr>
          <w:rFonts w:ascii="Times New Roman" w:hAnsi="Times New Roman"/>
          <w:szCs w:val="20"/>
          <w:lang w:val="de-DE" w:eastAsia="zh-CN"/>
        </w:rPr>
        <w:t>No</w:t>
      </w:r>
      <w:proofErr w:type="spellEnd"/>
      <w:r>
        <w:rPr>
          <w:rFonts w:ascii="Times New Roman" w:hAnsi="Times New Roman"/>
          <w:szCs w:val="20"/>
          <w:lang w:val="de-DE" w:eastAsia="zh-CN"/>
        </w:rPr>
        <w:t xml:space="preserve">: [5, vivo], [9, Mitsubishi], [13, Nokia], [21,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results provided by different companies let us now identify the scenarios where block PTRS brings performance gain and which are the proper combinations of pattern/receiver algorithm that work best, and sufficient gain has been pointed out by different sources. The decision </w:t>
            </w:r>
            <w:proofErr w:type="gramStart"/>
            <w:r>
              <w:rPr>
                <w:rFonts w:ascii="Times New Roman" w:eastAsia="MS PMincho" w:hAnsi="Times New Roman"/>
                <w:szCs w:val="20"/>
                <w:lang w:eastAsia="ja-JP"/>
              </w:rPr>
              <w:t>was  supposed</w:t>
            </w:r>
            <w:proofErr w:type="gramEnd"/>
            <w:r>
              <w:rPr>
                <w:rFonts w:ascii="Times New Roman" w:eastAsia="MS PMincho" w:hAnsi="Times New Roman"/>
                <w:szCs w:val="20"/>
                <w:lang w:eastAsia="ja-JP"/>
              </w:rPr>
              <w:t xml:space="preserve">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w:t>
            </w:r>
            <w:proofErr w:type="gramStart"/>
            <w:r>
              <w:rPr>
                <w:rFonts w:ascii="Times New Roman" w:eastAsia="MS PMincho" w:hAnsi="Times New Roman"/>
                <w:szCs w:val="20"/>
                <w:lang w:eastAsia="ja-JP"/>
              </w:rPr>
              <w:t>mis-interpretation</w:t>
            </w:r>
            <w:proofErr w:type="gramEnd"/>
            <w:r>
              <w:rPr>
                <w:rFonts w:ascii="Times New Roman" w:eastAsia="MS PMincho" w:hAnsi="Times New Roman"/>
                <w:szCs w:val="20"/>
                <w:lang w:eastAsia="ja-JP"/>
              </w:rPr>
              <w:t xml:space="preserve">).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w:t>
            </w:r>
            <w:proofErr w:type="gramStart"/>
            <w:r>
              <w:rPr>
                <w:rFonts w:ascii="Times New Roman" w:hAnsi="Times New Roman"/>
                <w:szCs w:val="20"/>
                <w:lang w:eastAsia="zh-CN"/>
              </w:rPr>
              <w:t>time  any</w:t>
            </w:r>
            <w:proofErr w:type="gramEnd"/>
            <w:r>
              <w:rPr>
                <w:rFonts w:ascii="Times New Roman" w:hAnsi="Times New Roman"/>
                <w:szCs w:val="20"/>
                <w:lang w:eastAsia="zh-CN"/>
              </w:rPr>
              <w:t xml:space="preserve">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D47D0" w14:paraId="5E7CFB7C" w14:textId="77777777" w:rsidTr="008A7105">
        <w:trPr>
          <w:trHeight w:val="339"/>
        </w:trPr>
        <w:tc>
          <w:tcPr>
            <w:tcW w:w="1871" w:type="dxa"/>
          </w:tcPr>
          <w:p w14:paraId="6115631D" w14:textId="77777777" w:rsidR="007D47D0" w:rsidRDefault="007D47D0" w:rsidP="008A7105">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 xml:space="preserve">Discussion </w:t>
      </w:r>
      <w:proofErr w:type="gramStart"/>
      <w:r w:rsidRPr="009C4B22">
        <w:rPr>
          <w:rFonts w:ascii="Arial" w:hAnsi="Arial" w:cs="Arial"/>
          <w:sz w:val="22"/>
          <w:szCs w:val="22"/>
        </w:rPr>
        <w:t>point</w:t>
      </w:r>
      <w:proofErr w:type="gramEnd"/>
      <w:r w:rsidRPr="009C4B22">
        <w:rPr>
          <w:rFonts w:ascii="Arial" w:hAnsi="Arial" w:cs="Arial"/>
          <w:sz w:val="22"/>
          <w:szCs w:val="22"/>
        </w:rPr>
        <w:t xml:space="preserve">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바탕"/>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proofErr w:type="spellStart"/>
      <w:r>
        <w:rPr>
          <w:rFonts w:ascii="Times New Roman" w:hAnsi="Times New Roman"/>
          <w:szCs w:val="20"/>
          <w:lang w:val="de-DE"/>
        </w:rPr>
        <w:t>support</w:t>
      </w:r>
      <w:proofErr w:type="spellEnd"/>
      <w:r>
        <w:rPr>
          <w:rFonts w:ascii="Times New Roman" w:hAnsi="Times New Roman"/>
          <w:szCs w:val="20"/>
          <w:lang w:val="de-DE"/>
        </w:rPr>
        <w:t xml:space="preserve">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w:t>
            </w:r>
            <w:r>
              <w:rPr>
                <w:rFonts w:ascii="Times New Roman" w:eastAsiaTheme="minorEastAsia" w:hAnsi="Times New Roman"/>
                <w:szCs w:val="20"/>
                <w:lang w:eastAsia="ko-KR"/>
              </w:rPr>
              <w:lastRenderedPageBreak/>
              <w:t xml:space="preserve">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w:t>
            </w:r>
            <w:proofErr w:type="gramStart"/>
            <w:r>
              <w:rPr>
                <w:rFonts w:ascii="Times New Roman" w:hAnsi="Times New Roman" w:hint="eastAsia"/>
                <w:szCs w:val="20"/>
                <w:lang w:eastAsia="zh-CN"/>
              </w:rPr>
              <w:t>increasing  PTRS</w:t>
            </w:r>
            <w:proofErr w:type="gramEnd"/>
            <w:r>
              <w:rPr>
                <w:rFonts w:ascii="Times New Roman" w:hAnsi="Times New Roman" w:hint="eastAsia"/>
                <w:szCs w:val="20"/>
                <w:lang w:eastAsia="zh-CN"/>
              </w:rPr>
              <w:t xml:space="preserve">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w:t>
      </w:r>
      <w:proofErr w:type="spellStart"/>
      <w:r>
        <w:rPr>
          <w:rFonts w:asciiTheme="minorHAnsi" w:hAnsiTheme="minorHAnsi" w:cstheme="minorHAnsi"/>
          <w:lang w:eastAsia="zh-CN"/>
        </w:rPr>
        <w:t>roposed</w:t>
      </w:r>
      <w:proofErr w:type="spellEnd"/>
      <w:r>
        <w:rPr>
          <w:rFonts w:asciiTheme="minorHAnsi" w:hAnsiTheme="minorHAnsi" w:cstheme="minorHAnsi"/>
          <w:lang w:eastAsia="zh-CN"/>
        </w:rPr>
        <w:t xml:space="preserve">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77777777" w:rsidR="00C95FCB" w:rsidRDefault="00D804E1">
      <w:pPr>
        <w:pStyle w:val="Heading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lastRenderedPageBreak/>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lastRenderedPageBreak/>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77777777" w:rsidR="00C95FCB" w:rsidRDefault="00D804E1">
      <w:pPr>
        <w:pStyle w:val="Heading5"/>
        <w:rPr>
          <w:lang w:eastAsia="zh-CN"/>
        </w:rPr>
      </w:pPr>
      <w:r>
        <w:rPr>
          <w:lang w:eastAsia="zh-CN"/>
        </w:rPr>
        <w:t xml:space="preserve">Discussion </w:t>
      </w:r>
      <w:proofErr w:type="gramStart"/>
      <w:r>
        <w:rPr>
          <w:lang w:eastAsia="zh-CN"/>
        </w:rPr>
        <w:t>point</w:t>
      </w:r>
      <w:proofErr w:type="gramEnd"/>
      <w:r>
        <w:rPr>
          <w:lang w:eastAsia="zh-CN"/>
        </w:rPr>
        <w:t xml:space="preserve"> 2-6</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lastRenderedPageBreak/>
              <w:t>Futurewei</w:t>
            </w:r>
            <w:proofErr w:type="spellEnd"/>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w:t>
            </w:r>
            <w:r>
              <w:rPr>
                <w:rFonts w:eastAsia="MS PMincho"/>
                <w:b w:val="0"/>
                <w:lang w:eastAsia="ja-JP"/>
              </w:rPr>
              <w:lastRenderedPageBreak/>
              <w:t>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바탕" w:hAnsiTheme="minorHAnsi" w:cstheme="minorHAnsi"/>
                <w:lang w:eastAsia="ko-KR"/>
              </w:rPr>
            </w:pPr>
          </w:p>
          <w:p w14:paraId="6A129411" w14:textId="77777777" w:rsidR="00C95FCB" w:rsidRDefault="00D804E1">
            <w:pPr>
              <w:spacing w:line="280" w:lineRule="atLeast"/>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바탕" w:hAnsiTheme="minorHAnsi" w:cstheme="minorHAnsi"/>
                <w:sz w:val="20"/>
                <w:szCs w:val="20"/>
                <w:lang w:eastAsia="ko-KR"/>
              </w:rPr>
            </w:pPr>
            <w:r>
              <w:rPr>
                <w:rFonts w:asciiTheme="minorHAnsi" w:hAnsiTheme="minorHAnsi" w:cstheme="minorHAnsi"/>
                <w:bCs/>
                <w:sz w:val="20"/>
                <w:szCs w:val="20"/>
              </w:rPr>
              <w:t xml:space="preserve">Applying the same behavior for DMRS </w:t>
            </w:r>
            <w:proofErr w:type="gramStart"/>
            <w:r>
              <w:rPr>
                <w:rFonts w:asciiTheme="minorHAnsi" w:hAnsiTheme="minorHAnsi" w:cstheme="minorHAnsi"/>
                <w:bCs/>
                <w:sz w:val="20"/>
                <w:szCs w:val="20"/>
              </w:rPr>
              <w:t>type-2</w:t>
            </w:r>
            <w:proofErr w:type="gramEnd"/>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FFS whether applies to DMRS </w:t>
            </w:r>
            <w:proofErr w:type="gramStart"/>
            <w:r>
              <w:rPr>
                <w:lang w:eastAsia="zh-CN"/>
              </w:rPr>
              <w:t>type-2</w:t>
            </w:r>
            <w:proofErr w:type="gramEnd"/>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77777777" w:rsidR="00C95FCB" w:rsidRDefault="00D804E1">
      <w:pPr>
        <w:pStyle w:val="Heading5"/>
      </w:pPr>
      <w:r>
        <w:t xml:space="preserve">Discussion </w:t>
      </w:r>
      <w:proofErr w:type="gramStart"/>
      <w:r>
        <w:t>point</w:t>
      </w:r>
      <w:proofErr w:type="gramEnd"/>
      <w:r>
        <w:t xml:space="preserve"> 3-3 </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7777777" w:rsidR="00C95FCB" w:rsidRDefault="00D804E1">
      <w:pPr>
        <w:pStyle w:val="Heading5"/>
      </w:pPr>
      <w:r>
        <w:t xml:space="preserve">Discussion </w:t>
      </w:r>
      <w:proofErr w:type="gramStart"/>
      <w:r>
        <w:t>point</w:t>
      </w:r>
      <w:proofErr w:type="gramEnd"/>
      <w:r>
        <w:t xml:space="preserve"> 4-1 </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w:t>
            </w:r>
            <w:proofErr w:type="gramStart"/>
            <w:r>
              <w:rPr>
                <w:rFonts w:ascii="Times New Roman" w:hAnsi="Times New Roman"/>
                <w:szCs w:val="20"/>
                <w:lang w:eastAsia="zh-CN"/>
              </w:rPr>
              <w:t>SCS,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77777777" w:rsidR="00C95FCB" w:rsidRDefault="00D804E1">
      <w:pPr>
        <w:pStyle w:val="Heading5"/>
      </w:pPr>
      <w:r>
        <w:t xml:space="preserve">Discussion </w:t>
      </w:r>
      <w:proofErr w:type="gramStart"/>
      <w:r>
        <w:t>point</w:t>
      </w:r>
      <w:proofErr w:type="gramEnd"/>
      <w:r>
        <w:t xml:space="preserve"> 4-2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5632A5">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40FB" w14:textId="77777777" w:rsidR="00A27235" w:rsidRDefault="00A27235">
      <w:pPr>
        <w:spacing w:after="0" w:line="240" w:lineRule="auto"/>
      </w:pPr>
      <w:r>
        <w:separator/>
      </w:r>
    </w:p>
  </w:endnote>
  <w:endnote w:type="continuationSeparator" w:id="0">
    <w:p w14:paraId="2B44F3A1" w14:textId="77777777" w:rsidR="00A27235" w:rsidRDefault="00A2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56ECF4A9"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B5BE" w14:textId="77777777" w:rsidR="00A27235" w:rsidRDefault="00A27235">
      <w:pPr>
        <w:spacing w:after="0" w:line="240" w:lineRule="auto"/>
      </w:pPr>
      <w:r>
        <w:separator/>
      </w:r>
    </w:p>
  </w:footnote>
  <w:footnote w:type="continuationSeparator" w:id="0">
    <w:p w14:paraId="53875A94" w14:textId="77777777" w:rsidR="00A27235" w:rsidRDefault="00A27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C5813-328F-40DF-B020-2C73E082E077}">
  <ds:schemaRefs>
    <ds:schemaRef ds:uri="http://schemas.openxmlformats.org/officeDocument/2006/bibliography"/>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B4925CD-2819-4625-82B0-86587C4B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83</Pages>
  <Words>32435</Words>
  <Characters>184886</Characters>
  <Application>Microsoft Office Word</Application>
  <DocSecurity>0</DocSecurity>
  <Lines>1540</Lines>
  <Paragraphs>433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2021-10-18T13:37:00Z</dcterms:created>
  <dcterms:modified xsi:type="dcterms:W3CDTF">2021-10-18T14:03:00Z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