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686618D1" w:rsidR="00DF7B0F" w:rsidRPr="00D22981" w:rsidRDefault="00DF7B0F" w:rsidP="00DF7B0F">
      <w:pPr>
        <w:tabs>
          <w:tab w:val="right" w:pos="9216"/>
        </w:tabs>
        <w:spacing w:after="0"/>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1D6619" w:rsidRPr="00D22981">
        <w:rPr>
          <w:rFonts w:ascii="Arial" w:hAnsi="Arial" w:cs="Arial"/>
          <w:b/>
          <w:kern w:val="2"/>
          <w:lang w:eastAsia="zh-CN"/>
        </w:rPr>
        <w:t>10</w:t>
      </w:r>
      <w:r w:rsidR="007868BA">
        <w:rPr>
          <w:rFonts w:ascii="Arial" w:hAnsi="Arial" w:cs="Arial"/>
          <w:b/>
          <w:kern w:val="2"/>
          <w:lang w:eastAsia="zh-CN"/>
        </w:rPr>
        <w:t>6</w:t>
      </w:r>
      <w:r w:rsidR="00C36713">
        <w:rPr>
          <w:rFonts w:ascii="Arial" w:hAnsi="Arial" w:cs="Arial"/>
          <w:b/>
          <w:kern w:val="2"/>
          <w:lang w:eastAsia="zh-CN"/>
        </w:rPr>
        <w:t>bis</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8D4C9D" w:rsidRPr="00CC7368">
        <w:rPr>
          <w:rFonts w:ascii="Arial" w:hAnsi="Arial" w:cs="Arial"/>
          <w:b/>
          <w:kern w:val="2"/>
          <w:lang w:eastAsia="zh-CN"/>
        </w:rPr>
        <w:t>210</w:t>
      </w:r>
      <w:r w:rsidR="008D4C9D">
        <w:rPr>
          <w:rFonts w:ascii="Arial" w:hAnsi="Arial" w:cs="Arial"/>
          <w:b/>
          <w:kern w:val="2"/>
          <w:lang w:eastAsia="zh-CN"/>
        </w:rPr>
        <w:t>8</w:t>
      </w:r>
      <w:r w:rsidR="00867D5B">
        <w:rPr>
          <w:rFonts w:ascii="Arial" w:hAnsi="Arial" w:cs="Arial"/>
          <w:b/>
          <w:kern w:val="2"/>
          <w:lang w:eastAsia="zh-CN"/>
        </w:rPr>
        <w:t>789</w:t>
      </w:r>
    </w:p>
    <w:p w14:paraId="5853677F" w14:textId="4CC43678" w:rsidR="00DF7B0F" w:rsidRPr="00D22981" w:rsidRDefault="00DF7B0F" w:rsidP="00DF7B0F">
      <w:pPr>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B5717B">
        <w:rPr>
          <w:rFonts w:ascii="Arial" w:hAnsi="Arial" w:cs="Arial"/>
          <w:b/>
          <w:kern w:val="2"/>
          <w:lang w:eastAsia="zh-CN"/>
        </w:rPr>
        <w:t>Oct. 11</w:t>
      </w:r>
      <w:r w:rsidR="00BF70CF">
        <w:rPr>
          <w:rFonts w:ascii="Arial" w:hAnsi="Arial" w:cs="Arial"/>
          <w:b/>
          <w:kern w:val="2"/>
          <w:lang w:eastAsia="zh-CN"/>
        </w:rPr>
        <w:t xml:space="preserve"> – </w:t>
      </w:r>
      <w:r w:rsidR="00B5717B">
        <w:rPr>
          <w:rFonts w:ascii="Arial" w:hAnsi="Arial" w:cs="Arial"/>
          <w:b/>
          <w:kern w:val="2"/>
          <w:lang w:eastAsia="zh-CN"/>
        </w:rPr>
        <w:t>Oct. 19</w:t>
      </w:r>
      <w:r w:rsidR="00BF70CF" w:rsidRPr="00D22981">
        <w:rPr>
          <w:rFonts w:ascii="Arial" w:hAnsi="Arial" w:cs="Arial"/>
          <w:b/>
          <w:kern w:val="2"/>
          <w:lang w:eastAsia="zh-CN"/>
        </w:rPr>
        <w:t>, 202</w:t>
      </w:r>
      <w:r w:rsidR="00BF70CF">
        <w:rPr>
          <w:rFonts w:ascii="Arial" w:hAnsi="Arial" w:cs="Arial"/>
          <w:b/>
          <w:kern w:val="2"/>
          <w:lang w:eastAsia="zh-CN"/>
        </w:rPr>
        <w:t>1</w:t>
      </w:r>
    </w:p>
    <w:p w14:paraId="12B658E4" w14:textId="21544FBB"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t>8.1</w:t>
      </w:r>
      <w:r w:rsidR="00B5717B">
        <w:rPr>
          <w:rFonts w:ascii="Arial" w:hAnsi="Arial" w:cs="Arial"/>
          <w:b/>
          <w:lang w:eastAsia="zh-CN"/>
        </w:rPr>
        <w:t>7</w:t>
      </w:r>
      <w:r>
        <w:rPr>
          <w:rFonts w:ascii="Arial" w:hAnsi="Arial" w:cs="Arial"/>
          <w:b/>
          <w:lang w:eastAsia="zh-CN"/>
        </w:rPr>
        <w:t>.</w:t>
      </w:r>
      <w:r w:rsidR="00867D5B">
        <w:rPr>
          <w:rFonts w:ascii="Arial" w:hAnsi="Arial" w:cs="Arial"/>
          <w:b/>
          <w:lang w:eastAsia="zh-CN"/>
        </w:rPr>
        <w:t>6</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70C39498"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5717B" w:rsidRPr="00B5717B">
        <w:rPr>
          <w:rFonts w:ascii="Arial" w:hAnsi="Arial" w:cs="Arial"/>
          <w:b/>
          <w:lang w:eastAsia="zh-CN"/>
        </w:rPr>
        <w:t xml:space="preserve">UE features for </w:t>
      </w:r>
      <w:r w:rsidR="00867D5B">
        <w:rPr>
          <w:rFonts w:ascii="Arial" w:hAnsi="Arial" w:cs="Arial"/>
          <w:b/>
          <w:lang w:eastAsia="zh-CN"/>
        </w:rPr>
        <w:t>REDCAP</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B7FB32B" w14:textId="4135E209" w:rsidR="00E52B46" w:rsidRDefault="00867D5B" w:rsidP="00E52B46">
      <w:pPr>
        <w:rPr>
          <w:lang w:eastAsia="zh-CN"/>
        </w:rPr>
      </w:pPr>
      <w:r>
        <w:rPr>
          <w:lang w:eastAsia="zh-CN"/>
        </w:rPr>
        <w:t>An initial pass on the</w:t>
      </w:r>
      <w:r w:rsidR="006B64ED" w:rsidRPr="006B64ED">
        <w:rPr>
          <w:lang w:eastAsia="zh-CN"/>
        </w:rPr>
        <w:t xml:space="preserve"> RAN1 UE features for Rel-17 NR </w:t>
      </w:r>
      <w:r w:rsidR="00E56BB0">
        <w:rPr>
          <w:lang w:eastAsia="zh-CN"/>
        </w:rPr>
        <w:t xml:space="preserve">was </w:t>
      </w:r>
      <w:r w:rsidR="006B64ED" w:rsidRPr="006B64ED">
        <w:rPr>
          <w:lang w:eastAsia="zh-CN"/>
        </w:rPr>
        <w:t>provided</w:t>
      </w:r>
      <w:r w:rsidR="006B64ED">
        <w:rPr>
          <w:lang w:eastAsia="zh-CN"/>
        </w:rPr>
        <w:t xml:space="preserve"> in </w:t>
      </w:r>
      <w:r w:rsidR="006B64ED">
        <w:rPr>
          <w:lang w:eastAsia="zh-CN"/>
        </w:rPr>
        <w:fldChar w:fldCharType="begin"/>
      </w:r>
      <w:r w:rsidR="006B64ED">
        <w:rPr>
          <w:lang w:eastAsia="zh-CN"/>
        </w:rPr>
        <w:instrText xml:space="preserve"> REF _Ref83573255 \r \h </w:instrText>
      </w:r>
      <w:r w:rsidR="006B64ED">
        <w:rPr>
          <w:lang w:eastAsia="zh-CN"/>
        </w:rPr>
      </w:r>
      <w:r w:rsidR="006B64ED">
        <w:rPr>
          <w:lang w:eastAsia="zh-CN"/>
        </w:rPr>
        <w:fldChar w:fldCharType="separate"/>
      </w:r>
      <w:r w:rsidR="001A6E6C">
        <w:rPr>
          <w:lang w:eastAsia="zh-CN"/>
        </w:rPr>
        <w:t>[</w:t>
      </w:r>
      <w:r>
        <w:rPr>
          <w:lang w:eastAsia="zh-CN"/>
        </w:rPr>
        <w:t>1</w:t>
      </w:r>
      <w:r w:rsidR="001A6E6C">
        <w:rPr>
          <w:lang w:eastAsia="zh-CN"/>
        </w:rPr>
        <w:t>]</w:t>
      </w:r>
      <w:r w:rsidR="006B64ED">
        <w:rPr>
          <w:lang w:eastAsia="zh-CN"/>
        </w:rPr>
        <w:fldChar w:fldCharType="end"/>
      </w:r>
      <w:r w:rsidR="007F2011">
        <w:rPr>
          <w:lang w:eastAsia="zh-CN"/>
        </w:rPr>
        <w:t>. In this contribution we provide comments on the UE features related to the Rel-17 RedCap</w:t>
      </w:r>
      <w:r w:rsidR="00D24646">
        <w:rPr>
          <w:lang w:eastAsia="zh-CN"/>
        </w:rPr>
        <w:t xml:space="preserve"> </w:t>
      </w:r>
      <w:r w:rsidR="007E06B0">
        <w:rPr>
          <w:lang w:eastAsia="zh-CN"/>
        </w:rPr>
        <w:fldChar w:fldCharType="begin"/>
      </w:r>
      <w:r w:rsidR="007E06B0">
        <w:rPr>
          <w:lang w:eastAsia="zh-CN"/>
        </w:rPr>
        <w:instrText xml:space="preserve"> REF _Ref83669642 \r \h </w:instrText>
      </w:r>
      <w:r w:rsidR="007E06B0">
        <w:rPr>
          <w:lang w:eastAsia="zh-CN"/>
        </w:rPr>
      </w:r>
      <w:r w:rsidR="007E06B0">
        <w:rPr>
          <w:lang w:eastAsia="zh-CN"/>
        </w:rPr>
        <w:fldChar w:fldCharType="separate"/>
      </w:r>
      <w:r w:rsidR="007E06B0">
        <w:rPr>
          <w:lang w:eastAsia="zh-CN"/>
        </w:rPr>
        <w:t>[2]</w:t>
      </w:r>
      <w:r w:rsidR="007E06B0">
        <w:rPr>
          <w:lang w:eastAsia="zh-CN"/>
        </w:rPr>
        <w:fldChar w:fldCharType="end"/>
      </w:r>
      <w:r w:rsidR="007F2011">
        <w:rPr>
          <w:lang w:eastAsia="zh-CN"/>
        </w:rPr>
        <w:t>.</w:t>
      </w:r>
    </w:p>
    <w:p w14:paraId="35954F20" w14:textId="6C0B2D3A" w:rsidR="00816E9B" w:rsidRDefault="00982AAC" w:rsidP="00493C77">
      <w:pPr>
        <w:pStyle w:val="Heading1"/>
      </w:pPr>
      <w:r>
        <w:t>Discussions</w:t>
      </w:r>
    </w:p>
    <w:p w14:paraId="14B02C0F" w14:textId="4B2D3DAC" w:rsidR="007F2011" w:rsidRDefault="00D24646" w:rsidP="00E52B46">
      <w:pPr>
        <w:rPr>
          <w:lang w:eastAsia="zh-CN"/>
        </w:rPr>
      </w:pPr>
      <w:r>
        <w:rPr>
          <w:lang w:eastAsia="zh-CN"/>
        </w:rPr>
        <w:t xml:space="preserve">The proposed RedCap feature groups </w:t>
      </w:r>
      <w:r w:rsidR="00831FEF">
        <w:rPr>
          <w:lang w:eastAsia="zh-CN"/>
        </w:rPr>
        <w:t xml:space="preserve">(FGs) </w:t>
      </w:r>
      <w:r>
        <w:rPr>
          <w:lang w:eastAsia="zh-CN"/>
        </w:rPr>
        <w:t xml:space="preserve">from </w:t>
      </w:r>
      <w:r w:rsidR="007E06B0">
        <w:rPr>
          <w:lang w:eastAsia="zh-CN"/>
        </w:rPr>
        <w:fldChar w:fldCharType="begin"/>
      </w:r>
      <w:r w:rsidR="007E06B0">
        <w:rPr>
          <w:lang w:eastAsia="zh-CN"/>
        </w:rPr>
        <w:instrText xml:space="preserve"> REF _Ref67924775 \r \h </w:instrText>
      </w:r>
      <w:r w:rsidR="007E06B0">
        <w:rPr>
          <w:lang w:eastAsia="zh-CN"/>
        </w:rPr>
      </w:r>
      <w:r w:rsidR="007E06B0">
        <w:rPr>
          <w:lang w:eastAsia="zh-CN"/>
        </w:rPr>
        <w:fldChar w:fldCharType="separate"/>
      </w:r>
      <w:r w:rsidR="007E06B0">
        <w:rPr>
          <w:lang w:eastAsia="zh-CN"/>
        </w:rPr>
        <w:t>[1]</w:t>
      </w:r>
      <w:r w:rsidR="007E06B0">
        <w:rPr>
          <w:lang w:eastAsia="zh-CN"/>
        </w:rPr>
        <w:fldChar w:fldCharType="end"/>
      </w:r>
      <w:r>
        <w:rPr>
          <w:lang w:eastAsia="zh-CN"/>
        </w:rPr>
        <w:t xml:space="preserve"> are shown in the Appendix for convenience. We have three </w:t>
      </w:r>
      <w:r w:rsidR="00F25DA6">
        <w:rPr>
          <w:lang w:eastAsia="zh-CN"/>
        </w:rPr>
        <w:t>observations</w:t>
      </w:r>
      <w:r>
        <w:rPr>
          <w:lang w:eastAsia="zh-CN"/>
        </w:rPr>
        <w:t xml:space="preserve"> with the current formulation.</w:t>
      </w:r>
    </w:p>
    <w:p w14:paraId="74E8B68B" w14:textId="302C018E" w:rsidR="00F25DA6" w:rsidRPr="00F25DA6" w:rsidRDefault="00F25DA6" w:rsidP="00E52B46">
      <w:pPr>
        <w:rPr>
          <w:b/>
          <w:bCs/>
          <w:lang w:eastAsia="zh-CN"/>
        </w:rPr>
      </w:pPr>
      <w:r w:rsidRPr="00F25DA6">
        <w:rPr>
          <w:b/>
          <w:bCs/>
          <w:lang w:eastAsia="zh-CN"/>
        </w:rPr>
        <w:t>Observations</w:t>
      </w:r>
    </w:p>
    <w:p w14:paraId="1AB865F8" w14:textId="2115D9A9" w:rsidR="00D24646" w:rsidRPr="00F25DA6" w:rsidRDefault="00D24646" w:rsidP="00D24646">
      <w:pPr>
        <w:pStyle w:val="ListParagraph"/>
        <w:numPr>
          <w:ilvl w:val="0"/>
          <w:numId w:val="26"/>
        </w:numPr>
        <w:rPr>
          <w:b/>
          <w:bCs/>
          <w:lang w:eastAsia="zh-CN"/>
        </w:rPr>
      </w:pPr>
      <w:bookmarkStart w:id="2" w:name="_Ref83669958"/>
      <w:r w:rsidRPr="00F25DA6">
        <w:rPr>
          <w:b/>
          <w:bCs/>
          <w:lang w:eastAsia="zh-CN"/>
        </w:rPr>
        <w:t>The “Mandatory/Optional” column is missing basic feature-type text such as “A RedCap UE must indicate that this FG is supported”</w:t>
      </w:r>
      <w:bookmarkEnd w:id="2"/>
    </w:p>
    <w:p w14:paraId="45138DE0" w14:textId="681BCA25" w:rsidR="00D24646" w:rsidRPr="00F25DA6" w:rsidRDefault="00D24646" w:rsidP="00D24646">
      <w:pPr>
        <w:pStyle w:val="ListParagraph"/>
        <w:numPr>
          <w:ilvl w:val="0"/>
          <w:numId w:val="26"/>
        </w:numPr>
        <w:rPr>
          <w:b/>
          <w:bCs/>
          <w:lang w:eastAsia="zh-CN"/>
        </w:rPr>
      </w:pPr>
      <w:r w:rsidRPr="00F25DA6">
        <w:rPr>
          <w:b/>
          <w:bCs/>
          <w:lang w:eastAsia="zh-CN"/>
        </w:rPr>
        <w:t>The Early Indication</w:t>
      </w:r>
      <w:r w:rsidR="008C611E" w:rsidRPr="00F25DA6">
        <w:rPr>
          <w:b/>
          <w:bCs/>
          <w:lang w:eastAsia="zh-CN"/>
        </w:rPr>
        <w:t xml:space="preserve"> functionality is missing</w:t>
      </w:r>
    </w:p>
    <w:p w14:paraId="0D26E75A" w14:textId="7E25BFAE" w:rsidR="008C611E" w:rsidRPr="00F25DA6" w:rsidRDefault="008C611E" w:rsidP="00D24646">
      <w:pPr>
        <w:pStyle w:val="ListParagraph"/>
        <w:numPr>
          <w:ilvl w:val="0"/>
          <w:numId w:val="26"/>
        </w:numPr>
        <w:rPr>
          <w:b/>
          <w:bCs/>
          <w:lang w:eastAsia="zh-CN"/>
        </w:rPr>
      </w:pPr>
      <w:r w:rsidRPr="00F25DA6">
        <w:rPr>
          <w:b/>
          <w:bCs/>
          <w:lang w:eastAsia="zh-CN"/>
        </w:rPr>
        <w:t>The 256QAM handling is confusing</w:t>
      </w:r>
      <w:r w:rsidR="00C156A4" w:rsidRPr="00C156A4">
        <w:rPr>
          <w:b/>
          <w:bCs/>
          <w:lang w:eastAsia="zh-CN"/>
        </w:rPr>
        <w:t xml:space="preserve">; no new </w:t>
      </w:r>
      <w:r w:rsidR="00C156A4">
        <w:rPr>
          <w:b/>
          <w:bCs/>
          <w:lang w:eastAsia="zh-CN"/>
        </w:rPr>
        <w:t>R</w:t>
      </w:r>
      <w:r w:rsidR="00C156A4" w:rsidRPr="00C156A4">
        <w:rPr>
          <w:b/>
          <w:bCs/>
          <w:lang w:eastAsia="zh-CN"/>
        </w:rPr>
        <w:t xml:space="preserve">el-17 capability </w:t>
      </w:r>
      <w:proofErr w:type="spellStart"/>
      <w:r w:rsidR="00C156A4" w:rsidRPr="00C156A4">
        <w:rPr>
          <w:b/>
          <w:bCs/>
          <w:lang w:eastAsia="zh-CN"/>
        </w:rPr>
        <w:t>signaling</w:t>
      </w:r>
      <w:proofErr w:type="spellEnd"/>
      <w:r w:rsidR="00C156A4" w:rsidRPr="00C156A4">
        <w:rPr>
          <w:b/>
          <w:bCs/>
          <w:lang w:eastAsia="zh-CN"/>
        </w:rPr>
        <w:t xml:space="preserve"> is needed</w:t>
      </w:r>
    </w:p>
    <w:p w14:paraId="77D82761" w14:textId="7DAB1132" w:rsidR="00831FEF" w:rsidRDefault="00831FEF" w:rsidP="00E52B46">
      <w:pPr>
        <w:rPr>
          <w:lang w:eastAsia="zh-CN"/>
        </w:rPr>
      </w:pPr>
      <w:r w:rsidRPr="00831FEF">
        <w:rPr>
          <w:lang w:eastAsia="zh-CN"/>
        </w:rPr>
        <w:t>“Basic” features</w:t>
      </w:r>
      <w:r w:rsidR="008C611E" w:rsidRPr="00831FEF">
        <w:rPr>
          <w:lang w:eastAsia="zh-CN"/>
        </w:rPr>
        <w:t xml:space="preserve"> as discussed</w:t>
      </w:r>
      <w:r w:rsidR="008C611E">
        <w:rPr>
          <w:lang w:eastAsia="zh-CN"/>
        </w:rPr>
        <w:t xml:space="preserve"> in</w:t>
      </w:r>
      <w:r w:rsidR="007E06B0">
        <w:rPr>
          <w:lang w:eastAsia="zh-CN"/>
        </w:rPr>
        <w:t xml:space="preserve"> </w:t>
      </w:r>
      <w:r w:rsidR="007E06B0">
        <w:rPr>
          <w:lang w:eastAsia="zh-CN"/>
        </w:rPr>
        <w:fldChar w:fldCharType="begin"/>
      </w:r>
      <w:r w:rsidR="007E06B0">
        <w:rPr>
          <w:lang w:eastAsia="zh-CN"/>
        </w:rPr>
        <w:instrText xml:space="preserve"> REF _Ref83669686 \r \h </w:instrText>
      </w:r>
      <w:r w:rsidR="007E06B0">
        <w:rPr>
          <w:lang w:eastAsia="zh-CN"/>
        </w:rPr>
      </w:r>
      <w:r w:rsidR="007E06B0">
        <w:rPr>
          <w:lang w:eastAsia="zh-CN"/>
        </w:rPr>
        <w:fldChar w:fldCharType="separate"/>
      </w:r>
      <w:r w:rsidR="007E06B0">
        <w:rPr>
          <w:lang w:eastAsia="zh-CN"/>
        </w:rPr>
        <w:t>[3]</w:t>
      </w:r>
      <w:r w:rsidR="007E06B0">
        <w:rPr>
          <w:lang w:eastAsia="zh-CN"/>
        </w:rPr>
        <w:fldChar w:fldCharType="end"/>
      </w:r>
      <w:r w:rsidR="008C611E">
        <w:rPr>
          <w:lang w:eastAsia="zh-CN"/>
        </w:rPr>
        <w:t xml:space="preserve"> </w:t>
      </w:r>
      <w:r>
        <w:rPr>
          <w:lang w:eastAsia="zh-CN"/>
        </w:rPr>
        <w:t>were</w:t>
      </w:r>
      <w:r w:rsidR="008C611E">
        <w:rPr>
          <w:lang w:eastAsia="zh-CN"/>
        </w:rPr>
        <w:t xml:space="preserve"> used in the development of the Rel-16 UE features list </w:t>
      </w:r>
      <w:r w:rsidR="007E06B0">
        <w:rPr>
          <w:lang w:eastAsia="zh-CN"/>
        </w:rPr>
        <w:fldChar w:fldCharType="begin"/>
      </w:r>
      <w:r w:rsidR="007E06B0">
        <w:rPr>
          <w:lang w:eastAsia="zh-CN"/>
        </w:rPr>
        <w:instrText xml:space="preserve"> REF _Ref83590450 \r \h </w:instrText>
      </w:r>
      <w:r w:rsidR="007E06B0">
        <w:rPr>
          <w:lang w:eastAsia="zh-CN"/>
        </w:rPr>
      </w:r>
      <w:r w:rsidR="007E06B0">
        <w:rPr>
          <w:lang w:eastAsia="zh-CN"/>
        </w:rPr>
        <w:fldChar w:fldCharType="separate"/>
      </w:r>
      <w:r w:rsidR="007E06B0">
        <w:rPr>
          <w:lang w:eastAsia="zh-CN"/>
        </w:rPr>
        <w:t>[4]</w:t>
      </w:r>
      <w:r w:rsidR="007E06B0">
        <w:rPr>
          <w:lang w:eastAsia="zh-CN"/>
        </w:rPr>
        <w:fldChar w:fldCharType="end"/>
      </w:r>
      <w:r w:rsidR="008C611E">
        <w:rPr>
          <w:lang w:eastAsia="zh-CN"/>
        </w:rPr>
        <w:t xml:space="preserve"> for </w:t>
      </w:r>
      <w:proofErr w:type="gramStart"/>
      <w:r w:rsidR="008C611E">
        <w:rPr>
          <w:lang w:eastAsia="zh-CN"/>
        </w:rPr>
        <w:t>a number of</w:t>
      </w:r>
      <w:proofErr w:type="gramEnd"/>
      <w:r w:rsidR="008C611E">
        <w:rPr>
          <w:lang w:eastAsia="zh-CN"/>
        </w:rPr>
        <w:t xml:space="preserve"> features, such as NRU, V2X, and others. </w:t>
      </w:r>
      <w:r w:rsidR="007E06B0">
        <w:rPr>
          <w:lang w:eastAsia="zh-CN"/>
        </w:rPr>
        <w:t>Alt</w:t>
      </w:r>
      <w:r w:rsidR="008C611E">
        <w:rPr>
          <w:lang w:eastAsia="zh-CN"/>
        </w:rPr>
        <w:t>hough all features and FG are “optional with capability</w:t>
      </w:r>
      <w:r>
        <w:rPr>
          <w:lang w:eastAsia="zh-CN"/>
        </w:rPr>
        <w:t xml:space="preserve"> signalling”, any FG designated as “basic” must be supported by the UE when the feature is supported. In some cases, the FG structure was first decided with a note that </w:t>
      </w:r>
      <w:r w:rsidR="00E56BB0">
        <w:rPr>
          <w:lang w:eastAsia="zh-CN"/>
        </w:rPr>
        <w:t xml:space="preserve">stating </w:t>
      </w:r>
      <w:proofErr w:type="gramStart"/>
      <w:r>
        <w:rPr>
          <w:lang w:eastAsia="zh-CN"/>
        </w:rPr>
        <w:t>a</w:t>
      </w:r>
      <w:proofErr w:type="gramEnd"/>
      <w:r>
        <w:rPr>
          <w:lang w:eastAsia="zh-CN"/>
        </w:rPr>
        <w:t xml:space="preserve"> FG “may be basic”, and then whether it was basic or not later. The term “basic” itself is just a shorthand, anything equivalent to “the UE must indicate that this FG is supported” for the feature </w:t>
      </w:r>
      <w:r w:rsidR="00E56BB0">
        <w:rPr>
          <w:lang w:eastAsia="zh-CN"/>
        </w:rPr>
        <w:t xml:space="preserve">to </w:t>
      </w:r>
      <w:r>
        <w:rPr>
          <w:lang w:eastAsia="zh-CN"/>
        </w:rPr>
        <w:t>be used.</w:t>
      </w:r>
    </w:p>
    <w:p w14:paraId="490847F8" w14:textId="26BFB02A" w:rsidR="00831FEF" w:rsidRDefault="00831FEF" w:rsidP="00E52B46">
      <w:pPr>
        <w:rPr>
          <w:lang w:eastAsia="zh-CN"/>
        </w:rPr>
      </w:pPr>
      <w:r>
        <w:rPr>
          <w:lang w:eastAsia="zh-CN"/>
        </w:rPr>
        <w:t xml:space="preserve">For RedCap, the current formulation in </w:t>
      </w:r>
      <w:r w:rsidR="00E56BB0">
        <w:rPr>
          <w:lang w:eastAsia="zh-CN"/>
        </w:rPr>
        <w:fldChar w:fldCharType="begin"/>
      </w:r>
      <w:r w:rsidR="00E56BB0">
        <w:rPr>
          <w:lang w:eastAsia="zh-CN"/>
        </w:rPr>
        <w:instrText xml:space="preserve"> REF _Ref67924775 \r \h </w:instrText>
      </w:r>
      <w:r w:rsidR="00E56BB0">
        <w:rPr>
          <w:lang w:eastAsia="zh-CN"/>
        </w:rPr>
      </w:r>
      <w:r w:rsidR="00E56BB0">
        <w:rPr>
          <w:lang w:eastAsia="zh-CN"/>
        </w:rPr>
        <w:fldChar w:fldCharType="separate"/>
      </w:r>
      <w:r w:rsidR="00E56BB0">
        <w:rPr>
          <w:lang w:eastAsia="zh-CN"/>
        </w:rPr>
        <w:t>[1]</w:t>
      </w:r>
      <w:r w:rsidR="00E56BB0">
        <w:rPr>
          <w:lang w:eastAsia="zh-CN"/>
        </w:rPr>
        <w:fldChar w:fldCharType="end"/>
      </w:r>
      <w:r>
        <w:rPr>
          <w:lang w:eastAsia="zh-CN"/>
        </w:rPr>
        <w:t xml:space="preserve"> is dangerous as it allows RedCap UEs to support Reduced Bandwidth 28-1 but NOT Reduced RX branches 28-2. Further, if the pre-requisite of 28-2 is put into </w:t>
      </w:r>
      <w:proofErr w:type="gramStart"/>
      <w:r>
        <w:rPr>
          <w:lang w:eastAsia="zh-CN"/>
        </w:rPr>
        <w:t>[ ]</w:t>
      </w:r>
      <w:proofErr w:type="gramEnd"/>
      <w:r>
        <w:rPr>
          <w:lang w:eastAsia="zh-CN"/>
        </w:rPr>
        <w:t xml:space="preserve"> for discussion, then there is a chance that RedCap UEs could support Reduced RX branches but NOT reduced bandwidth.</w:t>
      </w:r>
      <w:r w:rsidR="000A54E5">
        <w:rPr>
          <w:lang w:eastAsia="zh-CN"/>
        </w:rPr>
        <w:t xml:space="preserve"> These combinations are against the letter and spirit of the </w:t>
      </w:r>
      <w:proofErr w:type="gramStart"/>
      <w:r w:rsidR="000A54E5">
        <w:rPr>
          <w:lang w:eastAsia="zh-CN"/>
        </w:rPr>
        <w:t>WID, and</w:t>
      </w:r>
      <w:proofErr w:type="gramEnd"/>
      <w:r w:rsidR="000A54E5">
        <w:rPr>
          <w:lang w:eastAsia="zh-CN"/>
        </w:rPr>
        <w:t xml:space="preserve"> should be prohibited in the UE features. One solution is to add “basic” language to the “Mandatory/Optional” column for 28-1 and 28-2. Another solution, which may be a preferred one, is to create a single basic FG (or perhaps one for FR1 and one for FR2) which contains </w:t>
      </w:r>
      <w:proofErr w:type="gramStart"/>
      <w:r w:rsidR="000A54E5">
        <w:rPr>
          <w:lang w:eastAsia="zh-CN"/>
        </w:rPr>
        <w:t>all of</w:t>
      </w:r>
      <w:proofErr w:type="gramEnd"/>
      <w:r w:rsidR="000A54E5">
        <w:rPr>
          <w:lang w:eastAsia="zh-CN"/>
        </w:rPr>
        <w:t xml:space="preserve"> the components that a RedCap UE is expected to support. This would include at least include the content</w:t>
      </w:r>
      <w:r w:rsidR="00E56BB0">
        <w:rPr>
          <w:lang w:eastAsia="zh-CN"/>
        </w:rPr>
        <w:t>s</w:t>
      </w:r>
      <w:r w:rsidR="000A54E5">
        <w:rPr>
          <w:lang w:eastAsia="zh-CN"/>
        </w:rPr>
        <w:t xml:space="preserve"> of 28-1 and 28-2, as well as any other basic functionality.</w:t>
      </w:r>
    </w:p>
    <w:p w14:paraId="329C5F13" w14:textId="0695D88E" w:rsidR="000A54E5" w:rsidRDefault="000A54E5" w:rsidP="00E52B46">
      <w:pPr>
        <w:rPr>
          <w:lang w:eastAsia="zh-CN"/>
        </w:rPr>
      </w:pPr>
      <w:r>
        <w:rPr>
          <w:lang w:eastAsia="zh-CN"/>
        </w:rPr>
        <w:t xml:space="preserve">One such missing basic functionality from </w:t>
      </w:r>
      <w:r w:rsidR="00E56BB0">
        <w:rPr>
          <w:lang w:eastAsia="zh-CN"/>
        </w:rPr>
        <w:fldChar w:fldCharType="begin"/>
      </w:r>
      <w:r w:rsidR="00E56BB0">
        <w:rPr>
          <w:lang w:eastAsia="zh-CN"/>
        </w:rPr>
        <w:instrText xml:space="preserve"> REF _Ref67924775 \r \h </w:instrText>
      </w:r>
      <w:r w:rsidR="00E56BB0">
        <w:rPr>
          <w:lang w:eastAsia="zh-CN"/>
        </w:rPr>
      </w:r>
      <w:r w:rsidR="00E56BB0">
        <w:rPr>
          <w:lang w:eastAsia="zh-CN"/>
        </w:rPr>
        <w:fldChar w:fldCharType="separate"/>
      </w:r>
      <w:r w:rsidR="00E56BB0">
        <w:rPr>
          <w:lang w:eastAsia="zh-CN"/>
        </w:rPr>
        <w:t>[1]</w:t>
      </w:r>
      <w:r w:rsidR="00E56BB0">
        <w:rPr>
          <w:lang w:eastAsia="zh-CN"/>
        </w:rPr>
        <w:fldChar w:fldCharType="end"/>
      </w:r>
      <w:r>
        <w:rPr>
          <w:lang w:eastAsia="zh-CN"/>
        </w:rPr>
        <w:t xml:space="preserve"> is the Early Indication functionality. From </w:t>
      </w:r>
      <w:r w:rsidR="00E56BB0">
        <w:rPr>
          <w:lang w:eastAsia="zh-CN"/>
        </w:rPr>
        <w:fldChar w:fldCharType="begin"/>
      </w:r>
      <w:r w:rsidR="00E56BB0">
        <w:rPr>
          <w:lang w:eastAsia="zh-CN"/>
        </w:rPr>
        <w:instrText xml:space="preserve"> REF _Ref83669642 \r \h </w:instrText>
      </w:r>
      <w:r w:rsidR="00E56BB0">
        <w:rPr>
          <w:lang w:eastAsia="zh-CN"/>
        </w:rPr>
      </w:r>
      <w:r w:rsidR="00E56BB0">
        <w:rPr>
          <w:lang w:eastAsia="zh-CN"/>
        </w:rPr>
        <w:fldChar w:fldCharType="separate"/>
      </w:r>
      <w:r w:rsidR="00E56BB0">
        <w:rPr>
          <w:lang w:eastAsia="zh-CN"/>
        </w:rPr>
        <w:t>[2]</w:t>
      </w:r>
      <w:r w:rsidR="00E56BB0">
        <w:rPr>
          <w:lang w:eastAsia="zh-CN"/>
        </w:rPr>
        <w:fldChar w:fldCharType="end"/>
      </w:r>
      <w:r>
        <w:rPr>
          <w:lang w:eastAsia="zh-CN"/>
        </w:rPr>
        <w:t>:</w:t>
      </w:r>
    </w:p>
    <w:p w14:paraId="5DB53D57" w14:textId="77777777" w:rsidR="000A54E5" w:rsidRPr="00B66BB9" w:rsidRDefault="000A54E5" w:rsidP="000A54E5">
      <w:pPr>
        <w:pStyle w:val="B1"/>
        <w:numPr>
          <w:ilvl w:val="0"/>
          <w:numId w:val="27"/>
        </w:numPr>
        <w:autoSpaceDE w:val="0"/>
        <w:autoSpaceDN w:val="0"/>
        <w:adjustRightInd w:val="0"/>
        <w:textAlignment w:val="baseline"/>
        <w:rPr>
          <w:rFonts w:eastAsia="SimSun"/>
          <w:bCs/>
          <w:lang w:eastAsia="ja-JP"/>
        </w:rPr>
      </w:pPr>
      <w:r w:rsidRPr="00B66BB9">
        <w:rPr>
          <w:rFonts w:eastAsia="SimSun"/>
          <w:bCs/>
          <w:lang w:eastAsia="ja-JP"/>
        </w:rPr>
        <w:t xml:space="preserve">Specify functionality that will enable RedCap UEs to be explicitly identifiable to networks through an early indication in Msg1 and/or Msg3, and </w:t>
      </w:r>
      <w:proofErr w:type="spellStart"/>
      <w:r w:rsidRPr="00B66BB9">
        <w:rPr>
          <w:rFonts w:eastAsia="SimSun"/>
          <w:bCs/>
          <w:lang w:eastAsia="ja-JP"/>
        </w:rPr>
        <w:t>Msg</w:t>
      </w:r>
      <w:proofErr w:type="spellEnd"/>
      <w:r w:rsidRPr="00B66BB9">
        <w:rPr>
          <w:rFonts w:eastAsia="SimSun"/>
          <w:bCs/>
          <w:lang w:eastAsia="ja-JP"/>
        </w:rPr>
        <w:t xml:space="preserve"> A if supported, including the ability for the early indication to be configurable by the network. [RAN2, RAN1]</w:t>
      </w:r>
    </w:p>
    <w:p w14:paraId="19794E15" w14:textId="3DA17B4E" w:rsidR="000A54E5" w:rsidRDefault="000A54E5" w:rsidP="00E52B46">
      <w:pPr>
        <w:rPr>
          <w:lang w:eastAsia="zh-CN"/>
        </w:rPr>
      </w:pPr>
      <w:r>
        <w:rPr>
          <w:lang w:eastAsia="zh-CN"/>
        </w:rPr>
        <w:t>Though all UE</w:t>
      </w:r>
      <w:r w:rsidR="004B32F7">
        <w:rPr>
          <w:lang w:eastAsia="zh-CN"/>
        </w:rPr>
        <w:t>s</w:t>
      </w:r>
      <w:r>
        <w:rPr>
          <w:lang w:eastAsia="zh-CN"/>
        </w:rPr>
        <w:t xml:space="preserve"> are also identifiable as RedCap through the normal capability exchange, it is beneficial (and the intent of the WI</w:t>
      </w:r>
      <w:r w:rsidR="00F25DA6">
        <w:rPr>
          <w:lang w:eastAsia="zh-CN"/>
        </w:rPr>
        <w:t xml:space="preserve">D) for all UEs to support early </w:t>
      </w:r>
      <w:r w:rsidR="00E56BB0">
        <w:rPr>
          <w:lang w:eastAsia="zh-CN"/>
        </w:rPr>
        <w:t xml:space="preserve">indication </w:t>
      </w:r>
      <w:r w:rsidR="00F25DA6">
        <w:rPr>
          <w:lang w:eastAsia="zh-CN"/>
        </w:rPr>
        <w:t>and be able to use it.</w:t>
      </w:r>
    </w:p>
    <w:p w14:paraId="3FEFA1A1" w14:textId="77777777" w:rsidR="00117582" w:rsidRDefault="00F25DA6" w:rsidP="00E52B46">
      <w:pPr>
        <w:rPr>
          <w:lang w:eastAsia="zh-CN"/>
        </w:rPr>
      </w:pPr>
      <w:r>
        <w:rPr>
          <w:lang w:eastAsia="zh-CN"/>
        </w:rPr>
        <w:t>Finally, the way the reduced Modulation is described in the FG table is confusing</w:t>
      </w:r>
      <w:r w:rsidR="004B32F7">
        <w:rPr>
          <w:lang w:eastAsia="zh-CN"/>
        </w:rPr>
        <w:t xml:space="preserve"> for several reasons</w:t>
      </w:r>
      <w:r>
        <w:rPr>
          <w:lang w:eastAsia="zh-CN"/>
        </w:rPr>
        <w:t>.</w:t>
      </w:r>
    </w:p>
    <w:p w14:paraId="0EB7FDED" w14:textId="51478615" w:rsidR="004B32F7" w:rsidRDefault="004B32F7" w:rsidP="00117582">
      <w:pPr>
        <w:pStyle w:val="ListParagraph"/>
        <w:numPr>
          <w:ilvl w:val="0"/>
          <w:numId w:val="33"/>
        </w:numPr>
        <w:rPr>
          <w:lang w:eastAsia="zh-CN"/>
        </w:rPr>
      </w:pPr>
      <w:r>
        <w:rPr>
          <w:lang w:eastAsia="zh-CN"/>
        </w:rPr>
        <w:t xml:space="preserve">In Rel-15, 256QAM for PDSCH in FR1 is specified as mandatory with capability </w:t>
      </w:r>
      <w:proofErr w:type="spellStart"/>
      <w:r>
        <w:rPr>
          <w:lang w:eastAsia="zh-CN"/>
        </w:rPr>
        <w:t>signaling</w:t>
      </w:r>
      <w:proofErr w:type="spellEnd"/>
      <w:r>
        <w:rPr>
          <w:lang w:eastAsia="zh-CN"/>
        </w:rPr>
        <w:t xml:space="preserve"> in FG 1-4. The parameter name is </w:t>
      </w:r>
      <w:r w:rsidRPr="00117582">
        <w:rPr>
          <w:i/>
          <w:iCs/>
          <w:lang w:eastAsia="zh-CN"/>
        </w:rPr>
        <w:t>pdsch-256QAM-FR1</w:t>
      </w:r>
      <w:r>
        <w:rPr>
          <w:lang w:eastAsia="zh-CN"/>
        </w:rPr>
        <w:t>. In addition, the note states “</w:t>
      </w:r>
      <w:r w:rsidRPr="004B32F7">
        <w:rPr>
          <w:lang w:eastAsia="zh-CN"/>
        </w:rPr>
        <w:t>For FR1, it can be revisited in the future whether the 256QAM is mandated in all UE types or categories</w:t>
      </w:r>
      <w:r>
        <w:rPr>
          <w:lang w:eastAsia="zh-CN"/>
        </w:rPr>
        <w:t xml:space="preserve">”. For </w:t>
      </w:r>
      <w:r w:rsidR="009B210B">
        <w:rPr>
          <w:lang w:eastAsia="zh-CN"/>
        </w:rPr>
        <w:t xml:space="preserve">FR1, it is better to reuse the existing parameter and add the appropriate statement, such as “For RedCap devices, the feature is optional with capability </w:t>
      </w:r>
      <w:proofErr w:type="spellStart"/>
      <w:r w:rsidR="009B210B">
        <w:rPr>
          <w:lang w:eastAsia="zh-CN"/>
        </w:rPr>
        <w:t>signaling</w:t>
      </w:r>
      <w:proofErr w:type="spellEnd"/>
      <w:r w:rsidR="009B210B">
        <w:rPr>
          <w:lang w:eastAsia="zh-CN"/>
        </w:rPr>
        <w:t>” instead of creating a new FG.</w:t>
      </w:r>
    </w:p>
    <w:p w14:paraId="76799A81" w14:textId="20F1958E" w:rsidR="009B210B" w:rsidRDefault="009B210B" w:rsidP="00117582">
      <w:pPr>
        <w:pStyle w:val="ListParagraph"/>
        <w:numPr>
          <w:ilvl w:val="0"/>
          <w:numId w:val="33"/>
        </w:numPr>
        <w:rPr>
          <w:lang w:eastAsia="zh-CN"/>
        </w:rPr>
      </w:pPr>
      <w:r>
        <w:rPr>
          <w:lang w:eastAsia="zh-CN"/>
        </w:rPr>
        <w:t xml:space="preserve">Secondly, for 256QAM for PDSCH in FR2, the FG description indicates this feature is optional with capability </w:t>
      </w:r>
      <w:proofErr w:type="spellStart"/>
      <w:r>
        <w:rPr>
          <w:lang w:eastAsia="zh-CN"/>
        </w:rPr>
        <w:t>signaling</w:t>
      </w:r>
      <w:proofErr w:type="spellEnd"/>
      <w:r>
        <w:rPr>
          <w:lang w:eastAsia="zh-CN"/>
        </w:rPr>
        <w:t xml:space="preserve"> (parameter </w:t>
      </w:r>
      <w:r w:rsidRPr="00117582">
        <w:rPr>
          <w:i/>
          <w:iCs/>
          <w:lang w:eastAsia="zh-CN"/>
        </w:rPr>
        <w:t>pdsch-256QAM-FR2</w:t>
      </w:r>
      <w:r>
        <w:rPr>
          <w:lang w:eastAsia="zh-CN"/>
        </w:rPr>
        <w:t>). There is no need to create a new FG for this either. If necessary, a description can be considered.</w:t>
      </w:r>
    </w:p>
    <w:p w14:paraId="6F0330BD" w14:textId="69305810" w:rsidR="009B210B" w:rsidRDefault="009B210B" w:rsidP="00117582">
      <w:pPr>
        <w:pStyle w:val="ListParagraph"/>
        <w:numPr>
          <w:ilvl w:val="0"/>
          <w:numId w:val="33"/>
        </w:numPr>
        <w:rPr>
          <w:lang w:eastAsia="zh-CN"/>
        </w:rPr>
      </w:pPr>
      <w:r>
        <w:rPr>
          <w:lang w:eastAsia="zh-CN"/>
        </w:rPr>
        <w:lastRenderedPageBreak/>
        <w:t xml:space="preserve">A similar comment applies to 256QAM for PUSCH. In FG 1-5, the description indicates the FG is optional with capability </w:t>
      </w:r>
      <w:proofErr w:type="spellStart"/>
      <w:r>
        <w:rPr>
          <w:lang w:eastAsia="zh-CN"/>
        </w:rPr>
        <w:t>signaling</w:t>
      </w:r>
      <w:proofErr w:type="spellEnd"/>
      <w:r>
        <w:rPr>
          <w:lang w:eastAsia="zh-CN"/>
        </w:rPr>
        <w:t xml:space="preserve"> (parameter </w:t>
      </w:r>
      <w:r w:rsidRPr="00117582">
        <w:rPr>
          <w:i/>
        </w:rPr>
        <w:t>pusch-256QAM</w:t>
      </w:r>
      <w:r w:rsidRPr="00117582">
        <w:rPr>
          <w:iCs/>
        </w:rPr>
        <w:t>)</w:t>
      </w:r>
      <w:r w:rsidR="00117582" w:rsidRPr="00117582">
        <w:rPr>
          <w:iCs/>
        </w:rPr>
        <w:t>,</w:t>
      </w:r>
      <w:r>
        <w:rPr>
          <w:lang w:eastAsia="zh-CN"/>
        </w:rPr>
        <w:t xml:space="preserve"> and the</w:t>
      </w:r>
      <w:r w:rsidR="00117582">
        <w:rPr>
          <w:lang w:eastAsia="zh-CN"/>
        </w:rPr>
        <w:t>re is FR1/FR2 differentiation. There is no need to create a new FG.</w:t>
      </w:r>
      <w:r>
        <w:rPr>
          <w:lang w:eastAsia="zh-CN"/>
        </w:rPr>
        <w:t xml:space="preserve"> </w:t>
      </w:r>
    </w:p>
    <w:p w14:paraId="7EAF5099" w14:textId="776D5189" w:rsidR="00117582" w:rsidRDefault="00117582" w:rsidP="00117582">
      <w:pPr>
        <w:pStyle w:val="ListParagraph"/>
        <w:numPr>
          <w:ilvl w:val="0"/>
          <w:numId w:val="33"/>
        </w:numPr>
        <w:rPr>
          <w:lang w:eastAsia="zh-CN"/>
        </w:rPr>
      </w:pPr>
      <w:r>
        <w:rPr>
          <w:lang w:eastAsia="zh-CN"/>
        </w:rPr>
        <w:t>The description</w:t>
      </w:r>
      <w:r w:rsidR="00A761DA">
        <w:rPr>
          <w:lang w:eastAsia="zh-CN"/>
        </w:rPr>
        <w:t>s</w:t>
      </w:r>
      <w:r>
        <w:rPr>
          <w:lang w:eastAsia="zh-CN"/>
        </w:rPr>
        <w:t xml:space="preserve"> of the FGs 28-4 and 28-5 are based on the RAN1#105 agreement “</w:t>
      </w:r>
      <w:r w:rsidRPr="00117582">
        <w:rPr>
          <w:lang w:eastAsia="zh-CN"/>
        </w:rPr>
        <w:t>(Table 5.2.2.1-3 in TS 38.214) are supported by a RedCap UE indicating support of 256QAM for PDSCH</w:t>
      </w:r>
      <w:r>
        <w:rPr>
          <w:lang w:eastAsia="zh-CN"/>
        </w:rPr>
        <w:t>”. The support of the tables can also be added to the existing descriptions in FG 1-4 and FG 1-5.</w:t>
      </w:r>
    </w:p>
    <w:p w14:paraId="3A3CBC1F" w14:textId="5F270811" w:rsidR="00F25DA6" w:rsidRDefault="00C156A4" w:rsidP="00A761DA">
      <w:pPr>
        <w:pStyle w:val="ListParagraph"/>
        <w:numPr>
          <w:ilvl w:val="0"/>
          <w:numId w:val="33"/>
        </w:numPr>
        <w:rPr>
          <w:lang w:eastAsia="zh-CN"/>
        </w:rPr>
      </w:pPr>
      <w:r w:rsidRPr="00C156A4">
        <w:rPr>
          <w:lang w:eastAsia="zh-CN"/>
        </w:rPr>
        <w:t xml:space="preserve">Though </w:t>
      </w:r>
      <w:r>
        <w:rPr>
          <w:lang w:eastAsia="zh-CN"/>
        </w:rPr>
        <w:t xml:space="preserve">FGs </w:t>
      </w:r>
      <w:r w:rsidRPr="00C156A4">
        <w:rPr>
          <w:lang w:eastAsia="zh-CN"/>
        </w:rPr>
        <w:t>28-4 and 28-5 are not needed, we will also point out that the consequences of not supporting 256QAM of "impact to UE complexity" is misleading as it makes it seem that complexity increases if 256QAM is not supported.</w:t>
      </w:r>
    </w:p>
    <w:p w14:paraId="6F86BC26" w14:textId="77777777" w:rsidR="00CC6283" w:rsidRPr="004E69EA" w:rsidRDefault="00CC6283" w:rsidP="00CC6283">
      <w:pPr>
        <w:rPr>
          <w:lang w:eastAsia="zh-CN"/>
        </w:rPr>
      </w:pPr>
    </w:p>
    <w:p w14:paraId="3518B99D" w14:textId="1D08E09C" w:rsidR="00744A23" w:rsidRDefault="00882E8B" w:rsidP="00882E8B">
      <w:pPr>
        <w:pStyle w:val="Heading1"/>
      </w:pPr>
      <w:r>
        <w:t>Conclusion</w:t>
      </w:r>
    </w:p>
    <w:p w14:paraId="799CBE02" w14:textId="27F0AD79" w:rsidR="00117582" w:rsidRPr="00A761DA" w:rsidRDefault="00117582" w:rsidP="00F25DA6">
      <w:pPr>
        <w:rPr>
          <w:lang w:eastAsia="zh-CN"/>
        </w:rPr>
      </w:pPr>
      <w:r>
        <w:rPr>
          <w:lang w:eastAsia="zh-CN"/>
        </w:rPr>
        <w:t>This contribution examined the initial FG proposal for RedCap UEs. We have several observations regarding that proposal.</w:t>
      </w:r>
    </w:p>
    <w:p w14:paraId="1BC0B8FF" w14:textId="4F7C963F" w:rsidR="00F25DA6" w:rsidRPr="00F25DA6" w:rsidRDefault="00F25DA6" w:rsidP="00F25DA6">
      <w:pPr>
        <w:rPr>
          <w:b/>
          <w:bCs/>
          <w:lang w:eastAsia="zh-CN"/>
        </w:rPr>
      </w:pPr>
      <w:r w:rsidRPr="00F25DA6">
        <w:rPr>
          <w:b/>
          <w:bCs/>
          <w:lang w:eastAsia="zh-CN"/>
        </w:rPr>
        <w:t>Observations</w:t>
      </w:r>
    </w:p>
    <w:p w14:paraId="4B85CCAD" w14:textId="77777777" w:rsidR="00F25DA6" w:rsidRPr="00F25DA6" w:rsidRDefault="00F25DA6" w:rsidP="00F25DA6">
      <w:pPr>
        <w:pStyle w:val="ListParagraph"/>
        <w:numPr>
          <w:ilvl w:val="0"/>
          <w:numId w:val="28"/>
        </w:numPr>
        <w:rPr>
          <w:b/>
          <w:bCs/>
          <w:lang w:eastAsia="zh-CN"/>
        </w:rPr>
      </w:pPr>
      <w:r w:rsidRPr="00F25DA6">
        <w:rPr>
          <w:b/>
          <w:bCs/>
          <w:lang w:eastAsia="zh-CN"/>
        </w:rPr>
        <w:t>The “Mandatory/Optional” column is missing basic feature-type text such as “A RedCap UE must indicate that this FG is supported”</w:t>
      </w:r>
    </w:p>
    <w:p w14:paraId="6709F1F8" w14:textId="77777777" w:rsidR="00F25DA6" w:rsidRPr="00F25DA6" w:rsidRDefault="00F25DA6" w:rsidP="00F25DA6">
      <w:pPr>
        <w:pStyle w:val="ListParagraph"/>
        <w:numPr>
          <w:ilvl w:val="0"/>
          <w:numId w:val="28"/>
        </w:numPr>
        <w:rPr>
          <w:b/>
          <w:bCs/>
          <w:lang w:eastAsia="zh-CN"/>
        </w:rPr>
      </w:pPr>
      <w:r w:rsidRPr="00F25DA6">
        <w:rPr>
          <w:b/>
          <w:bCs/>
          <w:lang w:eastAsia="zh-CN"/>
        </w:rPr>
        <w:t>The Early Indication functionality is missing</w:t>
      </w:r>
    </w:p>
    <w:p w14:paraId="0394B13B" w14:textId="09378088" w:rsidR="00F25DA6" w:rsidRPr="00F25DA6" w:rsidRDefault="00F25DA6" w:rsidP="00F25DA6">
      <w:pPr>
        <w:pStyle w:val="ListParagraph"/>
        <w:numPr>
          <w:ilvl w:val="0"/>
          <w:numId w:val="28"/>
        </w:numPr>
        <w:rPr>
          <w:b/>
          <w:bCs/>
          <w:lang w:eastAsia="zh-CN"/>
        </w:rPr>
      </w:pPr>
      <w:r w:rsidRPr="00F25DA6">
        <w:rPr>
          <w:b/>
          <w:bCs/>
          <w:lang w:eastAsia="zh-CN"/>
        </w:rPr>
        <w:t>The 256QAM handling is confusing</w:t>
      </w:r>
      <w:r w:rsidR="00C156A4" w:rsidRPr="00C156A4">
        <w:rPr>
          <w:b/>
          <w:bCs/>
          <w:lang w:eastAsia="zh-CN"/>
        </w:rPr>
        <w:t xml:space="preserve">; no new </w:t>
      </w:r>
      <w:r w:rsidR="00C156A4">
        <w:rPr>
          <w:b/>
          <w:bCs/>
          <w:lang w:eastAsia="zh-CN"/>
        </w:rPr>
        <w:t>R</w:t>
      </w:r>
      <w:r w:rsidR="00C156A4" w:rsidRPr="00C156A4">
        <w:rPr>
          <w:b/>
          <w:bCs/>
          <w:lang w:eastAsia="zh-CN"/>
        </w:rPr>
        <w:t xml:space="preserve">el-17 capability </w:t>
      </w:r>
      <w:proofErr w:type="spellStart"/>
      <w:r w:rsidR="00C156A4" w:rsidRPr="00C156A4">
        <w:rPr>
          <w:b/>
          <w:bCs/>
          <w:lang w:eastAsia="zh-CN"/>
        </w:rPr>
        <w:t>signaling</w:t>
      </w:r>
      <w:proofErr w:type="spellEnd"/>
      <w:r w:rsidR="00C156A4" w:rsidRPr="00C156A4">
        <w:rPr>
          <w:b/>
          <w:bCs/>
          <w:lang w:eastAsia="zh-CN"/>
        </w:rPr>
        <w:t xml:space="preserve"> is needed</w:t>
      </w:r>
    </w:p>
    <w:p w14:paraId="1527B528" w14:textId="77777777" w:rsidR="00353626" w:rsidRPr="00AA053C" w:rsidRDefault="00353626" w:rsidP="00353626"/>
    <w:p w14:paraId="20D32928" w14:textId="02402748" w:rsidR="00E7756E" w:rsidRDefault="00E7756E" w:rsidP="00E7756E">
      <w:pPr>
        <w:pStyle w:val="Heading1"/>
        <w:numPr>
          <w:ilvl w:val="0"/>
          <w:numId w:val="0"/>
        </w:numPr>
        <w:ind w:left="432" w:hanging="432"/>
      </w:pPr>
      <w:r>
        <w:t>References</w:t>
      </w:r>
    </w:p>
    <w:p w14:paraId="3464EA03" w14:textId="6CE37F6D" w:rsidR="00003546" w:rsidRDefault="00022B44" w:rsidP="00F329CA">
      <w:pPr>
        <w:pStyle w:val="References"/>
      </w:pPr>
      <w:bookmarkStart w:id="3" w:name="_Ref52458927"/>
      <w:bookmarkStart w:id="4" w:name="_Ref67924775"/>
      <w:bookmarkStart w:id="5" w:name="_Ref83573255"/>
      <w:r w:rsidRPr="00022B44">
        <w:t>R</w:t>
      </w:r>
      <w:r w:rsidR="005F01A4">
        <w:t>1</w:t>
      </w:r>
      <w:r w:rsidRPr="00022B44">
        <w:t>-</w:t>
      </w:r>
      <w:r w:rsidR="005F01A4">
        <w:t>2108679</w:t>
      </w:r>
      <w:r w:rsidR="00E0752D" w:rsidRPr="0051294D">
        <w:t xml:space="preserve">, </w:t>
      </w:r>
      <w:r w:rsidR="005F01A4">
        <w:t>“</w:t>
      </w:r>
      <w:r w:rsidR="005F01A4" w:rsidRPr="005F01A4">
        <w:t>Preliminary RAN1 UE features list for Rel-17 NR</w:t>
      </w:r>
      <w:r w:rsidR="005F01A4">
        <w:t>”</w:t>
      </w:r>
      <w:r w:rsidR="00E0752D" w:rsidRPr="0051294D">
        <w:t xml:space="preserve">, </w:t>
      </w:r>
      <w:r w:rsidR="005F01A4">
        <w:t xml:space="preserve">AT&amp;T, NTT DOCOMO Inc., </w:t>
      </w:r>
      <w:r w:rsidR="00E0752D" w:rsidRPr="0051294D">
        <w:t>RAN#</w:t>
      </w:r>
      <w:r w:rsidR="005F01A4">
        <w:t>106</w:t>
      </w:r>
      <w:r w:rsidR="007F6045" w:rsidRPr="0051294D">
        <w:t>-e</w:t>
      </w:r>
      <w:r w:rsidR="00E0752D" w:rsidRPr="0051294D">
        <w:t xml:space="preserve">, </w:t>
      </w:r>
      <w:r w:rsidR="005F01A4">
        <w:t>Aug.</w:t>
      </w:r>
      <w:r w:rsidR="007F6045" w:rsidRPr="0051294D">
        <w:t xml:space="preserve"> 20</w:t>
      </w:r>
      <w:bookmarkEnd w:id="3"/>
      <w:r w:rsidR="005F01A4">
        <w:t>21</w:t>
      </w:r>
      <w:r>
        <w:t>.</w:t>
      </w:r>
      <w:bookmarkEnd w:id="4"/>
      <w:bookmarkEnd w:id="5"/>
    </w:p>
    <w:p w14:paraId="6E9C6936" w14:textId="7AC3E0DF" w:rsidR="00F22009" w:rsidRDefault="00F22009" w:rsidP="00F329CA">
      <w:pPr>
        <w:pStyle w:val="References"/>
      </w:pPr>
      <w:bookmarkStart w:id="6" w:name="_Ref83669642"/>
      <w:r>
        <w:t>RP-211574, “Support of reduced capability NR devices,” Rel-17 work item description.</w:t>
      </w:r>
      <w:bookmarkEnd w:id="6"/>
    </w:p>
    <w:p w14:paraId="4796CCF0" w14:textId="1A34E990" w:rsidR="003613C6" w:rsidRDefault="003613C6" w:rsidP="00F329CA">
      <w:pPr>
        <w:pStyle w:val="References"/>
      </w:pPr>
      <w:bookmarkStart w:id="7" w:name="_Ref83669686"/>
      <w:r w:rsidRPr="003613C6">
        <w:t>RP-200502</w:t>
      </w:r>
      <w:r>
        <w:t>, “</w:t>
      </w:r>
      <w:r w:rsidRPr="003613C6">
        <w:t>Informational summary on email discussion: [Rel16_UE_capabilities] Exchange of views</w:t>
      </w:r>
      <w:r>
        <w:t>,” NTT DOCOMO.</w:t>
      </w:r>
      <w:bookmarkEnd w:id="7"/>
    </w:p>
    <w:p w14:paraId="6555D48D" w14:textId="25DD1F67" w:rsidR="006B27EE" w:rsidRDefault="006B27EE" w:rsidP="003C7AF8">
      <w:pPr>
        <w:pStyle w:val="References"/>
      </w:pPr>
      <w:bookmarkStart w:id="8" w:name="_Ref83590450"/>
      <w:r>
        <w:t>R1-2108426, “Updated RAN1 UE features list for Rel-16 NR after RAN1#106-e”,</w:t>
      </w:r>
      <w:r w:rsidRPr="006B27EE">
        <w:t xml:space="preserve"> </w:t>
      </w:r>
      <w:r>
        <w:t xml:space="preserve">AT&amp;T, NTT DOCOMO Inc., </w:t>
      </w:r>
      <w:r w:rsidRPr="0051294D">
        <w:t>RAN#</w:t>
      </w:r>
      <w:r>
        <w:t>106</w:t>
      </w:r>
      <w:r w:rsidRPr="0051294D">
        <w:t xml:space="preserve">-e, </w:t>
      </w:r>
      <w:r>
        <w:t>Aug.</w:t>
      </w:r>
      <w:r w:rsidRPr="0051294D">
        <w:t xml:space="preserve"> 20</w:t>
      </w:r>
      <w:r>
        <w:t>21.</w:t>
      </w:r>
      <w:bookmarkEnd w:id="8"/>
    </w:p>
    <w:p w14:paraId="2F0A80B8" w14:textId="30413FA6" w:rsidR="007E06B0" w:rsidRPr="0051294D" w:rsidRDefault="007E06B0" w:rsidP="003C7AF8">
      <w:pPr>
        <w:pStyle w:val="References"/>
      </w:pPr>
      <w:r w:rsidRPr="007E06B0">
        <w:t>R1-2108803, “Discussion on the Capabilities of RedCap UEs”, FUTUREWEI, RAN1#106b, Oct. 11-19, 2021.</w:t>
      </w:r>
    </w:p>
    <w:p w14:paraId="5F8C9263" w14:textId="2A39D6F5" w:rsidR="00A1201C" w:rsidRDefault="00A1201C" w:rsidP="008A2B60">
      <w:pPr>
        <w:rPr>
          <w:lang w:eastAsia="zh-CN"/>
        </w:rPr>
      </w:pPr>
    </w:p>
    <w:p w14:paraId="790450D5" w14:textId="77777777" w:rsidR="00AD4764" w:rsidRDefault="00AD4764" w:rsidP="007310E6">
      <w:pPr>
        <w:sectPr w:rsidR="00AD4764" w:rsidSect="00AD72DA">
          <w:pgSz w:w="11909" w:h="16834" w:code="9"/>
          <w:pgMar w:top="1440" w:right="1152" w:bottom="1440" w:left="1440" w:header="720" w:footer="720" w:gutter="0"/>
          <w:cols w:space="720"/>
          <w:noEndnote/>
          <w:docGrid w:linePitch="299"/>
        </w:sectPr>
      </w:pPr>
    </w:p>
    <w:p w14:paraId="328BD096" w14:textId="77777777" w:rsidR="007310E6" w:rsidRDefault="007310E6" w:rsidP="007310E6">
      <w:pPr>
        <w:pStyle w:val="Heading1"/>
        <w:numPr>
          <w:ilvl w:val="0"/>
          <w:numId w:val="0"/>
        </w:numPr>
        <w:ind w:left="432" w:hanging="432"/>
      </w:pPr>
      <w:r>
        <w:lastRenderedPageBreak/>
        <w:t>Appendix</w:t>
      </w:r>
    </w:p>
    <w:p w14:paraId="6D4926EA" w14:textId="1E754239" w:rsidR="00867D5B" w:rsidRPr="00867D5B" w:rsidRDefault="00867D5B" w:rsidP="00867D5B">
      <w:pPr>
        <w:pStyle w:val="ListParagraph"/>
        <w:keepNext/>
        <w:keepLines/>
        <w:numPr>
          <w:ilvl w:val="0"/>
          <w:numId w:val="25"/>
        </w:numPr>
        <w:tabs>
          <w:tab w:val="left" w:pos="426"/>
        </w:tabs>
        <w:spacing w:after="120"/>
        <w:textAlignment w:val="baseline"/>
        <w:outlineLvl w:val="0"/>
        <w:rPr>
          <w:rFonts w:ascii="Arial" w:eastAsia="Batang" w:hAnsi="Arial" w:cs="Arial"/>
          <w:sz w:val="18"/>
          <w:szCs w:val="18"/>
          <w:lang w:val="en-US" w:eastAsia="ko-KR"/>
        </w:rPr>
      </w:pPr>
      <w:proofErr w:type="spellStart"/>
      <w:r w:rsidRPr="00867D5B">
        <w:rPr>
          <w:rFonts w:ascii="Arial" w:eastAsia="Batang" w:hAnsi="Arial" w:cs="Arial"/>
          <w:sz w:val="18"/>
          <w:szCs w:val="18"/>
          <w:lang w:val="en-US" w:eastAsia="ko-KR"/>
        </w:rPr>
        <w:t>NR_redcap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59"/>
        <w:gridCol w:w="753"/>
        <w:gridCol w:w="3250"/>
        <w:gridCol w:w="947"/>
        <w:gridCol w:w="823"/>
        <w:gridCol w:w="862"/>
        <w:gridCol w:w="1002"/>
        <w:gridCol w:w="901"/>
        <w:gridCol w:w="1080"/>
        <w:gridCol w:w="1080"/>
        <w:gridCol w:w="1056"/>
        <w:gridCol w:w="1328"/>
        <w:gridCol w:w="893"/>
      </w:tblGrid>
      <w:tr w:rsidR="00867D5B" w:rsidRPr="007E06B0" w14:paraId="1AA223FF" w14:textId="77777777" w:rsidTr="007E06B0">
        <w:trPr>
          <w:trHeight w:val="20"/>
        </w:trPr>
        <w:tc>
          <w:tcPr>
            <w:tcW w:w="252" w:type="pct"/>
            <w:tcBorders>
              <w:top w:val="single" w:sz="4" w:space="0" w:color="auto"/>
              <w:left w:val="single" w:sz="4" w:space="0" w:color="auto"/>
              <w:bottom w:val="single" w:sz="4" w:space="0" w:color="auto"/>
              <w:right w:val="single" w:sz="4" w:space="0" w:color="auto"/>
            </w:tcBorders>
            <w:hideMark/>
          </w:tcPr>
          <w:p w14:paraId="2A66D8EB"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Features</w:t>
            </w:r>
          </w:p>
        </w:tc>
        <w:tc>
          <w:tcPr>
            <w:tcW w:w="159" w:type="pct"/>
            <w:tcBorders>
              <w:top w:val="single" w:sz="4" w:space="0" w:color="auto"/>
              <w:left w:val="single" w:sz="4" w:space="0" w:color="auto"/>
              <w:bottom w:val="single" w:sz="4" w:space="0" w:color="auto"/>
              <w:right w:val="single" w:sz="4" w:space="0" w:color="auto"/>
            </w:tcBorders>
            <w:hideMark/>
          </w:tcPr>
          <w:p w14:paraId="469C773A"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Index</w:t>
            </w:r>
          </w:p>
        </w:tc>
        <w:tc>
          <w:tcPr>
            <w:tcW w:w="348" w:type="pct"/>
            <w:tcBorders>
              <w:top w:val="single" w:sz="4" w:space="0" w:color="auto"/>
              <w:left w:val="single" w:sz="4" w:space="0" w:color="auto"/>
              <w:bottom w:val="single" w:sz="4" w:space="0" w:color="auto"/>
              <w:right w:val="single" w:sz="4" w:space="0" w:color="auto"/>
            </w:tcBorders>
            <w:hideMark/>
          </w:tcPr>
          <w:p w14:paraId="7B96CD53"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Feature group</w:t>
            </w:r>
          </w:p>
        </w:tc>
        <w:tc>
          <w:tcPr>
            <w:tcW w:w="1422" w:type="pct"/>
            <w:tcBorders>
              <w:top w:val="single" w:sz="4" w:space="0" w:color="auto"/>
              <w:left w:val="single" w:sz="4" w:space="0" w:color="auto"/>
              <w:bottom w:val="single" w:sz="4" w:space="0" w:color="auto"/>
              <w:right w:val="single" w:sz="4" w:space="0" w:color="auto"/>
            </w:tcBorders>
            <w:hideMark/>
          </w:tcPr>
          <w:p w14:paraId="634FE083"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Components</w:t>
            </w:r>
          </w:p>
        </w:tc>
        <w:tc>
          <w:tcPr>
            <w:tcW w:w="285" w:type="pct"/>
            <w:tcBorders>
              <w:top w:val="single" w:sz="4" w:space="0" w:color="auto"/>
              <w:left w:val="single" w:sz="4" w:space="0" w:color="auto"/>
              <w:bottom w:val="single" w:sz="4" w:space="0" w:color="auto"/>
              <w:right w:val="single" w:sz="4" w:space="0" w:color="auto"/>
            </w:tcBorders>
            <w:hideMark/>
          </w:tcPr>
          <w:p w14:paraId="0A64E912"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14:paraId="5C4E0518"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14:paraId="38265458"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eastAsia="Gulim" w:hAnsi="Times New Roman"/>
                <w:color w:val="000000" w:themeColor="text1"/>
                <w:sz w:val="14"/>
                <w:szCs w:val="14"/>
              </w:rPr>
              <w:t xml:space="preserve">Applicable to </w:t>
            </w:r>
            <w:r w:rsidRPr="007E06B0">
              <w:rPr>
                <w:rFonts w:ascii="Times New Roman" w:hAnsi="Times New Roman"/>
                <w:color w:val="000000" w:themeColor="text1"/>
                <w:sz w:val="14"/>
                <w:szCs w:val="14"/>
              </w:rPr>
              <w:t xml:space="preserve">the capability </w:t>
            </w:r>
            <w:proofErr w:type="spellStart"/>
            <w:r w:rsidRPr="007E06B0">
              <w:rPr>
                <w:rFonts w:ascii="Times New Roman" w:hAnsi="Times New Roman"/>
                <w:color w:val="000000" w:themeColor="text1"/>
                <w:sz w:val="14"/>
                <w:szCs w:val="14"/>
              </w:rPr>
              <w:t>signalling</w:t>
            </w:r>
            <w:proofErr w:type="spellEnd"/>
            <w:r w:rsidRPr="007E06B0">
              <w:rPr>
                <w:rFonts w:ascii="Times New Roman" w:hAnsi="Times New Roman"/>
                <w:color w:val="000000" w:themeColor="text1"/>
                <w:sz w:val="14"/>
                <w:szCs w:val="14"/>
              </w:rPr>
              <w:t xml:space="preserve"> exchange between UEs (</w:t>
            </w:r>
            <w:proofErr w:type="spellStart"/>
            <w:r w:rsidRPr="007E06B0">
              <w:rPr>
                <w:rFonts w:ascii="Times New Roman" w:hAnsi="Times New Roman"/>
                <w:color w:val="000000" w:themeColor="text1"/>
                <w:sz w:val="14"/>
                <w:szCs w:val="14"/>
              </w:rPr>
              <w:t>Sidelink</w:t>
            </w:r>
            <w:proofErr w:type="spellEnd"/>
            <w:r w:rsidRPr="007E06B0">
              <w:rPr>
                <w:rFonts w:ascii="Times New Roman" w:hAnsi="Times New Roman"/>
                <w:color w:val="000000" w:themeColor="text1"/>
                <w:sz w:val="14"/>
                <w:szCs w:val="14"/>
              </w:rPr>
              <w:t xml:space="preserve"> WI only)”.</w:t>
            </w:r>
          </w:p>
        </w:tc>
        <w:tc>
          <w:tcPr>
            <w:tcW w:w="316" w:type="pct"/>
            <w:tcBorders>
              <w:top w:val="single" w:sz="4" w:space="0" w:color="auto"/>
              <w:left w:val="single" w:sz="4" w:space="0" w:color="auto"/>
              <w:bottom w:val="single" w:sz="4" w:space="0" w:color="auto"/>
              <w:right w:val="single" w:sz="4" w:space="0" w:color="auto"/>
            </w:tcBorders>
            <w:hideMark/>
          </w:tcPr>
          <w:p w14:paraId="317E79A7" w14:textId="77777777" w:rsidR="00867D5B" w:rsidRPr="007E06B0" w:rsidRDefault="00867D5B" w:rsidP="00552B09">
            <w:pPr>
              <w:pStyle w:val="TAN"/>
              <w:keepNext w:val="0"/>
              <w:keepLines w:val="0"/>
              <w:ind w:left="0" w:firstLine="0"/>
              <w:jc w:val="center"/>
              <w:rPr>
                <w:rFonts w:ascii="Times New Roman" w:hAnsi="Times New Roman"/>
                <w:b/>
                <w:sz w:val="14"/>
                <w:szCs w:val="14"/>
                <w:lang w:eastAsia="ja-JP"/>
              </w:rPr>
            </w:pPr>
            <w:r w:rsidRPr="007E06B0">
              <w:rPr>
                <w:rFonts w:ascii="Times New Roman" w:hAnsi="Times New Roman"/>
                <w:b/>
                <w:sz w:val="14"/>
                <w:szCs w:val="14"/>
                <w:lang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14:paraId="5C0DD2A9" w14:textId="77777777" w:rsidR="00867D5B" w:rsidRPr="00A761DA" w:rsidRDefault="00867D5B" w:rsidP="00552B09">
            <w:pPr>
              <w:pStyle w:val="TAN"/>
              <w:keepNext w:val="0"/>
              <w:keepLines w:val="0"/>
              <w:ind w:left="0" w:firstLine="0"/>
              <w:jc w:val="center"/>
              <w:rPr>
                <w:rFonts w:ascii="Times New Roman" w:hAnsi="Times New Roman"/>
                <w:b/>
                <w:sz w:val="14"/>
                <w:szCs w:val="14"/>
                <w:lang w:eastAsia="ja-JP"/>
              </w:rPr>
            </w:pPr>
            <w:r w:rsidRPr="00A761DA">
              <w:rPr>
                <w:rFonts w:ascii="Times New Roman" w:hAnsi="Times New Roman"/>
                <w:b/>
                <w:sz w:val="14"/>
                <w:szCs w:val="14"/>
                <w:lang w:eastAsia="ja-JP"/>
              </w:rPr>
              <w:t>Type</w:t>
            </w:r>
          </w:p>
          <w:p w14:paraId="195772D1" w14:textId="77777777" w:rsidR="00867D5B" w:rsidRPr="007E06B0" w:rsidRDefault="00867D5B" w:rsidP="00552B09">
            <w:pPr>
              <w:pStyle w:val="TAN"/>
              <w:keepNext w:val="0"/>
              <w:keepLines w:val="0"/>
              <w:ind w:left="0" w:firstLine="0"/>
              <w:jc w:val="center"/>
              <w:rPr>
                <w:rFonts w:ascii="Times New Roman" w:hAnsi="Times New Roman"/>
                <w:b/>
                <w:sz w:val="14"/>
                <w:szCs w:val="14"/>
                <w:lang w:eastAsia="ja-JP"/>
              </w:rPr>
            </w:pPr>
            <w:r w:rsidRPr="00A761DA">
              <w:rPr>
                <w:rFonts w:ascii="Times New Roman" w:hAnsi="Times New Roman"/>
                <w:b/>
                <w:sz w:val="14"/>
                <w:szCs w:val="14"/>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14:paraId="4ADC7219"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14:paraId="06120F70"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Need of FR1/FR2 differentiation</w:t>
            </w:r>
          </w:p>
        </w:tc>
        <w:tc>
          <w:tcPr>
            <w:tcW w:w="221" w:type="pct"/>
            <w:tcBorders>
              <w:top w:val="single" w:sz="4" w:space="0" w:color="auto"/>
              <w:left w:val="single" w:sz="4" w:space="0" w:color="auto"/>
              <w:bottom w:val="single" w:sz="4" w:space="0" w:color="auto"/>
              <w:right w:val="single" w:sz="4" w:space="0" w:color="auto"/>
            </w:tcBorders>
            <w:hideMark/>
          </w:tcPr>
          <w:p w14:paraId="7DE6F3CE"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hideMark/>
          </w:tcPr>
          <w:p w14:paraId="202427EA" w14:textId="77777777"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Note</w:t>
            </w:r>
          </w:p>
        </w:tc>
        <w:tc>
          <w:tcPr>
            <w:tcW w:w="285" w:type="pct"/>
            <w:tcBorders>
              <w:top w:val="single" w:sz="4" w:space="0" w:color="auto"/>
              <w:left w:val="single" w:sz="4" w:space="0" w:color="auto"/>
              <w:bottom w:val="single" w:sz="4" w:space="0" w:color="auto"/>
              <w:right w:val="single" w:sz="4" w:space="0" w:color="auto"/>
            </w:tcBorders>
            <w:hideMark/>
          </w:tcPr>
          <w:p w14:paraId="261BFC13" w14:textId="20C5F373" w:rsidR="00867D5B" w:rsidRPr="007E06B0" w:rsidRDefault="00867D5B" w:rsidP="00552B09">
            <w:pPr>
              <w:pStyle w:val="TAH"/>
              <w:keepNext w:val="0"/>
              <w:keepLines w:val="0"/>
              <w:rPr>
                <w:rFonts w:ascii="Times New Roman" w:hAnsi="Times New Roman"/>
                <w:sz w:val="14"/>
                <w:szCs w:val="14"/>
              </w:rPr>
            </w:pPr>
            <w:r w:rsidRPr="007E06B0">
              <w:rPr>
                <w:rFonts w:ascii="Times New Roman" w:hAnsi="Times New Roman"/>
                <w:sz w:val="14"/>
                <w:szCs w:val="14"/>
              </w:rPr>
              <w:t>Mandatory</w:t>
            </w:r>
            <w:r w:rsidR="00552B09">
              <w:rPr>
                <w:rFonts w:ascii="Times New Roman" w:hAnsi="Times New Roman"/>
                <w:sz w:val="14"/>
                <w:szCs w:val="14"/>
                <w:lang w:val="en-US"/>
              </w:rPr>
              <w:t xml:space="preserve"> </w:t>
            </w:r>
            <w:r w:rsidRPr="007E06B0">
              <w:rPr>
                <w:rFonts w:ascii="Times New Roman" w:hAnsi="Times New Roman"/>
                <w:sz w:val="14"/>
                <w:szCs w:val="14"/>
              </w:rPr>
              <w:t>/</w:t>
            </w:r>
            <w:r w:rsidR="00552B09">
              <w:rPr>
                <w:rFonts w:ascii="Times New Roman" w:hAnsi="Times New Roman"/>
                <w:sz w:val="14"/>
                <w:szCs w:val="14"/>
                <w:lang w:val="en-US"/>
              </w:rPr>
              <w:t xml:space="preserve"> </w:t>
            </w:r>
            <w:r w:rsidRPr="007E06B0">
              <w:rPr>
                <w:rFonts w:ascii="Times New Roman" w:hAnsi="Times New Roman"/>
                <w:sz w:val="14"/>
                <w:szCs w:val="14"/>
              </w:rPr>
              <w:t>Optional</w:t>
            </w:r>
          </w:p>
        </w:tc>
      </w:tr>
      <w:tr w:rsidR="00867D5B" w:rsidRPr="007E06B0" w14:paraId="0910AC74" w14:textId="77777777" w:rsidTr="007E06B0">
        <w:trPr>
          <w:trHeight w:val="20"/>
        </w:trPr>
        <w:tc>
          <w:tcPr>
            <w:tcW w:w="252" w:type="pct"/>
            <w:tcBorders>
              <w:top w:val="single" w:sz="4" w:space="0" w:color="auto"/>
              <w:left w:val="single" w:sz="4" w:space="0" w:color="auto"/>
              <w:bottom w:val="single" w:sz="4" w:space="0" w:color="auto"/>
              <w:right w:val="single" w:sz="4" w:space="0" w:color="auto"/>
            </w:tcBorders>
            <w:hideMark/>
          </w:tcPr>
          <w:p w14:paraId="594B9EDD"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 xml:space="preserve"> 28.</w:t>
            </w:r>
            <w:r w:rsidRPr="007E06B0">
              <w:rPr>
                <w:rFonts w:ascii="Times New Roman" w:hAnsi="Times New Roman"/>
                <w:sz w:val="14"/>
                <w:szCs w:val="14"/>
              </w:rPr>
              <w:t xml:space="preserve"> </w:t>
            </w:r>
            <w:proofErr w:type="spellStart"/>
            <w:r w:rsidRPr="007E06B0">
              <w:rPr>
                <w:rFonts w:ascii="Times New Roman" w:hAnsi="Times New Roman"/>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51A6B16"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28-1</w:t>
            </w:r>
          </w:p>
        </w:tc>
        <w:tc>
          <w:tcPr>
            <w:tcW w:w="348" w:type="pct"/>
            <w:tcBorders>
              <w:top w:val="single" w:sz="4" w:space="0" w:color="auto"/>
              <w:left w:val="single" w:sz="4" w:space="0" w:color="auto"/>
              <w:bottom w:val="single" w:sz="4" w:space="0" w:color="auto"/>
              <w:right w:val="single" w:sz="4" w:space="0" w:color="auto"/>
            </w:tcBorders>
            <w:hideMark/>
          </w:tcPr>
          <w:p w14:paraId="218B0CED"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RedCap UE</w:t>
            </w:r>
          </w:p>
        </w:tc>
        <w:tc>
          <w:tcPr>
            <w:tcW w:w="1422" w:type="pct"/>
            <w:tcBorders>
              <w:top w:val="single" w:sz="4" w:space="0" w:color="auto"/>
              <w:left w:val="single" w:sz="4" w:space="0" w:color="auto"/>
              <w:bottom w:val="single" w:sz="4" w:space="0" w:color="auto"/>
              <w:right w:val="single" w:sz="4" w:space="0" w:color="auto"/>
            </w:tcBorders>
            <w:hideMark/>
          </w:tcPr>
          <w:p w14:paraId="6E7BA315" w14:textId="77777777" w:rsidR="00867D5B" w:rsidRPr="007E06B0" w:rsidRDefault="00867D5B" w:rsidP="00552B09">
            <w:pPr>
              <w:snapToGrid w:val="0"/>
              <w:spacing w:afterLines="50" w:after="120"/>
              <w:contextualSpacing/>
              <w:jc w:val="left"/>
              <w:rPr>
                <w:sz w:val="14"/>
                <w:szCs w:val="14"/>
              </w:rPr>
            </w:pPr>
            <w:r w:rsidRPr="007E06B0">
              <w:rPr>
                <w:sz w:val="14"/>
                <w:szCs w:val="14"/>
              </w:rPr>
              <w:t>1. Maximum FR1 RedCap UE bandwidth is 20 MHz.</w:t>
            </w:r>
          </w:p>
          <w:p w14:paraId="182C454E" w14:textId="77777777" w:rsidR="00867D5B" w:rsidRPr="007E06B0" w:rsidRDefault="00867D5B" w:rsidP="00552B09">
            <w:pPr>
              <w:snapToGrid w:val="0"/>
              <w:contextualSpacing/>
              <w:jc w:val="left"/>
              <w:rPr>
                <w:sz w:val="14"/>
                <w:szCs w:val="14"/>
              </w:rPr>
            </w:pPr>
            <w:r w:rsidRPr="007E06B0">
              <w:rPr>
                <w:sz w:val="14"/>
                <w:szCs w:val="14"/>
              </w:rPr>
              <w:t>2. Maximum FR2 RedCap UE bandwidth is 100 MHz.</w:t>
            </w:r>
          </w:p>
        </w:tc>
        <w:tc>
          <w:tcPr>
            <w:tcW w:w="285" w:type="pct"/>
            <w:tcBorders>
              <w:top w:val="single" w:sz="4" w:space="0" w:color="auto"/>
              <w:left w:val="single" w:sz="4" w:space="0" w:color="auto"/>
              <w:bottom w:val="single" w:sz="4" w:space="0" w:color="auto"/>
              <w:right w:val="single" w:sz="4" w:space="0" w:color="auto"/>
            </w:tcBorders>
          </w:tcPr>
          <w:p w14:paraId="756B91BB" w14:textId="77777777" w:rsidR="00867D5B" w:rsidRPr="007E06B0" w:rsidRDefault="00867D5B" w:rsidP="00552B09">
            <w:pPr>
              <w:pStyle w:val="TAL"/>
              <w:keepNext w:val="0"/>
              <w:keepLines w:val="0"/>
              <w:jc w:val="left"/>
              <w:rPr>
                <w:rFonts w:ascii="Times New Roman" w:eastAsia="MS Mincho" w:hAnsi="Times New Roman"/>
                <w:sz w:val="14"/>
                <w:szCs w:val="14"/>
                <w:highlight w:val="yellow"/>
                <w:lang w:eastAsia="ja-JP"/>
              </w:rPr>
            </w:pPr>
          </w:p>
        </w:tc>
        <w:tc>
          <w:tcPr>
            <w:tcW w:w="192" w:type="pct"/>
            <w:tcBorders>
              <w:top w:val="single" w:sz="4" w:space="0" w:color="auto"/>
              <w:left w:val="single" w:sz="4" w:space="0" w:color="auto"/>
              <w:bottom w:val="single" w:sz="4" w:space="0" w:color="auto"/>
              <w:right w:val="single" w:sz="4" w:space="0" w:color="auto"/>
            </w:tcBorders>
            <w:hideMark/>
          </w:tcPr>
          <w:p w14:paraId="3AC2AF51"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9CC7DFB"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hideMark/>
          </w:tcPr>
          <w:p w14:paraId="1509F1EF" w14:textId="77777777" w:rsidR="00867D5B" w:rsidRPr="007E06B0" w:rsidRDefault="00867D5B" w:rsidP="00552B09">
            <w:pPr>
              <w:pStyle w:val="TAL"/>
              <w:keepNext w:val="0"/>
              <w:keepLines w:val="0"/>
              <w:jc w:val="left"/>
              <w:rPr>
                <w:rFonts w:ascii="Times New Roman" w:eastAsia="SimSun" w:hAnsi="Times New Roman"/>
                <w:sz w:val="14"/>
                <w:szCs w:val="14"/>
                <w:lang w:val="en-US" w:eastAsia="zh-CN"/>
              </w:rPr>
            </w:pPr>
            <w:r w:rsidRPr="007E06B0">
              <w:rPr>
                <w:rFonts w:ascii="Times New Roman" w:eastAsia="SimSun" w:hAnsi="Times New Roman"/>
                <w:sz w:val="14"/>
                <w:szCs w:val="14"/>
                <w:lang w:val="en-US" w:eastAsia="zh-CN"/>
              </w:rPr>
              <w:t>Impact on UE complexity</w:t>
            </w:r>
          </w:p>
        </w:tc>
        <w:tc>
          <w:tcPr>
            <w:tcW w:w="285" w:type="pct"/>
            <w:tcBorders>
              <w:top w:val="single" w:sz="4" w:space="0" w:color="auto"/>
              <w:left w:val="single" w:sz="4" w:space="0" w:color="auto"/>
              <w:bottom w:val="single" w:sz="4" w:space="0" w:color="auto"/>
              <w:right w:val="single" w:sz="4" w:space="0" w:color="auto"/>
            </w:tcBorders>
            <w:hideMark/>
          </w:tcPr>
          <w:p w14:paraId="399318F2"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Per UE</w:t>
            </w:r>
          </w:p>
        </w:tc>
        <w:tc>
          <w:tcPr>
            <w:tcW w:w="221" w:type="pct"/>
            <w:tcBorders>
              <w:top w:val="single" w:sz="4" w:space="0" w:color="auto"/>
              <w:left w:val="single" w:sz="4" w:space="0" w:color="auto"/>
              <w:bottom w:val="single" w:sz="4" w:space="0" w:color="auto"/>
              <w:right w:val="single" w:sz="4" w:space="0" w:color="auto"/>
            </w:tcBorders>
            <w:hideMark/>
          </w:tcPr>
          <w:p w14:paraId="5B30BB74"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14:paraId="77942C2D"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[No]</w:t>
            </w:r>
          </w:p>
        </w:tc>
        <w:tc>
          <w:tcPr>
            <w:tcW w:w="221" w:type="pct"/>
            <w:tcBorders>
              <w:top w:val="single" w:sz="4" w:space="0" w:color="auto"/>
              <w:left w:val="single" w:sz="4" w:space="0" w:color="auto"/>
              <w:bottom w:val="single" w:sz="4" w:space="0" w:color="auto"/>
              <w:right w:val="single" w:sz="4" w:space="0" w:color="auto"/>
            </w:tcBorders>
          </w:tcPr>
          <w:p w14:paraId="0A6FAECA"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hideMark/>
          </w:tcPr>
          <w:p w14:paraId="79913958"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RedCap UEs do not support carrier aggregation or dual connectivity.</w:t>
            </w:r>
          </w:p>
        </w:tc>
        <w:tc>
          <w:tcPr>
            <w:tcW w:w="285" w:type="pct"/>
            <w:tcBorders>
              <w:top w:val="single" w:sz="4" w:space="0" w:color="auto"/>
              <w:left w:val="single" w:sz="4" w:space="0" w:color="auto"/>
              <w:bottom w:val="single" w:sz="4" w:space="0" w:color="auto"/>
              <w:right w:val="single" w:sz="4" w:space="0" w:color="auto"/>
            </w:tcBorders>
            <w:hideMark/>
          </w:tcPr>
          <w:p w14:paraId="5351ED7D"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Optional with capability signaling</w:t>
            </w:r>
          </w:p>
        </w:tc>
      </w:tr>
      <w:tr w:rsidR="00867D5B" w:rsidRPr="007E06B0" w14:paraId="7DFFB1D5" w14:textId="77777777" w:rsidTr="007E06B0">
        <w:trPr>
          <w:trHeight w:val="20"/>
        </w:trPr>
        <w:tc>
          <w:tcPr>
            <w:tcW w:w="252" w:type="pct"/>
            <w:tcBorders>
              <w:top w:val="single" w:sz="4" w:space="0" w:color="auto"/>
              <w:left w:val="single" w:sz="4" w:space="0" w:color="auto"/>
              <w:bottom w:val="single" w:sz="4" w:space="0" w:color="auto"/>
              <w:right w:val="single" w:sz="4" w:space="0" w:color="auto"/>
            </w:tcBorders>
            <w:hideMark/>
          </w:tcPr>
          <w:p w14:paraId="5FB4A206"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 xml:space="preserve"> 28.</w:t>
            </w:r>
            <w:r w:rsidRPr="007E06B0">
              <w:rPr>
                <w:rFonts w:ascii="Times New Roman" w:hAnsi="Times New Roman"/>
                <w:sz w:val="14"/>
                <w:szCs w:val="14"/>
              </w:rPr>
              <w:t xml:space="preserve"> </w:t>
            </w:r>
            <w:proofErr w:type="spellStart"/>
            <w:r w:rsidRPr="007E06B0">
              <w:rPr>
                <w:rFonts w:ascii="Times New Roman" w:hAnsi="Times New Roman"/>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2FB8AFC0"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28-2</w:t>
            </w:r>
          </w:p>
        </w:tc>
        <w:tc>
          <w:tcPr>
            <w:tcW w:w="348" w:type="pct"/>
            <w:tcBorders>
              <w:top w:val="single" w:sz="4" w:space="0" w:color="auto"/>
              <w:left w:val="single" w:sz="4" w:space="0" w:color="auto"/>
              <w:bottom w:val="single" w:sz="4" w:space="0" w:color="auto"/>
              <w:right w:val="single" w:sz="4" w:space="0" w:color="auto"/>
            </w:tcBorders>
            <w:hideMark/>
          </w:tcPr>
          <w:p w14:paraId="5B3B1DFB"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Number of UE Rx branches and DL MIMO layers for RedCap UE</w:t>
            </w:r>
          </w:p>
        </w:tc>
        <w:tc>
          <w:tcPr>
            <w:tcW w:w="1422" w:type="pct"/>
            <w:tcBorders>
              <w:top w:val="single" w:sz="4" w:space="0" w:color="auto"/>
              <w:left w:val="single" w:sz="4" w:space="0" w:color="auto"/>
              <w:bottom w:val="single" w:sz="4" w:space="0" w:color="auto"/>
              <w:right w:val="single" w:sz="4" w:space="0" w:color="auto"/>
            </w:tcBorders>
            <w:hideMark/>
          </w:tcPr>
          <w:p w14:paraId="05FA2019" w14:textId="77777777" w:rsidR="00867D5B" w:rsidRPr="007E06B0" w:rsidRDefault="00867D5B" w:rsidP="00552B09">
            <w:pPr>
              <w:snapToGrid w:val="0"/>
              <w:spacing w:afterLines="50" w:after="120"/>
              <w:contextualSpacing/>
              <w:jc w:val="left"/>
              <w:rPr>
                <w:sz w:val="14"/>
                <w:szCs w:val="14"/>
              </w:rPr>
            </w:pPr>
            <w:r w:rsidRPr="007E06B0">
              <w:rPr>
                <w:sz w:val="14"/>
                <w:szCs w:val="14"/>
              </w:rPr>
              <w:t>1. For a RedCap UE with 1 Rx branch, 1 DL MIMO layer is supported.</w:t>
            </w:r>
          </w:p>
          <w:p w14:paraId="67AE007F" w14:textId="77777777" w:rsidR="00867D5B" w:rsidRPr="007E06B0" w:rsidRDefault="00867D5B" w:rsidP="00552B09">
            <w:pPr>
              <w:snapToGrid w:val="0"/>
              <w:contextualSpacing/>
              <w:jc w:val="left"/>
              <w:rPr>
                <w:sz w:val="14"/>
                <w:szCs w:val="14"/>
              </w:rPr>
            </w:pPr>
            <w:r w:rsidRPr="007E06B0">
              <w:rPr>
                <w:sz w:val="14"/>
                <w:szCs w:val="14"/>
              </w:rPr>
              <w:t>2. For a RedCap UE with 2 Rx branches, 2 DL MIMO layers are supported.</w:t>
            </w:r>
          </w:p>
        </w:tc>
        <w:tc>
          <w:tcPr>
            <w:tcW w:w="285" w:type="pct"/>
            <w:tcBorders>
              <w:top w:val="single" w:sz="4" w:space="0" w:color="auto"/>
              <w:left w:val="single" w:sz="4" w:space="0" w:color="auto"/>
              <w:bottom w:val="single" w:sz="4" w:space="0" w:color="auto"/>
              <w:right w:val="single" w:sz="4" w:space="0" w:color="auto"/>
            </w:tcBorders>
            <w:hideMark/>
          </w:tcPr>
          <w:p w14:paraId="195608CB"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28-1</w:t>
            </w:r>
          </w:p>
        </w:tc>
        <w:tc>
          <w:tcPr>
            <w:tcW w:w="192" w:type="pct"/>
            <w:tcBorders>
              <w:top w:val="single" w:sz="4" w:space="0" w:color="auto"/>
              <w:left w:val="single" w:sz="4" w:space="0" w:color="auto"/>
              <w:bottom w:val="single" w:sz="4" w:space="0" w:color="auto"/>
              <w:right w:val="single" w:sz="4" w:space="0" w:color="auto"/>
            </w:tcBorders>
            <w:hideMark/>
          </w:tcPr>
          <w:p w14:paraId="149C0281"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018CF87"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hideMark/>
          </w:tcPr>
          <w:p w14:paraId="12DE3E85"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val="en-US" w:eastAsia="zh-CN"/>
              </w:rPr>
              <w:t>Impact on UE complexity</w:t>
            </w:r>
          </w:p>
        </w:tc>
        <w:tc>
          <w:tcPr>
            <w:tcW w:w="285" w:type="pct"/>
            <w:tcBorders>
              <w:top w:val="single" w:sz="4" w:space="0" w:color="auto"/>
              <w:left w:val="single" w:sz="4" w:space="0" w:color="auto"/>
              <w:bottom w:val="single" w:sz="4" w:space="0" w:color="auto"/>
              <w:right w:val="single" w:sz="4" w:space="0" w:color="auto"/>
            </w:tcBorders>
            <w:hideMark/>
          </w:tcPr>
          <w:p w14:paraId="73112AF0"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74A922FC"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No</w:t>
            </w:r>
          </w:p>
        </w:tc>
        <w:tc>
          <w:tcPr>
            <w:tcW w:w="222" w:type="pct"/>
            <w:tcBorders>
              <w:top w:val="single" w:sz="4" w:space="0" w:color="auto"/>
              <w:left w:val="single" w:sz="4" w:space="0" w:color="auto"/>
              <w:bottom w:val="single" w:sz="4" w:space="0" w:color="auto"/>
              <w:right w:val="single" w:sz="4" w:space="0" w:color="auto"/>
            </w:tcBorders>
            <w:hideMark/>
          </w:tcPr>
          <w:p w14:paraId="17B009AC"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[No]</w:t>
            </w:r>
          </w:p>
        </w:tc>
        <w:tc>
          <w:tcPr>
            <w:tcW w:w="221" w:type="pct"/>
            <w:tcBorders>
              <w:top w:val="single" w:sz="4" w:space="0" w:color="auto"/>
              <w:left w:val="single" w:sz="4" w:space="0" w:color="auto"/>
              <w:bottom w:val="single" w:sz="4" w:space="0" w:color="auto"/>
              <w:right w:val="single" w:sz="4" w:space="0" w:color="auto"/>
            </w:tcBorders>
          </w:tcPr>
          <w:p w14:paraId="576FC328"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hideMark/>
          </w:tcPr>
          <w:p w14:paraId="759EADCB"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 xml:space="preserve">For UE capability </w:t>
            </w:r>
            <w:proofErr w:type="spellStart"/>
            <w:r w:rsidRPr="007E06B0">
              <w:rPr>
                <w:rFonts w:ascii="Times New Roman" w:hAnsi="Times New Roman"/>
                <w:sz w:val="14"/>
                <w:szCs w:val="14"/>
              </w:rPr>
              <w:t>signalling</w:t>
            </w:r>
            <w:proofErr w:type="spellEnd"/>
            <w:r w:rsidRPr="007E06B0">
              <w:rPr>
                <w:rFonts w:ascii="Times New Roman" w:hAnsi="Times New Roman"/>
                <w:sz w:val="14"/>
                <w:szCs w:val="14"/>
              </w:rPr>
              <w:t xml:space="preserve">, the number of Rx branches for RedCap is implicitly indicated by the corresponding capability parameter </w:t>
            </w:r>
            <w:proofErr w:type="spellStart"/>
            <w:r w:rsidRPr="007E06B0">
              <w:rPr>
                <w:rFonts w:ascii="Times New Roman" w:hAnsi="Times New Roman"/>
                <w:i/>
                <w:iCs/>
                <w:sz w:val="14"/>
                <w:szCs w:val="14"/>
              </w:rPr>
              <w:t>maxNumberMIMO-LayersPDSCH</w:t>
            </w:r>
            <w:proofErr w:type="spellEnd"/>
            <w:r w:rsidRPr="007E06B0">
              <w:rPr>
                <w:rFonts w:ascii="Times New Roman" w:hAnsi="Times New Roman"/>
                <w:sz w:val="14"/>
                <w:szCs w:val="14"/>
              </w:rPr>
              <w:t xml:space="preserve"> in the existing UE capability framework. Detailed </w:t>
            </w:r>
            <w:proofErr w:type="spellStart"/>
            <w:r w:rsidRPr="007E06B0">
              <w:rPr>
                <w:rFonts w:ascii="Times New Roman" w:hAnsi="Times New Roman"/>
                <w:sz w:val="14"/>
                <w:szCs w:val="14"/>
              </w:rPr>
              <w:t>signalling</w:t>
            </w:r>
            <w:proofErr w:type="spellEnd"/>
            <w:r w:rsidRPr="007E06B0">
              <w:rPr>
                <w:rFonts w:ascii="Times New Roman" w:hAnsi="Times New Roman"/>
                <w:sz w:val="14"/>
                <w:szCs w:val="14"/>
              </w:rPr>
              <w:t xml:space="preserve"> is up to RAN2.</w:t>
            </w:r>
          </w:p>
        </w:tc>
        <w:tc>
          <w:tcPr>
            <w:tcW w:w="285" w:type="pct"/>
            <w:tcBorders>
              <w:top w:val="single" w:sz="4" w:space="0" w:color="auto"/>
              <w:left w:val="single" w:sz="4" w:space="0" w:color="auto"/>
              <w:bottom w:val="single" w:sz="4" w:space="0" w:color="auto"/>
              <w:right w:val="single" w:sz="4" w:space="0" w:color="auto"/>
            </w:tcBorders>
            <w:hideMark/>
          </w:tcPr>
          <w:p w14:paraId="637E43E6"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Optional</w:t>
            </w:r>
            <w:r w:rsidRPr="007E06B0">
              <w:rPr>
                <w:rFonts w:ascii="Times New Roman" w:hAnsi="Times New Roman"/>
                <w:sz w:val="14"/>
                <w:szCs w:val="14"/>
                <w:lang w:eastAsia="ja-JP"/>
              </w:rPr>
              <w:t xml:space="preserve"> with capability signaling</w:t>
            </w:r>
          </w:p>
        </w:tc>
      </w:tr>
      <w:tr w:rsidR="00867D5B" w:rsidRPr="007E06B0" w14:paraId="21F9A9B2" w14:textId="77777777" w:rsidTr="007E06B0">
        <w:trPr>
          <w:trHeight w:val="20"/>
        </w:trPr>
        <w:tc>
          <w:tcPr>
            <w:tcW w:w="252" w:type="pct"/>
            <w:tcBorders>
              <w:top w:val="single" w:sz="4" w:space="0" w:color="auto"/>
              <w:left w:val="single" w:sz="4" w:space="0" w:color="auto"/>
              <w:bottom w:val="single" w:sz="4" w:space="0" w:color="auto"/>
              <w:right w:val="single" w:sz="4" w:space="0" w:color="auto"/>
            </w:tcBorders>
            <w:hideMark/>
          </w:tcPr>
          <w:p w14:paraId="55562C11"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 xml:space="preserve">28. </w:t>
            </w:r>
            <w:proofErr w:type="spellStart"/>
            <w:r w:rsidRPr="007E06B0">
              <w:rPr>
                <w:rFonts w:ascii="Times New Roman" w:hAnsi="Times New Roman"/>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65E57365"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28-3</w:t>
            </w:r>
          </w:p>
        </w:tc>
        <w:tc>
          <w:tcPr>
            <w:tcW w:w="348" w:type="pct"/>
            <w:tcBorders>
              <w:top w:val="single" w:sz="4" w:space="0" w:color="auto"/>
              <w:left w:val="single" w:sz="4" w:space="0" w:color="auto"/>
              <w:bottom w:val="single" w:sz="4" w:space="0" w:color="auto"/>
              <w:right w:val="single" w:sz="4" w:space="0" w:color="auto"/>
            </w:tcBorders>
            <w:hideMark/>
          </w:tcPr>
          <w:p w14:paraId="2E88E71F"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Half-duplex FDD operation for RedCap UE</w:t>
            </w:r>
          </w:p>
        </w:tc>
        <w:tc>
          <w:tcPr>
            <w:tcW w:w="1422" w:type="pct"/>
            <w:tcBorders>
              <w:top w:val="single" w:sz="4" w:space="0" w:color="auto"/>
              <w:left w:val="single" w:sz="4" w:space="0" w:color="auto"/>
              <w:bottom w:val="single" w:sz="4" w:space="0" w:color="auto"/>
              <w:right w:val="single" w:sz="4" w:space="0" w:color="auto"/>
            </w:tcBorders>
            <w:hideMark/>
          </w:tcPr>
          <w:p w14:paraId="55176CA6" w14:textId="77777777" w:rsidR="00867D5B" w:rsidRPr="007E06B0" w:rsidRDefault="00867D5B" w:rsidP="00552B09">
            <w:pPr>
              <w:snapToGrid w:val="0"/>
              <w:spacing w:afterLines="50" w:after="120"/>
              <w:contextualSpacing/>
              <w:jc w:val="left"/>
              <w:rPr>
                <w:sz w:val="14"/>
                <w:szCs w:val="14"/>
              </w:rPr>
            </w:pPr>
            <w:r w:rsidRPr="007E06B0">
              <w:rPr>
                <w:sz w:val="14"/>
                <w:szCs w:val="14"/>
              </w:rPr>
              <w:t>1. Half-duplex FDD operation (instead of full-duplex FDD operation) for RedCap UE</w:t>
            </w:r>
          </w:p>
        </w:tc>
        <w:tc>
          <w:tcPr>
            <w:tcW w:w="285" w:type="pct"/>
            <w:tcBorders>
              <w:top w:val="single" w:sz="4" w:space="0" w:color="auto"/>
              <w:left w:val="single" w:sz="4" w:space="0" w:color="auto"/>
              <w:bottom w:val="single" w:sz="4" w:space="0" w:color="auto"/>
              <w:right w:val="single" w:sz="4" w:space="0" w:color="auto"/>
            </w:tcBorders>
            <w:hideMark/>
          </w:tcPr>
          <w:p w14:paraId="7EAFF4B7"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28-1</w:t>
            </w:r>
          </w:p>
        </w:tc>
        <w:tc>
          <w:tcPr>
            <w:tcW w:w="192" w:type="pct"/>
            <w:tcBorders>
              <w:top w:val="single" w:sz="4" w:space="0" w:color="auto"/>
              <w:left w:val="single" w:sz="4" w:space="0" w:color="auto"/>
              <w:bottom w:val="single" w:sz="4" w:space="0" w:color="auto"/>
              <w:right w:val="single" w:sz="4" w:space="0" w:color="auto"/>
            </w:tcBorders>
            <w:hideMark/>
          </w:tcPr>
          <w:p w14:paraId="3F4C1D92"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6174513"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hideMark/>
          </w:tcPr>
          <w:p w14:paraId="25C1DE58" w14:textId="77777777" w:rsidR="00867D5B" w:rsidRPr="007E06B0" w:rsidRDefault="00867D5B" w:rsidP="00552B09">
            <w:pPr>
              <w:pStyle w:val="TAL"/>
              <w:keepNext w:val="0"/>
              <w:keepLines w:val="0"/>
              <w:jc w:val="left"/>
              <w:rPr>
                <w:rFonts w:ascii="Times New Roman" w:eastAsia="SimSun" w:hAnsi="Times New Roman"/>
                <w:sz w:val="14"/>
                <w:szCs w:val="14"/>
                <w:lang w:val="en-US" w:eastAsia="zh-CN"/>
              </w:rPr>
            </w:pPr>
            <w:r w:rsidRPr="007E06B0">
              <w:rPr>
                <w:rFonts w:ascii="Times New Roman" w:eastAsia="SimSun" w:hAnsi="Times New Roman"/>
                <w:sz w:val="14"/>
                <w:szCs w:val="14"/>
                <w:lang w:val="en-US" w:eastAsia="zh-CN"/>
              </w:rPr>
              <w:t>Impact on UE complexity</w:t>
            </w:r>
          </w:p>
        </w:tc>
        <w:tc>
          <w:tcPr>
            <w:tcW w:w="285" w:type="pct"/>
            <w:tcBorders>
              <w:top w:val="single" w:sz="4" w:space="0" w:color="auto"/>
              <w:left w:val="single" w:sz="4" w:space="0" w:color="auto"/>
              <w:bottom w:val="single" w:sz="4" w:space="0" w:color="auto"/>
              <w:right w:val="single" w:sz="4" w:space="0" w:color="auto"/>
            </w:tcBorders>
            <w:hideMark/>
          </w:tcPr>
          <w:p w14:paraId="197B93CA"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34E15A3D"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FDD only</w:t>
            </w:r>
          </w:p>
        </w:tc>
        <w:tc>
          <w:tcPr>
            <w:tcW w:w="222" w:type="pct"/>
            <w:tcBorders>
              <w:top w:val="single" w:sz="4" w:space="0" w:color="auto"/>
              <w:left w:val="single" w:sz="4" w:space="0" w:color="auto"/>
              <w:bottom w:val="single" w:sz="4" w:space="0" w:color="auto"/>
              <w:right w:val="single" w:sz="4" w:space="0" w:color="auto"/>
            </w:tcBorders>
            <w:hideMark/>
          </w:tcPr>
          <w:p w14:paraId="444FB64B"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FR1 only</w:t>
            </w:r>
          </w:p>
        </w:tc>
        <w:tc>
          <w:tcPr>
            <w:tcW w:w="221" w:type="pct"/>
            <w:tcBorders>
              <w:top w:val="single" w:sz="4" w:space="0" w:color="auto"/>
              <w:left w:val="single" w:sz="4" w:space="0" w:color="auto"/>
              <w:bottom w:val="single" w:sz="4" w:space="0" w:color="auto"/>
              <w:right w:val="single" w:sz="4" w:space="0" w:color="auto"/>
            </w:tcBorders>
          </w:tcPr>
          <w:p w14:paraId="411136CF"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tcPr>
          <w:p w14:paraId="4C707BB0" w14:textId="77777777" w:rsidR="00867D5B" w:rsidRPr="007E06B0" w:rsidRDefault="00867D5B" w:rsidP="00552B09">
            <w:pPr>
              <w:pStyle w:val="TAL"/>
              <w:keepNext w:val="0"/>
              <w:keepLines w:val="0"/>
              <w:jc w:val="left"/>
              <w:rPr>
                <w:rFonts w:ascii="Times New Roman" w:hAnsi="Times New Roman"/>
                <w:sz w:val="14"/>
                <w:szCs w:val="14"/>
              </w:rPr>
            </w:pPr>
          </w:p>
        </w:tc>
        <w:tc>
          <w:tcPr>
            <w:tcW w:w="285" w:type="pct"/>
            <w:tcBorders>
              <w:top w:val="single" w:sz="4" w:space="0" w:color="auto"/>
              <w:left w:val="single" w:sz="4" w:space="0" w:color="auto"/>
              <w:bottom w:val="single" w:sz="4" w:space="0" w:color="auto"/>
              <w:right w:val="single" w:sz="4" w:space="0" w:color="auto"/>
            </w:tcBorders>
            <w:hideMark/>
          </w:tcPr>
          <w:p w14:paraId="1245FCA3"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Optional</w:t>
            </w:r>
            <w:r w:rsidRPr="007E06B0">
              <w:rPr>
                <w:rFonts w:ascii="Times New Roman" w:hAnsi="Times New Roman"/>
                <w:sz w:val="14"/>
                <w:szCs w:val="14"/>
                <w:lang w:eastAsia="ja-JP"/>
              </w:rPr>
              <w:t xml:space="preserve"> with capability signaling</w:t>
            </w:r>
          </w:p>
        </w:tc>
      </w:tr>
      <w:tr w:rsidR="00867D5B" w:rsidRPr="007E06B0" w14:paraId="2ACA8780" w14:textId="77777777" w:rsidTr="007E06B0">
        <w:trPr>
          <w:trHeight w:val="697"/>
        </w:trPr>
        <w:tc>
          <w:tcPr>
            <w:tcW w:w="252" w:type="pct"/>
            <w:tcBorders>
              <w:top w:val="single" w:sz="4" w:space="0" w:color="auto"/>
              <w:left w:val="single" w:sz="4" w:space="0" w:color="auto"/>
              <w:bottom w:val="single" w:sz="4" w:space="0" w:color="auto"/>
              <w:right w:val="single" w:sz="4" w:space="0" w:color="auto"/>
            </w:tcBorders>
            <w:hideMark/>
          </w:tcPr>
          <w:p w14:paraId="01EFD926"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 xml:space="preserve"> 28.</w:t>
            </w:r>
            <w:r w:rsidRPr="007E06B0">
              <w:rPr>
                <w:rFonts w:ascii="Times New Roman" w:hAnsi="Times New Roman"/>
                <w:sz w:val="14"/>
                <w:szCs w:val="14"/>
              </w:rPr>
              <w:t xml:space="preserve"> </w:t>
            </w:r>
            <w:proofErr w:type="spellStart"/>
            <w:r w:rsidRPr="007E06B0">
              <w:rPr>
                <w:rFonts w:ascii="Times New Roman" w:hAnsi="Times New Roman"/>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696A4538"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28-4</w:t>
            </w:r>
          </w:p>
        </w:tc>
        <w:tc>
          <w:tcPr>
            <w:tcW w:w="348" w:type="pct"/>
            <w:tcBorders>
              <w:top w:val="single" w:sz="4" w:space="0" w:color="auto"/>
              <w:left w:val="single" w:sz="4" w:space="0" w:color="auto"/>
              <w:bottom w:val="single" w:sz="4" w:space="0" w:color="auto"/>
              <w:right w:val="single" w:sz="4" w:space="0" w:color="auto"/>
            </w:tcBorders>
            <w:hideMark/>
          </w:tcPr>
          <w:p w14:paraId="2CEE5AF3"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DL 256QAM support for RedCap UE</w:t>
            </w:r>
          </w:p>
        </w:tc>
        <w:tc>
          <w:tcPr>
            <w:tcW w:w="1422" w:type="pct"/>
            <w:tcBorders>
              <w:top w:val="single" w:sz="4" w:space="0" w:color="auto"/>
              <w:left w:val="single" w:sz="4" w:space="0" w:color="auto"/>
              <w:bottom w:val="single" w:sz="4" w:space="0" w:color="auto"/>
              <w:right w:val="single" w:sz="4" w:space="0" w:color="auto"/>
            </w:tcBorders>
            <w:hideMark/>
          </w:tcPr>
          <w:p w14:paraId="4F23F272" w14:textId="77777777" w:rsidR="00867D5B" w:rsidRPr="007E06B0" w:rsidRDefault="00867D5B" w:rsidP="00552B09">
            <w:pPr>
              <w:snapToGrid w:val="0"/>
              <w:spacing w:afterLines="50" w:after="120"/>
              <w:contextualSpacing/>
              <w:jc w:val="left"/>
              <w:rPr>
                <w:sz w:val="14"/>
                <w:szCs w:val="14"/>
              </w:rPr>
            </w:pPr>
            <w:r w:rsidRPr="007E06B0">
              <w:rPr>
                <w:sz w:val="14"/>
                <w:szCs w:val="14"/>
              </w:rPr>
              <w:t>1. Support of 256QAM for PDSCH for RedCap UE</w:t>
            </w:r>
          </w:p>
          <w:p w14:paraId="3118D4E9" w14:textId="77777777" w:rsidR="00867D5B" w:rsidRPr="007E06B0" w:rsidRDefault="00867D5B" w:rsidP="00552B09">
            <w:pPr>
              <w:snapToGrid w:val="0"/>
              <w:contextualSpacing/>
              <w:jc w:val="left"/>
              <w:rPr>
                <w:sz w:val="14"/>
                <w:szCs w:val="14"/>
              </w:rPr>
            </w:pPr>
            <w:r w:rsidRPr="007E06B0">
              <w:rPr>
                <w:sz w:val="14"/>
                <w:szCs w:val="14"/>
              </w:rPr>
              <w:t>2. Support of 256QAM MCS table (Table 5.1.3.1-2 in TS 38.214) for PDSCH for RedCap UE</w:t>
            </w:r>
          </w:p>
          <w:p w14:paraId="20ACABCA" w14:textId="77777777" w:rsidR="00867D5B" w:rsidRPr="007E06B0" w:rsidRDefault="00867D5B" w:rsidP="00552B09">
            <w:pPr>
              <w:snapToGrid w:val="0"/>
              <w:contextualSpacing/>
              <w:jc w:val="left"/>
              <w:rPr>
                <w:sz w:val="14"/>
                <w:szCs w:val="14"/>
              </w:rPr>
            </w:pPr>
            <w:r w:rsidRPr="007E06B0">
              <w:rPr>
                <w:sz w:val="14"/>
                <w:szCs w:val="14"/>
              </w:rPr>
              <w:t>3. Support of CQI table 2 (Table 5.2.2.1-3 in TS 38.214) for RedCap UE</w:t>
            </w:r>
          </w:p>
        </w:tc>
        <w:tc>
          <w:tcPr>
            <w:tcW w:w="285" w:type="pct"/>
            <w:tcBorders>
              <w:top w:val="single" w:sz="4" w:space="0" w:color="auto"/>
              <w:left w:val="single" w:sz="4" w:space="0" w:color="auto"/>
              <w:bottom w:val="single" w:sz="4" w:space="0" w:color="auto"/>
              <w:right w:val="single" w:sz="4" w:space="0" w:color="auto"/>
            </w:tcBorders>
            <w:hideMark/>
          </w:tcPr>
          <w:p w14:paraId="1B472041"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28-1</w:t>
            </w:r>
          </w:p>
        </w:tc>
        <w:tc>
          <w:tcPr>
            <w:tcW w:w="192" w:type="pct"/>
            <w:tcBorders>
              <w:top w:val="single" w:sz="4" w:space="0" w:color="auto"/>
              <w:left w:val="single" w:sz="4" w:space="0" w:color="auto"/>
              <w:bottom w:val="single" w:sz="4" w:space="0" w:color="auto"/>
              <w:right w:val="single" w:sz="4" w:space="0" w:color="auto"/>
            </w:tcBorders>
            <w:hideMark/>
          </w:tcPr>
          <w:p w14:paraId="12AD161D"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536085E"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hideMark/>
          </w:tcPr>
          <w:p w14:paraId="54EBA99B"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val="en-US" w:eastAsia="zh-CN"/>
              </w:rPr>
              <w:t>Impacts on UE complexity and DL link performance at high SNR</w:t>
            </w:r>
          </w:p>
        </w:tc>
        <w:tc>
          <w:tcPr>
            <w:tcW w:w="285" w:type="pct"/>
            <w:tcBorders>
              <w:top w:val="single" w:sz="4" w:space="0" w:color="auto"/>
              <w:left w:val="single" w:sz="4" w:space="0" w:color="auto"/>
              <w:bottom w:val="single" w:sz="4" w:space="0" w:color="auto"/>
              <w:right w:val="single" w:sz="4" w:space="0" w:color="auto"/>
            </w:tcBorders>
            <w:hideMark/>
          </w:tcPr>
          <w:p w14:paraId="6FD686A2"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13F7E133"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No</w:t>
            </w:r>
          </w:p>
        </w:tc>
        <w:tc>
          <w:tcPr>
            <w:tcW w:w="222" w:type="pct"/>
            <w:tcBorders>
              <w:top w:val="single" w:sz="4" w:space="0" w:color="auto"/>
              <w:left w:val="single" w:sz="4" w:space="0" w:color="auto"/>
              <w:bottom w:val="single" w:sz="4" w:space="0" w:color="auto"/>
              <w:right w:val="single" w:sz="4" w:space="0" w:color="auto"/>
            </w:tcBorders>
            <w:hideMark/>
          </w:tcPr>
          <w:p w14:paraId="27872E2E"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[No]</w:t>
            </w:r>
          </w:p>
        </w:tc>
        <w:tc>
          <w:tcPr>
            <w:tcW w:w="221" w:type="pct"/>
            <w:tcBorders>
              <w:top w:val="single" w:sz="4" w:space="0" w:color="auto"/>
              <w:left w:val="single" w:sz="4" w:space="0" w:color="auto"/>
              <w:bottom w:val="single" w:sz="4" w:space="0" w:color="auto"/>
              <w:right w:val="single" w:sz="4" w:space="0" w:color="auto"/>
            </w:tcBorders>
          </w:tcPr>
          <w:p w14:paraId="08036D96"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hideMark/>
          </w:tcPr>
          <w:p w14:paraId="068FC2ED"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For RedCap UEs, the 256QAM MCS table for PDSCH and CQI table 2 are only supported if the UE supports 256QAM for PDSCH.</w:t>
            </w:r>
          </w:p>
        </w:tc>
        <w:tc>
          <w:tcPr>
            <w:tcW w:w="285" w:type="pct"/>
            <w:tcBorders>
              <w:top w:val="single" w:sz="4" w:space="0" w:color="auto"/>
              <w:left w:val="single" w:sz="4" w:space="0" w:color="auto"/>
              <w:bottom w:val="single" w:sz="4" w:space="0" w:color="auto"/>
              <w:right w:val="single" w:sz="4" w:space="0" w:color="auto"/>
            </w:tcBorders>
            <w:hideMark/>
          </w:tcPr>
          <w:p w14:paraId="5435B0C0"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Optional</w:t>
            </w:r>
            <w:r w:rsidRPr="007E06B0">
              <w:rPr>
                <w:rFonts w:ascii="Times New Roman" w:hAnsi="Times New Roman"/>
                <w:sz w:val="14"/>
                <w:szCs w:val="14"/>
                <w:lang w:eastAsia="ja-JP"/>
              </w:rPr>
              <w:t xml:space="preserve"> with capability signaling</w:t>
            </w:r>
          </w:p>
        </w:tc>
      </w:tr>
      <w:tr w:rsidR="00867D5B" w:rsidRPr="007E06B0" w14:paraId="0833693E" w14:textId="77777777" w:rsidTr="007E06B0">
        <w:trPr>
          <w:trHeight w:val="20"/>
        </w:trPr>
        <w:tc>
          <w:tcPr>
            <w:tcW w:w="252" w:type="pct"/>
            <w:tcBorders>
              <w:top w:val="single" w:sz="4" w:space="0" w:color="auto"/>
              <w:left w:val="single" w:sz="4" w:space="0" w:color="auto"/>
              <w:bottom w:val="single" w:sz="4" w:space="0" w:color="auto"/>
              <w:right w:val="single" w:sz="4" w:space="0" w:color="auto"/>
            </w:tcBorders>
            <w:hideMark/>
          </w:tcPr>
          <w:p w14:paraId="36BCF37F"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 xml:space="preserve"> 28.</w:t>
            </w:r>
            <w:r w:rsidRPr="007E06B0">
              <w:rPr>
                <w:rFonts w:ascii="Times New Roman" w:hAnsi="Times New Roman"/>
                <w:sz w:val="14"/>
                <w:szCs w:val="14"/>
              </w:rPr>
              <w:t xml:space="preserve"> </w:t>
            </w:r>
            <w:proofErr w:type="spellStart"/>
            <w:r w:rsidRPr="007E06B0">
              <w:rPr>
                <w:rFonts w:ascii="Times New Roman" w:hAnsi="Times New Roman"/>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09D6193F"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28-5</w:t>
            </w:r>
          </w:p>
        </w:tc>
        <w:tc>
          <w:tcPr>
            <w:tcW w:w="348" w:type="pct"/>
            <w:tcBorders>
              <w:top w:val="single" w:sz="4" w:space="0" w:color="auto"/>
              <w:left w:val="single" w:sz="4" w:space="0" w:color="auto"/>
              <w:bottom w:val="single" w:sz="4" w:space="0" w:color="auto"/>
              <w:right w:val="single" w:sz="4" w:space="0" w:color="auto"/>
            </w:tcBorders>
            <w:hideMark/>
          </w:tcPr>
          <w:p w14:paraId="75932BA6" w14:textId="552932F3"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 xml:space="preserve">UL 256QAM support for </w:t>
            </w:r>
            <w:r w:rsidRPr="007E06B0">
              <w:rPr>
                <w:rFonts w:ascii="Times New Roman" w:eastAsia="SimSun" w:hAnsi="Times New Roman"/>
                <w:sz w:val="14"/>
                <w:szCs w:val="14"/>
                <w:lang w:eastAsia="zh-CN"/>
              </w:rPr>
              <w:lastRenderedPageBreak/>
              <w:t xml:space="preserve">RedCap </w:t>
            </w:r>
            <w:r w:rsidR="00A761DA">
              <w:rPr>
                <w:rFonts w:ascii="Times New Roman" w:eastAsia="SimSun" w:hAnsi="Times New Roman"/>
                <w:sz w:val="14"/>
                <w:szCs w:val="14"/>
                <w:lang w:eastAsia="zh-CN"/>
              </w:rPr>
              <w:t>UE</w:t>
            </w:r>
          </w:p>
        </w:tc>
        <w:tc>
          <w:tcPr>
            <w:tcW w:w="1422" w:type="pct"/>
            <w:tcBorders>
              <w:top w:val="single" w:sz="4" w:space="0" w:color="auto"/>
              <w:left w:val="single" w:sz="4" w:space="0" w:color="auto"/>
              <w:bottom w:val="single" w:sz="4" w:space="0" w:color="auto"/>
              <w:right w:val="single" w:sz="4" w:space="0" w:color="auto"/>
            </w:tcBorders>
            <w:hideMark/>
          </w:tcPr>
          <w:p w14:paraId="29FE6E20" w14:textId="77777777" w:rsidR="00867D5B" w:rsidRPr="007E06B0" w:rsidRDefault="00867D5B" w:rsidP="00552B09">
            <w:pPr>
              <w:snapToGrid w:val="0"/>
              <w:spacing w:afterLines="50" w:after="120"/>
              <w:contextualSpacing/>
              <w:jc w:val="left"/>
              <w:rPr>
                <w:sz w:val="14"/>
                <w:szCs w:val="14"/>
              </w:rPr>
            </w:pPr>
            <w:r w:rsidRPr="007E06B0">
              <w:rPr>
                <w:sz w:val="14"/>
                <w:szCs w:val="14"/>
              </w:rPr>
              <w:lastRenderedPageBreak/>
              <w:t>1. Support of 256QAM for PUSCH for RedCap UE</w:t>
            </w:r>
          </w:p>
          <w:p w14:paraId="20D38DFB" w14:textId="77777777" w:rsidR="00867D5B" w:rsidRPr="007E06B0" w:rsidRDefault="00867D5B" w:rsidP="00552B09">
            <w:pPr>
              <w:snapToGrid w:val="0"/>
              <w:contextualSpacing/>
              <w:jc w:val="left"/>
              <w:rPr>
                <w:sz w:val="14"/>
                <w:szCs w:val="14"/>
              </w:rPr>
            </w:pPr>
            <w:r w:rsidRPr="007E06B0">
              <w:rPr>
                <w:sz w:val="14"/>
                <w:szCs w:val="14"/>
              </w:rPr>
              <w:t>2. Support of 256QAM MCS table (Table 5.1.3.1-2 in TS 38.214) for PUSCH for RedCap UE</w:t>
            </w:r>
          </w:p>
        </w:tc>
        <w:tc>
          <w:tcPr>
            <w:tcW w:w="285" w:type="pct"/>
            <w:tcBorders>
              <w:top w:val="single" w:sz="4" w:space="0" w:color="auto"/>
              <w:left w:val="single" w:sz="4" w:space="0" w:color="auto"/>
              <w:bottom w:val="single" w:sz="4" w:space="0" w:color="auto"/>
              <w:right w:val="single" w:sz="4" w:space="0" w:color="auto"/>
            </w:tcBorders>
            <w:hideMark/>
          </w:tcPr>
          <w:p w14:paraId="6EFA8D2E"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28-1</w:t>
            </w:r>
          </w:p>
        </w:tc>
        <w:tc>
          <w:tcPr>
            <w:tcW w:w="192" w:type="pct"/>
            <w:tcBorders>
              <w:top w:val="single" w:sz="4" w:space="0" w:color="auto"/>
              <w:left w:val="single" w:sz="4" w:space="0" w:color="auto"/>
              <w:bottom w:val="single" w:sz="4" w:space="0" w:color="auto"/>
              <w:right w:val="single" w:sz="4" w:space="0" w:color="auto"/>
            </w:tcBorders>
            <w:hideMark/>
          </w:tcPr>
          <w:p w14:paraId="1D0703FE" w14:textId="77777777" w:rsidR="00867D5B" w:rsidRPr="007E06B0" w:rsidRDefault="00867D5B" w:rsidP="00552B09">
            <w:pPr>
              <w:pStyle w:val="TAL"/>
              <w:keepNext w:val="0"/>
              <w:keepLines w:val="0"/>
              <w:jc w:val="left"/>
              <w:rPr>
                <w:rFonts w:ascii="Times New Roman" w:eastAsia="SimSun" w:hAnsi="Times New Roman"/>
                <w:sz w:val="14"/>
                <w:szCs w:val="14"/>
                <w:lang w:eastAsia="zh-CN"/>
              </w:rPr>
            </w:pPr>
            <w:r w:rsidRPr="007E06B0">
              <w:rPr>
                <w:rFonts w:ascii="Times New Roman" w:eastAsia="SimSun" w:hAnsi="Times New Roman"/>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130D881"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hideMark/>
          </w:tcPr>
          <w:p w14:paraId="39EE8D4D" w14:textId="77777777" w:rsidR="00867D5B" w:rsidRPr="007E06B0" w:rsidRDefault="00867D5B" w:rsidP="00552B09">
            <w:pPr>
              <w:pStyle w:val="TAL"/>
              <w:keepNext w:val="0"/>
              <w:keepLines w:val="0"/>
              <w:jc w:val="left"/>
              <w:rPr>
                <w:rFonts w:ascii="Times New Roman" w:eastAsia="SimSun" w:hAnsi="Times New Roman"/>
                <w:sz w:val="14"/>
                <w:szCs w:val="14"/>
                <w:lang w:val="en-US" w:eastAsia="zh-CN"/>
              </w:rPr>
            </w:pPr>
            <w:r w:rsidRPr="007E06B0">
              <w:rPr>
                <w:rFonts w:ascii="Times New Roman" w:eastAsia="SimSun" w:hAnsi="Times New Roman"/>
                <w:sz w:val="14"/>
                <w:szCs w:val="14"/>
                <w:lang w:val="en-US" w:eastAsia="zh-CN"/>
              </w:rPr>
              <w:t>Impact on UE complexity and UL link performance at high SNR</w:t>
            </w:r>
          </w:p>
        </w:tc>
        <w:tc>
          <w:tcPr>
            <w:tcW w:w="285" w:type="pct"/>
            <w:tcBorders>
              <w:top w:val="single" w:sz="4" w:space="0" w:color="auto"/>
              <w:left w:val="single" w:sz="4" w:space="0" w:color="auto"/>
              <w:bottom w:val="single" w:sz="4" w:space="0" w:color="auto"/>
              <w:right w:val="single" w:sz="4" w:space="0" w:color="auto"/>
            </w:tcBorders>
            <w:hideMark/>
          </w:tcPr>
          <w:p w14:paraId="0FAFA4E8" w14:textId="77777777" w:rsidR="00867D5B" w:rsidRPr="007E06B0" w:rsidRDefault="00867D5B" w:rsidP="00552B09">
            <w:pPr>
              <w:pStyle w:val="TAL"/>
              <w:keepNext w:val="0"/>
              <w:keepLines w:val="0"/>
              <w:jc w:val="left"/>
              <w:rPr>
                <w:rFonts w:ascii="Times New Roman" w:hAnsi="Times New Roman"/>
                <w:sz w:val="14"/>
                <w:szCs w:val="14"/>
                <w:lang w:eastAsia="ja-JP"/>
              </w:rPr>
            </w:pPr>
            <w:r w:rsidRPr="007E06B0">
              <w:rPr>
                <w:rFonts w:ascii="Times New Roman" w:hAnsi="Times New Roman"/>
                <w:sz w:val="14"/>
                <w:szCs w:val="14"/>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60561B44"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No</w:t>
            </w:r>
          </w:p>
        </w:tc>
        <w:tc>
          <w:tcPr>
            <w:tcW w:w="222" w:type="pct"/>
            <w:tcBorders>
              <w:top w:val="single" w:sz="4" w:space="0" w:color="auto"/>
              <w:left w:val="single" w:sz="4" w:space="0" w:color="auto"/>
              <w:bottom w:val="single" w:sz="4" w:space="0" w:color="auto"/>
              <w:right w:val="single" w:sz="4" w:space="0" w:color="auto"/>
            </w:tcBorders>
            <w:hideMark/>
          </w:tcPr>
          <w:p w14:paraId="6260E860"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[No]</w:t>
            </w:r>
          </w:p>
        </w:tc>
        <w:tc>
          <w:tcPr>
            <w:tcW w:w="221" w:type="pct"/>
            <w:tcBorders>
              <w:top w:val="single" w:sz="4" w:space="0" w:color="auto"/>
              <w:left w:val="single" w:sz="4" w:space="0" w:color="auto"/>
              <w:bottom w:val="single" w:sz="4" w:space="0" w:color="auto"/>
              <w:right w:val="single" w:sz="4" w:space="0" w:color="auto"/>
            </w:tcBorders>
          </w:tcPr>
          <w:p w14:paraId="3ABFA190" w14:textId="77777777" w:rsidR="00867D5B" w:rsidRPr="007E06B0" w:rsidRDefault="00867D5B" w:rsidP="00552B09">
            <w:pPr>
              <w:pStyle w:val="TAL"/>
              <w:keepNext w:val="0"/>
              <w:keepLines w:val="0"/>
              <w:jc w:val="left"/>
              <w:rPr>
                <w:rFonts w:ascii="Times New Roman" w:hAnsi="Times New Roman"/>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hideMark/>
          </w:tcPr>
          <w:p w14:paraId="64A5E05C"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t xml:space="preserve">For RedCap UEs, the 256QAM MCS table for PUSCH is only supported if the UE supports </w:t>
            </w:r>
            <w:r w:rsidRPr="007E06B0">
              <w:rPr>
                <w:rFonts w:ascii="Times New Roman" w:hAnsi="Times New Roman"/>
                <w:sz w:val="14"/>
                <w:szCs w:val="14"/>
              </w:rPr>
              <w:lastRenderedPageBreak/>
              <w:t>256QAM for PUSCH.</w:t>
            </w:r>
          </w:p>
        </w:tc>
        <w:tc>
          <w:tcPr>
            <w:tcW w:w="285" w:type="pct"/>
            <w:tcBorders>
              <w:top w:val="single" w:sz="4" w:space="0" w:color="auto"/>
              <w:left w:val="single" w:sz="4" w:space="0" w:color="auto"/>
              <w:bottom w:val="single" w:sz="4" w:space="0" w:color="auto"/>
              <w:right w:val="single" w:sz="4" w:space="0" w:color="auto"/>
            </w:tcBorders>
            <w:hideMark/>
          </w:tcPr>
          <w:p w14:paraId="4A9D1B76" w14:textId="77777777" w:rsidR="00867D5B" w:rsidRPr="007E06B0" w:rsidRDefault="00867D5B" w:rsidP="00552B09">
            <w:pPr>
              <w:pStyle w:val="TAL"/>
              <w:keepNext w:val="0"/>
              <w:keepLines w:val="0"/>
              <w:jc w:val="left"/>
              <w:rPr>
                <w:rFonts w:ascii="Times New Roman" w:hAnsi="Times New Roman"/>
                <w:sz w:val="14"/>
                <w:szCs w:val="14"/>
              </w:rPr>
            </w:pPr>
            <w:r w:rsidRPr="007E06B0">
              <w:rPr>
                <w:rFonts w:ascii="Times New Roman" w:hAnsi="Times New Roman"/>
                <w:sz w:val="14"/>
                <w:szCs w:val="14"/>
              </w:rPr>
              <w:lastRenderedPageBreak/>
              <w:t>Optional</w:t>
            </w:r>
            <w:r w:rsidRPr="007E06B0">
              <w:rPr>
                <w:rFonts w:ascii="Times New Roman" w:hAnsi="Times New Roman"/>
                <w:sz w:val="14"/>
                <w:szCs w:val="14"/>
                <w:lang w:eastAsia="ja-JP"/>
              </w:rPr>
              <w:t xml:space="preserve"> with capability signaling</w:t>
            </w:r>
          </w:p>
        </w:tc>
      </w:tr>
    </w:tbl>
    <w:p w14:paraId="487F906C" w14:textId="77777777" w:rsidR="007310E6" w:rsidRPr="007E06B0" w:rsidRDefault="007310E6" w:rsidP="00AD4764">
      <w:pPr>
        <w:rPr>
          <w:sz w:val="14"/>
          <w:szCs w:val="14"/>
          <w:lang w:eastAsia="zh-CN"/>
        </w:rPr>
      </w:pPr>
    </w:p>
    <w:sectPr w:rsidR="007310E6" w:rsidRPr="007E06B0" w:rsidSect="007E06B0">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ECC6" w14:textId="77777777" w:rsidR="003E0529" w:rsidRDefault="003E0529">
      <w:r>
        <w:separator/>
      </w:r>
    </w:p>
  </w:endnote>
  <w:endnote w:type="continuationSeparator" w:id="0">
    <w:p w14:paraId="6B5F9E32" w14:textId="77777777" w:rsidR="003E0529" w:rsidRDefault="003E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F7C4" w14:textId="77777777" w:rsidR="003E0529" w:rsidRDefault="003E0529">
      <w:r>
        <w:separator/>
      </w:r>
    </w:p>
  </w:footnote>
  <w:footnote w:type="continuationSeparator" w:id="0">
    <w:p w14:paraId="266F75BD" w14:textId="77777777" w:rsidR="003E0529" w:rsidRDefault="003E0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D84"/>
    <w:multiLevelType w:val="hybridMultilevel"/>
    <w:tmpl w:val="1DCA0EC6"/>
    <w:lvl w:ilvl="0" w:tplc="369C7F52">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417AC6"/>
    <w:multiLevelType w:val="multilevel"/>
    <w:tmpl w:val="ACFCF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850D2"/>
    <w:multiLevelType w:val="hybridMultilevel"/>
    <w:tmpl w:val="984E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C67918"/>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033B2"/>
    <w:multiLevelType w:val="multilevel"/>
    <w:tmpl w:val="DCE84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30BA1"/>
    <w:multiLevelType w:val="hybridMultilevel"/>
    <w:tmpl w:val="A142E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21672E"/>
    <w:multiLevelType w:val="multilevel"/>
    <w:tmpl w:val="32DA2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35503F"/>
    <w:multiLevelType w:val="multilevel"/>
    <w:tmpl w:val="77A2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173127"/>
    <w:multiLevelType w:val="hybridMultilevel"/>
    <w:tmpl w:val="CC5E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33DD7"/>
    <w:multiLevelType w:val="multilevel"/>
    <w:tmpl w:val="39BA0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D6811"/>
    <w:multiLevelType w:val="hybridMultilevel"/>
    <w:tmpl w:val="BBD423E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4511C6"/>
    <w:multiLevelType w:val="hybridMultilevel"/>
    <w:tmpl w:val="1FD0D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A375A5A"/>
    <w:multiLevelType w:val="multilevel"/>
    <w:tmpl w:val="E31E8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19"/>
  </w:num>
  <w:num w:numId="4">
    <w:abstractNumId w:val="18"/>
  </w:num>
  <w:num w:numId="5">
    <w:abstractNumId w:val="14"/>
  </w:num>
  <w:num w:numId="6">
    <w:abstractNumId w:val="1"/>
  </w:num>
  <w:num w:numId="7">
    <w:abstractNumId w:val="29"/>
  </w:num>
  <w:num w:numId="8">
    <w:abstractNumId w:val="24"/>
  </w:num>
  <w:num w:numId="9">
    <w:abstractNumId w:val="0"/>
  </w:num>
  <w:num w:numId="10">
    <w:abstractNumId w:val="6"/>
  </w:num>
  <w:num w:numId="11">
    <w:abstractNumId w:val="15"/>
  </w:num>
  <w:num w:numId="12">
    <w:abstractNumId w:val="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1"/>
  </w:num>
  <w:num w:numId="16">
    <w:abstractNumId w:val="23"/>
  </w:num>
  <w:num w:numId="17">
    <w:abstractNumId w:val="9"/>
  </w:num>
  <w:num w:numId="18">
    <w:abstractNumId w:val="20"/>
  </w:num>
  <w:num w:numId="19">
    <w:abstractNumId w:val="21"/>
  </w:num>
  <w:num w:numId="20">
    <w:abstractNumId w:val="26"/>
  </w:num>
  <w:num w:numId="21">
    <w:abstractNumId w:val="16"/>
  </w:num>
  <w:num w:numId="22">
    <w:abstractNumId w:val="25"/>
  </w:num>
  <w:num w:numId="23">
    <w:abstractNumId w:val="17"/>
  </w:num>
  <w:num w:numId="24">
    <w:abstractNumId w:val="7"/>
  </w:num>
  <w:num w:numId="25">
    <w:abstractNumId w:val="5"/>
  </w:num>
  <w:num w:numId="26">
    <w:abstractNumId w:val="27"/>
  </w:num>
  <w:num w:numId="27">
    <w:abstractNumId w:val="10"/>
  </w:num>
  <w:num w:numId="28">
    <w:abstractNumId w:val="8"/>
  </w:num>
  <w:num w:numId="29">
    <w:abstractNumId w:val="4"/>
  </w:num>
  <w:num w:numId="30">
    <w:abstractNumId w:val="14"/>
  </w:num>
  <w:num w:numId="31">
    <w:abstractNumId w:val="11"/>
  </w:num>
  <w:num w:numId="32">
    <w:abstractNumId w:val="28"/>
  </w:num>
  <w:num w:numId="33">
    <w:abstractNumId w:val="22"/>
  </w:num>
  <w:num w:numId="3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6B0"/>
    <w:pPr>
      <w:overflowPunct w:val="0"/>
      <w:autoSpaceDE w:val="0"/>
      <w:autoSpaceDN w:val="0"/>
      <w:adjustRightInd w:val="0"/>
      <w:spacing w:after="180"/>
      <w:jc w:val="both"/>
    </w:pPr>
    <w:rPr>
      <w:rFonts w:eastAsia="Malgun Gothic"/>
      <w:lang w:val="en-GB"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52B09"/>
    <w:pPr>
      <w:spacing w:before="20" w:after="20"/>
      <w:jc w:val="left"/>
    </w:pPr>
    <w:rPr>
      <w:lang w:val="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val="en-GB"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val="en-GB"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val="en-US" w:eastAsia="zh-CN"/>
    </w:rPr>
  </w:style>
  <w:style w:type="character" w:styleId="Strong">
    <w:name w:val="Strong"/>
    <w:basedOn w:val="DefaultParagraphFont"/>
    <w:uiPriority w:val="22"/>
    <w:qFormat/>
    <w:rsid w:val="003F4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2</cp:revision>
  <cp:lastPrinted>2007-06-18T22:08:00Z</cp:lastPrinted>
  <dcterms:created xsi:type="dcterms:W3CDTF">2021-10-01T13:37:00Z</dcterms:created>
  <dcterms:modified xsi:type="dcterms:W3CDTF">2021-10-01T13:37:00Z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