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57EF5" w14:textId="0E4E1382" w:rsidR="00E03E1D" w:rsidRPr="0067142E" w:rsidRDefault="00E03E1D" w:rsidP="00E03E1D">
      <w:pPr>
        <w:tabs>
          <w:tab w:val="right" w:pos="9216"/>
        </w:tabs>
        <w:jc w:val="left"/>
        <w:rPr>
          <w:rFonts w:cs="Times New Roman"/>
          <w:b/>
          <w:kern w:val="2"/>
          <w:lang w:val="en-GB"/>
        </w:rPr>
      </w:pPr>
      <w:r w:rsidRPr="0067142E">
        <w:rPr>
          <w:rFonts w:cs="Times New Roman"/>
          <w:b/>
          <w:kern w:val="2"/>
          <w:lang w:val="en-GB"/>
        </w:rPr>
        <w:t xml:space="preserve">3GPP TSG RAN WG1 </w:t>
      </w:r>
      <w:r w:rsidR="00F3511A">
        <w:rPr>
          <w:rFonts w:cs="Times New Roman"/>
          <w:b/>
          <w:kern w:val="2"/>
          <w:lang w:val="en-GB"/>
        </w:rPr>
        <w:t xml:space="preserve">Meeting </w:t>
      </w:r>
      <w:r w:rsidRPr="0067142E">
        <w:rPr>
          <w:rFonts w:cs="Times New Roman"/>
          <w:b/>
          <w:kern w:val="2"/>
          <w:lang w:val="en-GB"/>
        </w:rPr>
        <w:t>#10</w:t>
      </w:r>
      <w:r w:rsidR="00733CF4">
        <w:rPr>
          <w:rFonts w:cs="Times New Roman"/>
          <w:b/>
          <w:kern w:val="2"/>
          <w:lang w:val="en-GB"/>
        </w:rPr>
        <w:t>6</w:t>
      </w:r>
      <w:r w:rsidRPr="0067142E">
        <w:rPr>
          <w:rFonts w:cs="Times New Roman"/>
          <w:b/>
          <w:kern w:val="2"/>
          <w:lang w:val="en-GB"/>
        </w:rPr>
        <w:t>-e</w:t>
      </w:r>
      <w:r w:rsidRPr="0067142E">
        <w:rPr>
          <w:rFonts w:cs="Times New Roman"/>
          <w:b/>
          <w:kern w:val="2"/>
          <w:lang w:val="en-GB"/>
        </w:rPr>
        <w:tab/>
      </w:r>
      <w:r w:rsidR="00F3511A" w:rsidRPr="00F3511A">
        <w:rPr>
          <w:rFonts w:cs="Times New Roman"/>
          <w:b/>
          <w:kern w:val="2"/>
          <w:lang w:val="en-GB"/>
        </w:rPr>
        <w:t>R1-2108064</w:t>
      </w:r>
    </w:p>
    <w:p w14:paraId="44443533" w14:textId="62C231B7" w:rsidR="00E03E1D" w:rsidRPr="0067142E" w:rsidRDefault="00CF7D8E" w:rsidP="00E03E1D">
      <w:pPr>
        <w:tabs>
          <w:tab w:val="right" w:pos="9216"/>
        </w:tabs>
        <w:spacing w:afterLines="50" w:after="156"/>
        <w:jc w:val="left"/>
        <w:rPr>
          <w:rFonts w:cs="Times New Roman"/>
          <w:b/>
          <w:kern w:val="2"/>
          <w:lang w:val="en-GB"/>
        </w:rPr>
      </w:pPr>
      <w:r>
        <w:rPr>
          <w:rFonts w:cs="Times New Roman"/>
          <w:b/>
          <w:kern w:val="2"/>
        </w:rPr>
        <w:t>e</w:t>
      </w:r>
      <w:r w:rsidR="00E03E1D" w:rsidRPr="0067142E">
        <w:rPr>
          <w:rFonts w:cs="Times New Roman"/>
          <w:b/>
          <w:kern w:val="2"/>
        </w:rPr>
        <w:t>-</w:t>
      </w:r>
      <w:r>
        <w:rPr>
          <w:rFonts w:cs="Times New Roman"/>
          <w:b/>
          <w:kern w:val="2"/>
        </w:rPr>
        <w:t>M</w:t>
      </w:r>
      <w:r w:rsidRPr="0067142E">
        <w:rPr>
          <w:rFonts w:cs="Times New Roman"/>
          <w:b/>
          <w:kern w:val="2"/>
        </w:rPr>
        <w:t>eeting</w:t>
      </w:r>
      <w:r w:rsidR="00E03E1D" w:rsidRPr="0067142E">
        <w:rPr>
          <w:rFonts w:cs="Times New Roman"/>
          <w:b/>
          <w:kern w:val="2"/>
        </w:rPr>
        <w:t xml:space="preserve">, </w:t>
      </w:r>
      <w:r w:rsidR="004A1D17">
        <w:rPr>
          <w:rFonts w:cs="Times New Roman"/>
          <w:b/>
          <w:kern w:val="2"/>
        </w:rPr>
        <w:t>August</w:t>
      </w:r>
      <w:r w:rsidR="00E03E1D" w:rsidRPr="0067142E">
        <w:rPr>
          <w:rFonts w:cs="Times New Roman"/>
          <w:b/>
          <w:kern w:val="2"/>
        </w:rPr>
        <w:t xml:space="preserve"> </w:t>
      </w:r>
      <w:r w:rsidR="004A1D17">
        <w:rPr>
          <w:rFonts w:cs="Times New Roman"/>
          <w:b/>
          <w:kern w:val="2"/>
        </w:rPr>
        <w:t>16</w:t>
      </w:r>
      <w:r w:rsidRPr="00AC2719">
        <w:rPr>
          <w:rFonts w:cs="Times New Roman"/>
          <w:b/>
          <w:kern w:val="2"/>
          <w:vertAlign w:val="superscript"/>
        </w:rPr>
        <w:t>th</w:t>
      </w:r>
      <w:r>
        <w:rPr>
          <w:rFonts w:cs="Times New Roman"/>
          <w:b/>
          <w:kern w:val="2"/>
        </w:rPr>
        <w:t xml:space="preserve"> </w:t>
      </w:r>
      <w:r w:rsidR="00331477">
        <w:rPr>
          <w:rFonts w:cs="Times New Roman"/>
          <w:b/>
          <w:kern w:val="2"/>
        </w:rPr>
        <w:t>–</w:t>
      </w:r>
      <w:r w:rsidR="00E03E1D" w:rsidRPr="0067142E">
        <w:rPr>
          <w:rFonts w:cs="Times New Roman"/>
          <w:b/>
          <w:kern w:val="2"/>
        </w:rPr>
        <w:t xml:space="preserve"> </w:t>
      </w:r>
      <w:r w:rsidR="00431325">
        <w:rPr>
          <w:rFonts w:cs="Times New Roman"/>
          <w:b/>
          <w:kern w:val="2"/>
        </w:rPr>
        <w:t>27</w:t>
      </w:r>
      <w:r w:rsidR="0048744D" w:rsidRPr="00AC2719">
        <w:rPr>
          <w:rFonts w:cs="Times New Roman"/>
          <w:b/>
          <w:kern w:val="2"/>
          <w:vertAlign w:val="superscript"/>
        </w:rPr>
        <w:t>th</w:t>
      </w:r>
      <w:r w:rsidR="00E03E1D" w:rsidRPr="0067142E">
        <w:rPr>
          <w:rFonts w:cs="Times New Roman"/>
          <w:b/>
          <w:kern w:val="2"/>
        </w:rPr>
        <w:t>, 202</w:t>
      </w:r>
      <w:r w:rsidR="00581F71" w:rsidRPr="0067142E">
        <w:rPr>
          <w:rFonts w:cs="Times New Roman"/>
          <w:b/>
          <w:kern w:val="2"/>
        </w:rPr>
        <w:t>1</w:t>
      </w:r>
    </w:p>
    <w:p w14:paraId="07B9C836" w14:textId="77777777" w:rsidR="00E03E1D" w:rsidRPr="006B09A2" w:rsidRDefault="00E03E1D" w:rsidP="006B09A2">
      <w:pPr>
        <w:pBdr>
          <w:top w:val="single" w:sz="4" w:space="1" w:color="auto"/>
        </w:pBdr>
        <w:jc w:val="left"/>
        <w:rPr>
          <w:rFonts w:eastAsiaTheme="minorEastAsia" w:cs="Times New Roman"/>
          <w:b/>
          <w:kern w:val="2"/>
          <w:lang w:val="en-GB"/>
        </w:rPr>
      </w:pPr>
    </w:p>
    <w:p w14:paraId="7D427B8E" w14:textId="794D59DA" w:rsidR="00E03E1D" w:rsidRPr="0067142E" w:rsidRDefault="00E03E1D" w:rsidP="00E03E1D">
      <w:pPr>
        <w:ind w:left="1555" w:hanging="1555"/>
        <w:jc w:val="left"/>
        <w:rPr>
          <w:rFonts w:cs="Times New Roman"/>
          <w:b/>
          <w:kern w:val="2"/>
          <w:lang w:val="en-GB"/>
        </w:rPr>
      </w:pPr>
      <w:r w:rsidRPr="0067142E">
        <w:rPr>
          <w:rFonts w:cs="Times New Roman"/>
          <w:b/>
          <w:kern w:val="2"/>
          <w:lang w:val="en-GB"/>
        </w:rPr>
        <w:t>Agenda Item:</w:t>
      </w:r>
      <w:r w:rsidRPr="0067142E">
        <w:rPr>
          <w:rFonts w:cs="Times New Roman"/>
          <w:b/>
          <w:kern w:val="2"/>
          <w:lang w:val="en-GB"/>
        </w:rPr>
        <w:tab/>
      </w:r>
      <w:r w:rsidR="00210A06">
        <w:rPr>
          <w:rFonts w:cs="Times New Roman"/>
          <w:b/>
          <w:kern w:val="2"/>
          <w:lang w:val="en-GB"/>
        </w:rPr>
        <w:t>5</w:t>
      </w:r>
    </w:p>
    <w:p w14:paraId="7A8B02C6" w14:textId="77777777" w:rsidR="00E03E1D" w:rsidRPr="0067142E" w:rsidRDefault="00E03E1D" w:rsidP="00E03E1D">
      <w:pPr>
        <w:ind w:left="1555" w:hanging="1555"/>
        <w:jc w:val="left"/>
        <w:rPr>
          <w:rFonts w:cs="Times New Roman"/>
          <w:b/>
          <w:kern w:val="2"/>
          <w:lang w:val="en-GB"/>
        </w:rPr>
      </w:pPr>
      <w:r w:rsidRPr="0067142E">
        <w:rPr>
          <w:rFonts w:cs="Times New Roman"/>
          <w:b/>
          <w:kern w:val="2"/>
          <w:lang w:val="en-GB"/>
        </w:rPr>
        <w:t>Source:</w:t>
      </w:r>
      <w:r w:rsidRPr="0067142E">
        <w:rPr>
          <w:rFonts w:cs="Times New Roman"/>
          <w:b/>
          <w:kern w:val="2"/>
          <w:lang w:val="en-GB"/>
        </w:rPr>
        <w:tab/>
        <w:t>Huawei, HiSilicon</w:t>
      </w:r>
    </w:p>
    <w:p w14:paraId="41F66070" w14:textId="172330EC" w:rsidR="00E03E1D" w:rsidRPr="0067142E" w:rsidRDefault="00E03E1D" w:rsidP="00E03E1D">
      <w:pPr>
        <w:ind w:left="1555" w:hanging="1555"/>
        <w:jc w:val="left"/>
        <w:rPr>
          <w:rFonts w:cs="Times New Roman"/>
          <w:b/>
          <w:kern w:val="2"/>
          <w:lang w:val="en-GB"/>
        </w:rPr>
      </w:pPr>
      <w:r w:rsidRPr="0067142E">
        <w:rPr>
          <w:rFonts w:cs="Times New Roman"/>
          <w:b/>
          <w:kern w:val="2"/>
          <w:lang w:val="en-GB"/>
        </w:rPr>
        <w:t>Title:</w:t>
      </w:r>
      <w:r w:rsidRPr="0067142E">
        <w:rPr>
          <w:rFonts w:cs="Times New Roman"/>
          <w:b/>
          <w:kern w:val="2"/>
          <w:lang w:val="en-GB"/>
        </w:rPr>
        <w:tab/>
      </w:r>
      <w:r w:rsidR="00210A06" w:rsidRPr="00210A06">
        <w:rPr>
          <w:rFonts w:cs="Times New Roman"/>
          <w:b/>
          <w:kern w:val="2"/>
          <w:lang w:val="en-GB"/>
        </w:rPr>
        <w:t>Views on RAN</w:t>
      </w:r>
      <w:r w:rsidR="005F1122">
        <w:rPr>
          <w:rFonts w:cs="Times New Roman"/>
          <w:b/>
          <w:kern w:val="2"/>
          <w:lang w:val="en-GB"/>
        </w:rPr>
        <w:t>3</w:t>
      </w:r>
      <w:r w:rsidR="00210A06" w:rsidRPr="00210A06">
        <w:rPr>
          <w:rFonts w:cs="Times New Roman"/>
          <w:b/>
          <w:kern w:val="2"/>
          <w:lang w:val="en-GB"/>
        </w:rPr>
        <w:t xml:space="preserve"> reply LS for L1/L2 mobility</w:t>
      </w:r>
      <w:r w:rsidRPr="0067142E" w:rsidDel="00FB4094">
        <w:rPr>
          <w:rFonts w:cs="Times New Roman"/>
          <w:b/>
          <w:kern w:val="2"/>
          <w:lang w:val="en-GB"/>
        </w:rPr>
        <w:t xml:space="preserve"> </w:t>
      </w:r>
    </w:p>
    <w:p w14:paraId="23DE81EE" w14:textId="77777777" w:rsidR="00E03E1D" w:rsidRPr="0067142E" w:rsidRDefault="00E03E1D" w:rsidP="00E03E1D">
      <w:pPr>
        <w:ind w:left="1555" w:hanging="1555"/>
        <w:jc w:val="left"/>
        <w:rPr>
          <w:rFonts w:cs="Times New Roman"/>
          <w:b/>
          <w:kern w:val="2"/>
          <w:lang w:val="en-GB"/>
        </w:rPr>
      </w:pPr>
      <w:r w:rsidRPr="0067142E">
        <w:rPr>
          <w:rFonts w:cs="Times New Roman"/>
          <w:b/>
          <w:kern w:val="2"/>
          <w:lang w:val="en-GB"/>
        </w:rPr>
        <w:t>Document for:</w:t>
      </w:r>
      <w:r w:rsidRPr="0067142E">
        <w:rPr>
          <w:rFonts w:cs="Times New Roman"/>
          <w:b/>
          <w:kern w:val="2"/>
          <w:lang w:val="en-GB"/>
        </w:rPr>
        <w:tab/>
        <w:t>Discussion and Decision</w:t>
      </w:r>
    </w:p>
    <w:p w14:paraId="2A2B47C0" w14:textId="77777777" w:rsidR="00E03E1D" w:rsidRPr="0067142E" w:rsidRDefault="00E03E1D" w:rsidP="00E03E1D">
      <w:pPr>
        <w:pBdr>
          <w:bottom w:val="single" w:sz="4" w:space="1" w:color="auto"/>
        </w:pBdr>
        <w:jc w:val="left"/>
        <w:rPr>
          <w:rFonts w:cs="Times New Roman"/>
          <w:b/>
          <w:kern w:val="2"/>
          <w:lang w:val="en-GB"/>
        </w:rPr>
      </w:pPr>
    </w:p>
    <w:p w14:paraId="596C64BE" w14:textId="77777777" w:rsidR="00E03E1D" w:rsidRPr="0067142E" w:rsidRDefault="00E03E1D" w:rsidP="00E03E1D">
      <w:pPr>
        <w:pStyle w:val="Heading1"/>
        <w:rPr>
          <w:szCs w:val="20"/>
          <w:lang w:eastAsia="zh-CN"/>
        </w:rPr>
      </w:pPr>
      <w:r w:rsidRPr="0067142E">
        <w:rPr>
          <w:szCs w:val="20"/>
          <w:lang w:eastAsia="zh-CN"/>
        </w:rPr>
        <w:t>Introduction</w:t>
      </w:r>
    </w:p>
    <w:p w14:paraId="3AFFFBA3" w14:textId="1EB2B59D" w:rsidR="00BC1621" w:rsidRDefault="00210A06" w:rsidP="00E03E1D">
      <w:pPr>
        <w:rPr>
          <w:rFonts w:cs="Times New Roman"/>
          <w:kern w:val="2"/>
          <w:lang w:val="en-GB"/>
        </w:rPr>
      </w:pPr>
      <w:r>
        <w:rPr>
          <w:rFonts w:cs="Times New Roman"/>
          <w:kern w:val="2"/>
          <w:lang w:val="en-GB"/>
        </w:rPr>
        <w:t>RAN1 sent an LS to RAN</w:t>
      </w:r>
      <w:r w:rsidR="007964BA">
        <w:rPr>
          <w:rFonts w:cs="Times New Roman"/>
          <w:kern w:val="2"/>
          <w:lang w:val="en-GB"/>
        </w:rPr>
        <w:t>3</w:t>
      </w:r>
      <w:r>
        <w:rPr>
          <w:rFonts w:cs="Times New Roman"/>
          <w:kern w:val="2"/>
          <w:lang w:val="en-GB"/>
        </w:rPr>
        <w:t xml:space="preserve"> asking questions on L1/L2 mobility </w:t>
      </w:r>
      <w:r w:rsidR="005D6719">
        <w:rPr>
          <w:rFonts w:cs="Times New Roman"/>
          <w:kern w:val="2"/>
          <w:lang w:val="en-GB"/>
        </w:rPr>
        <w:t xml:space="preserve">[1] </w:t>
      </w:r>
      <w:r>
        <w:rPr>
          <w:rFonts w:cs="Times New Roman"/>
          <w:kern w:val="2"/>
          <w:lang w:val="en-GB"/>
        </w:rPr>
        <w:t xml:space="preserve">and received feedback </w:t>
      </w:r>
      <w:r w:rsidR="005D6719">
        <w:rPr>
          <w:rFonts w:cs="Times New Roman"/>
          <w:kern w:val="2"/>
          <w:lang w:val="en-GB"/>
        </w:rPr>
        <w:t>with question</w:t>
      </w:r>
      <w:r w:rsidR="00502E6D">
        <w:rPr>
          <w:rFonts w:cs="Times New Roman"/>
          <w:kern w:val="2"/>
          <w:lang w:val="en-GB"/>
        </w:rPr>
        <w:t>s</w:t>
      </w:r>
      <w:r w:rsidR="005D6719">
        <w:rPr>
          <w:rFonts w:cs="Times New Roman"/>
          <w:kern w:val="2"/>
          <w:lang w:val="en-GB"/>
        </w:rPr>
        <w:t xml:space="preserve"> </w:t>
      </w:r>
      <w:r>
        <w:rPr>
          <w:rFonts w:cs="Times New Roman"/>
          <w:kern w:val="2"/>
          <w:lang w:val="en-GB"/>
        </w:rPr>
        <w:t xml:space="preserve">in </w:t>
      </w:r>
      <w:r w:rsidR="005D6719">
        <w:rPr>
          <w:rFonts w:cs="Times New Roman"/>
          <w:kern w:val="2"/>
          <w:lang w:val="en-GB"/>
        </w:rPr>
        <w:t>[</w:t>
      </w:r>
      <w:r w:rsidR="007964BA">
        <w:rPr>
          <w:rFonts w:cs="Times New Roman"/>
          <w:kern w:val="2"/>
          <w:lang w:val="en-GB"/>
        </w:rPr>
        <w:t>3</w:t>
      </w:r>
      <w:r w:rsidR="005D6719">
        <w:rPr>
          <w:rFonts w:cs="Times New Roman"/>
          <w:kern w:val="2"/>
          <w:lang w:val="en-GB"/>
        </w:rPr>
        <w:t>]</w:t>
      </w:r>
      <w:r>
        <w:rPr>
          <w:rFonts w:cs="Times New Roman"/>
          <w:kern w:val="2"/>
          <w:lang w:val="en-GB"/>
        </w:rPr>
        <w:t xml:space="preserve">. </w:t>
      </w:r>
      <w:r w:rsidR="00E03E1D" w:rsidRPr="0067142E">
        <w:rPr>
          <w:rFonts w:cs="Times New Roman"/>
          <w:kern w:val="2"/>
          <w:lang w:val="en-GB"/>
        </w:rPr>
        <w:t xml:space="preserve">In this paper, we provide our views on </w:t>
      </w:r>
      <w:r w:rsidR="005D6719">
        <w:rPr>
          <w:rFonts w:cs="Times New Roman"/>
          <w:kern w:val="2"/>
          <w:lang w:val="en-GB"/>
        </w:rPr>
        <w:t>RAN</w:t>
      </w:r>
      <w:r w:rsidR="001C6331">
        <w:rPr>
          <w:rFonts w:cs="Times New Roman"/>
          <w:kern w:val="2"/>
          <w:lang w:val="en-GB"/>
        </w:rPr>
        <w:t>3</w:t>
      </w:r>
      <w:r w:rsidR="005D6719">
        <w:rPr>
          <w:rFonts w:cs="Times New Roman"/>
          <w:kern w:val="2"/>
          <w:lang w:val="en-GB"/>
        </w:rPr>
        <w:t xml:space="preserve"> questions</w:t>
      </w:r>
      <w:r>
        <w:rPr>
          <w:rFonts w:cs="Times New Roman"/>
          <w:kern w:val="2"/>
          <w:lang w:val="en-GB"/>
        </w:rPr>
        <w:t>.</w:t>
      </w:r>
      <w:r w:rsidR="00593C7B" w:rsidRPr="00593C7B">
        <w:rPr>
          <w:rFonts w:cs="Times New Roman"/>
          <w:kern w:val="2"/>
          <w:lang w:val="en-GB"/>
        </w:rPr>
        <w:t xml:space="preserve"> </w:t>
      </w:r>
      <w:r w:rsidR="00593C7B">
        <w:rPr>
          <w:rFonts w:cs="Times New Roman"/>
          <w:kern w:val="2"/>
          <w:lang w:val="en-GB"/>
        </w:rPr>
        <w:t>Note that the scope of L1/L2 mobility was discussed in RAN [5] and the corresponding WID was updated in [6]</w:t>
      </w:r>
      <w:r w:rsidR="00AA5C04">
        <w:rPr>
          <w:rFonts w:cs="Times New Roman"/>
          <w:kern w:val="2"/>
          <w:lang w:val="en-GB"/>
        </w:rPr>
        <w:t xml:space="preserve"> (copied below)</w:t>
      </w:r>
      <w:r w:rsidR="00593C7B">
        <w:rPr>
          <w:rFonts w:cs="Times New Roman"/>
          <w:kern w:val="2"/>
          <w:lang w:val="en-GB"/>
        </w:rPr>
        <w:t xml:space="preserve">, with which the agreements in WGs </w:t>
      </w:r>
      <w:r w:rsidR="008C371D">
        <w:rPr>
          <w:rFonts w:cs="Times New Roman"/>
          <w:kern w:val="2"/>
          <w:lang w:val="en-GB"/>
        </w:rPr>
        <w:t>may need to be revisited</w:t>
      </w:r>
      <w:r w:rsidR="00593C7B">
        <w:rPr>
          <w:rFonts w:cs="Times New Roman"/>
          <w:kern w:val="2"/>
          <w:lang w:val="en-GB"/>
        </w:rPr>
        <w:t>.</w:t>
      </w:r>
    </w:p>
    <w:p w14:paraId="7B4021F3" w14:textId="77777777" w:rsidR="00C47075" w:rsidRPr="00C47075" w:rsidRDefault="00C47075" w:rsidP="00C47075">
      <w:pPr>
        <w:rPr>
          <w:rFonts w:eastAsiaTheme="minorEastAsia"/>
          <w:lang w:val="en-GB"/>
        </w:rPr>
      </w:pPr>
    </w:p>
    <w:tbl>
      <w:tblPr>
        <w:tblStyle w:val="TableGrid1"/>
        <w:tblW w:w="0" w:type="auto"/>
        <w:tblLook w:val="04A0" w:firstRow="1" w:lastRow="0" w:firstColumn="1" w:lastColumn="0" w:noHBand="0" w:noVBand="1"/>
      </w:tblPr>
      <w:tblGrid>
        <w:gridCol w:w="9016"/>
      </w:tblGrid>
      <w:tr w:rsidR="00C47075" w:rsidRPr="00C47075" w14:paraId="0293959F" w14:textId="77777777" w:rsidTr="00B52452">
        <w:trPr>
          <w:trHeight w:val="1637"/>
        </w:trPr>
        <w:tc>
          <w:tcPr>
            <w:tcW w:w="9016" w:type="dxa"/>
          </w:tcPr>
          <w:p w14:paraId="66635D70" w14:textId="77777777" w:rsidR="00C47075" w:rsidRPr="00C47075" w:rsidRDefault="00C47075" w:rsidP="00B52452">
            <w:pPr>
              <w:numPr>
                <w:ilvl w:val="1"/>
                <w:numId w:val="39"/>
              </w:numPr>
              <w:overflowPunct w:val="0"/>
              <w:autoSpaceDE w:val="0"/>
              <w:autoSpaceDN w:val="0"/>
              <w:adjustRightInd w:val="0"/>
              <w:snapToGrid w:val="0"/>
              <w:ind w:left="247" w:hanging="247"/>
              <w:jc w:val="left"/>
              <w:textAlignment w:val="baseline"/>
              <w:rPr>
                <w:rFonts w:eastAsia="Malgun Gothic" w:cs="Times New Roman"/>
                <w:sz w:val="20"/>
                <w:szCs w:val="20"/>
                <w:lang w:val="en-GB"/>
              </w:rPr>
            </w:pPr>
            <w:r w:rsidRPr="00C47075">
              <w:rPr>
                <w:rFonts w:eastAsia="Malgun Gothic" w:cs="Times New Roman"/>
                <w:sz w:val="20"/>
                <w:szCs w:val="20"/>
                <w:lang w:val="en-GB"/>
              </w:rPr>
              <w:t xml:space="preserve">Identify and specify features to facilitate more efficient (lower latency and overhead) DL/UL beam management </w:t>
            </w:r>
            <w:r w:rsidRPr="00C47075">
              <w:rPr>
                <w:rFonts w:cs="Times New Roman"/>
                <w:sz w:val="20"/>
                <w:szCs w:val="20"/>
                <w:lang w:val="en-GB"/>
              </w:rPr>
              <w:t xml:space="preserve">for intra-cell and inter-cell scenarios </w:t>
            </w:r>
            <w:r w:rsidRPr="00C47075">
              <w:rPr>
                <w:rFonts w:eastAsia="Malgun Gothic" w:cs="Times New Roman"/>
                <w:sz w:val="20"/>
                <w:szCs w:val="20"/>
                <w:lang w:val="en-GB"/>
              </w:rPr>
              <w:t>to support higher UE speed and/or a larger number of configured TCI states:</w:t>
            </w:r>
          </w:p>
          <w:p w14:paraId="0D047CC3" w14:textId="77777777" w:rsidR="00C47075" w:rsidRPr="00C47075" w:rsidRDefault="00C47075" w:rsidP="00B52452">
            <w:pPr>
              <w:numPr>
                <w:ilvl w:val="2"/>
                <w:numId w:val="39"/>
              </w:numPr>
              <w:overflowPunct w:val="0"/>
              <w:autoSpaceDE w:val="0"/>
              <w:autoSpaceDN w:val="0"/>
              <w:adjustRightInd w:val="0"/>
              <w:snapToGrid w:val="0"/>
              <w:ind w:left="517"/>
              <w:jc w:val="left"/>
              <w:textAlignment w:val="baseline"/>
              <w:rPr>
                <w:rFonts w:eastAsia="Malgun Gothic" w:cs="Times New Roman"/>
                <w:sz w:val="20"/>
                <w:szCs w:val="20"/>
                <w:lang w:val="en-GB"/>
              </w:rPr>
            </w:pPr>
            <w:r w:rsidRPr="00C47075">
              <w:rPr>
                <w:rFonts w:eastAsia="Malgun Gothic" w:cs="Times New Roman"/>
                <w:sz w:val="20"/>
                <w:szCs w:val="20"/>
                <w:lang w:val="en-GB"/>
              </w:rPr>
              <w:t>Common beam for data and control transmission/reception for DL and UL, especially for intra-band CA</w:t>
            </w:r>
          </w:p>
          <w:p w14:paraId="00330DF9" w14:textId="77777777" w:rsidR="00C47075" w:rsidRPr="00C47075" w:rsidRDefault="00C47075" w:rsidP="00B52452">
            <w:pPr>
              <w:numPr>
                <w:ilvl w:val="2"/>
                <w:numId w:val="39"/>
              </w:numPr>
              <w:overflowPunct w:val="0"/>
              <w:autoSpaceDE w:val="0"/>
              <w:autoSpaceDN w:val="0"/>
              <w:adjustRightInd w:val="0"/>
              <w:snapToGrid w:val="0"/>
              <w:ind w:left="517"/>
              <w:jc w:val="left"/>
              <w:textAlignment w:val="baseline"/>
              <w:rPr>
                <w:rFonts w:eastAsia="Malgun Gothic" w:cs="Times New Roman"/>
                <w:sz w:val="20"/>
                <w:szCs w:val="20"/>
                <w:lang w:val="en-GB"/>
              </w:rPr>
            </w:pPr>
            <w:r w:rsidRPr="00C47075">
              <w:rPr>
                <w:rFonts w:eastAsia="Malgun Gothic" w:cs="Times New Roman"/>
                <w:sz w:val="20"/>
                <w:szCs w:val="20"/>
                <w:lang w:val="en-GB"/>
              </w:rPr>
              <w:t>Unified TCI framework for DL and UL beam indication</w:t>
            </w:r>
          </w:p>
          <w:p w14:paraId="41ABC7B9" w14:textId="77777777" w:rsidR="00C47075" w:rsidRPr="00C47075" w:rsidRDefault="00C47075" w:rsidP="00B52452">
            <w:pPr>
              <w:numPr>
                <w:ilvl w:val="2"/>
                <w:numId w:val="39"/>
              </w:numPr>
              <w:overflowPunct w:val="0"/>
              <w:autoSpaceDE w:val="0"/>
              <w:autoSpaceDN w:val="0"/>
              <w:adjustRightInd w:val="0"/>
              <w:snapToGrid w:val="0"/>
              <w:ind w:left="517"/>
              <w:jc w:val="left"/>
              <w:textAlignment w:val="baseline"/>
              <w:rPr>
                <w:rFonts w:eastAsia="Malgun Gothic" w:cs="Times New Roman"/>
                <w:sz w:val="20"/>
                <w:szCs w:val="20"/>
                <w:lang w:val="en-GB"/>
              </w:rPr>
            </w:pPr>
            <w:r w:rsidRPr="00C47075">
              <w:rPr>
                <w:rFonts w:eastAsia="Malgun Gothic" w:cs="Times New Roman"/>
                <w:sz w:val="20"/>
                <w:szCs w:val="20"/>
                <w:lang w:val="en-GB"/>
              </w:rPr>
              <w:t>Enhancement on signaling mechanisms for the above features to improve latency and efficiency with more usage of dynamic control signaling (as opposed to RRC)</w:t>
            </w:r>
          </w:p>
          <w:p w14:paraId="7619DBDF" w14:textId="77777777" w:rsidR="00C47075" w:rsidRPr="00C47075" w:rsidRDefault="00C47075" w:rsidP="00B52452">
            <w:pPr>
              <w:numPr>
                <w:ilvl w:val="2"/>
                <w:numId w:val="39"/>
              </w:numPr>
              <w:overflowPunct w:val="0"/>
              <w:autoSpaceDE w:val="0"/>
              <w:autoSpaceDN w:val="0"/>
              <w:adjustRightInd w:val="0"/>
              <w:snapToGrid w:val="0"/>
              <w:ind w:left="517"/>
              <w:jc w:val="left"/>
              <w:textAlignment w:val="baseline"/>
              <w:rPr>
                <w:rFonts w:eastAsia="Malgun Gothic" w:cs="Times New Roman"/>
                <w:sz w:val="20"/>
                <w:szCs w:val="20"/>
                <w:lang w:val="en-GB"/>
              </w:rPr>
            </w:pPr>
            <w:r w:rsidRPr="001C6331">
              <w:rPr>
                <w:rFonts w:eastAsia="Malgun Gothic" w:cs="Times New Roman"/>
                <w:sz w:val="20"/>
                <w:szCs w:val="20"/>
                <w:lang w:val="en-GB"/>
              </w:rPr>
              <w:t xml:space="preserve">For inter-cell beam management, </w:t>
            </w:r>
            <w:r w:rsidRPr="004505D5">
              <w:rPr>
                <w:rFonts w:eastAsia="Malgun Gothic" w:cs="Times New Roman"/>
                <w:sz w:val="20"/>
                <w:szCs w:val="20"/>
                <w:highlight w:val="cyan"/>
                <w:lang w:val="en-GB"/>
              </w:rPr>
              <w:t>a UE can transmit to or receive from only a single cell (i.e. serving cell does not change when beam selection is done)</w:t>
            </w:r>
            <w:r w:rsidRPr="001C6331">
              <w:rPr>
                <w:rFonts w:eastAsia="Malgun Gothic" w:cs="Times New Roman"/>
                <w:sz w:val="20"/>
                <w:szCs w:val="20"/>
                <w:lang w:val="en-GB"/>
              </w:rPr>
              <w:t>. This includes L1-only measurement/reporting (i.e. no L3 impact) and beam indication associated with cell(s) with any Physical Cell ID(s</w:t>
            </w:r>
            <w:r w:rsidRPr="00C47075">
              <w:rPr>
                <w:rFonts w:eastAsia="Malgun Gothic" w:cs="Times New Roman"/>
                <w:sz w:val="20"/>
                <w:szCs w:val="20"/>
                <w:lang w:val="en-GB"/>
              </w:rPr>
              <w:t xml:space="preserve">) </w:t>
            </w:r>
          </w:p>
          <w:p w14:paraId="5914F62B" w14:textId="77777777" w:rsidR="00C47075" w:rsidRPr="00C47075" w:rsidRDefault="00C47075" w:rsidP="00B52452">
            <w:pPr>
              <w:numPr>
                <w:ilvl w:val="3"/>
                <w:numId w:val="40"/>
              </w:numPr>
              <w:overflowPunct w:val="0"/>
              <w:autoSpaceDE w:val="0"/>
              <w:autoSpaceDN w:val="0"/>
              <w:adjustRightInd w:val="0"/>
              <w:snapToGrid w:val="0"/>
              <w:ind w:left="787" w:hanging="270"/>
              <w:jc w:val="left"/>
              <w:textAlignment w:val="baseline"/>
              <w:rPr>
                <w:rFonts w:eastAsia="SimSun" w:cs="Times New Roman"/>
                <w:sz w:val="20"/>
                <w:szCs w:val="20"/>
                <w:lang w:val="en-GB" w:eastAsia="en-GB"/>
              </w:rPr>
            </w:pPr>
            <w:r w:rsidRPr="00C47075">
              <w:rPr>
                <w:rFonts w:eastAsia="SimSun" w:cs="Times New Roman"/>
                <w:sz w:val="20"/>
                <w:szCs w:val="20"/>
                <w:lang w:val="en-GB" w:eastAsia="en-US"/>
              </w:rPr>
              <w:t>The beam indication is based on Rel-17 unified TCI framework</w:t>
            </w:r>
          </w:p>
          <w:p w14:paraId="1434A8B7" w14:textId="77777777" w:rsidR="00C47075" w:rsidRPr="00C47075" w:rsidRDefault="00C47075" w:rsidP="00B52452">
            <w:pPr>
              <w:numPr>
                <w:ilvl w:val="3"/>
                <w:numId w:val="40"/>
              </w:numPr>
              <w:overflowPunct w:val="0"/>
              <w:autoSpaceDE w:val="0"/>
              <w:autoSpaceDN w:val="0"/>
              <w:adjustRightInd w:val="0"/>
              <w:snapToGrid w:val="0"/>
              <w:ind w:left="787" w:hanging="270"/>
              <w:jc w:val="left"/>
              <w:textAlignment w:val="baseline"/>
              <w:rPr>
                <w:rFonts w:eastAsia="SimSun" w:cs="Times New Roman"/>
                <w:sz w:val="20"/>
                <w:szCs w:val="20"/>
                <w:lang w:val="en-GB" w:eastAsia="en-GB"/>
              </w:rPr>
            </w:pPr>
            <w:r w:rsidRPr="00C47075">
              <w:rPr>
                <w:rFonts w:eastAsia="SimSun" w:cs="Times New Roman"/>
                <w:sz w:val="20"/>
                <w:szCs w:val="20"/>
                <w:lang w:val="en-GB" w:eastAsia="en-US"/>
              </w:rPr>
              <w:t>The same beam measurement/reporting mechanism will be reused for inter-cell mTRP</w:t>
            </w:r>
          </w:p>
          <w:p w14:paraId="433926D5" w14:textId="77777777" w:rsidR="00C47075" w:rsidRPr="00C47075" w:rsidRDefault="00C47075" w:rsidP="00B52452">
            <w:pPr>
              <w:numPr>
                <w:ilvl w:val="3"/>
                <w:numId w:val="40"/>
              </w:numPr>
              <w:overflowPunct w:val="0"/>
              <w:autoSpaceDE w:val="0"/>
              <w:autoSpaceDN w:val="0"/>
              <w:adjustRightInd w:val="0"/>
              <w:snapToGrid w:val="0"/>
              <w:ind w:left="787" w:hanging="270"/>
              <w:jc w:val="left"/>
              <w:textAlignment w:val="baseline"/>
              <w:rPr>
                <w:rFonts w:eastAsia="SimSun" w:cs="Times New Roman"/>
                <w:sz w:val="20"/>
                <w:szCs w:val="20"/>
                <w:lang w:val="en-GB" w:eastAsia="en-GB"/>
              </w:rPr>
            </w:pPr>
            <w:r w:rsidRPr="00C47075">
              <w:rPr>
                <w:rFonts w:eastAsia="SimSun" w:cs="Times New Roman"/>
                <w:sz w:val="20"/>
                <w:szCs w:val="20"/>
                <w:lang w:val="en-GB" w:eastAsia="en-GB"/>
              </w:rPr>
              <w:t>This work shall only consider intra-DU and intra-frequency cases</w:t>
            </w:r>
          </w:p>
        </w:tc>
      </w:tr>
    </w:tbl>
    <w:p w14:paraId="26C48F4E" w14:textId="77777777" w:rsidR="00F54AAA" w:rsidRDefault="00F54AAA" w:rsidP="00E03E1D">
      <w:pPr>
        <w:rPr>
          <w:rFonts w:cs="Times New Roman"/>
          <w:kern w:val="2"/>
          <w:lang w:val="en-GB"/>
        </w:rPr>
      </w:pPr>
    </w:p>
    <w:p w14:paraId="35C5D8BC" w14:textId="7260B482" w:rsidR="00CF100E" w:rsidRDefault="00203F3C" w:rsidP="00CF100E">
      <w:pPr>
        <w:pStyle w:val="Heading1"/>
        <w:rPr>
          <w:szCs w:val="20"/>
          <w:lang w:eastAsia="zh-CN"/>
        </w:rPr>
      </w:pPr>
      <w:r>
        <w:rPr>
          <w:szCs w:val="20"/>
          <w:lang w:eastAsia="zh-CN"/>
        </w:rPr>
        <w:t xml:space="preserve">Answer to </w:t>
      </w:r>
      <w:r w:rsidR="00234453">
        <w:rPr>
          <w:szCs w:val="20"/>
          <w:lang w:eastAsia="zh-CN"/>
        </w:rPr>
        <w:t>Questions</w:t>
      </w:r>
      <w:r w:rsidR="001C6331">
        <w:rPr>
          <w:szCs w:val="20"/>
          <w:lang w:eastAsia="zh-CN"/>
        </w:rPr>
        <w:t xml:space="preserve"> from RAN</w:t>
      </w:r>
      <w:r w:rsidR="009F5AF9">
        <w:rPr>
          <w:szCs w:val="20"/>
          <w:lang w:eastAsia="zh-CN"/>
        </w:rPr>
        <w:t>3</w:t>
      </w:r>
    </w:p>
    <w:p w14:paraId="02187659" w14:textId="6576E915" w:rsidR="00672CBF" w:rsidRDefault="00234453" w:rsidP="00672CBF">
      <w:pPr>
        <w:autoSpaceDE w:val="0"/>
        <w:autoSpaceDN w:val="0"/>
        <w:adjustRightInd w:val="0"/>
        <w:snapToGrid w:val="0"/>
        <w:spacing w:after="120"/>
        <w:rPr>
          <w:rFonts w:cs="Times New Roman"/>
          <w:szCs w:val="22"/>
        </w:rPr>
      </w:pPr>
      <w:r>
        <w:rPr>
          <w:rFonts w:cs="Times New Roman"/>
          <w:szCs w:val="22"/>
        </w:rPr>
        <w:t>In [</w:t>
      </w:r>
      <w:r w:rsidR="00680DA7">
        <w:rPr>
          <w:rFonts w:cs="Times New Roman"/>
          <w:szCs w:val="22"/>
        </w:rPr>
        <w:t>3</w:t>
      </w:r>
      <w:r>
        <w:rPr>
          <w:rFonts w:cs="Times New Roman"/>
          <w:szCs w:val="22"/>
        </w:rPr>
        <w:t>], RAN</w:t>
      </w:r>
      <w:r w:rsidR="001C6331">
        <w:rPr>
          <w:rFonts w:cs="Times New Roman"/>
          <w:szCs w:val="22"/>
        </w:rPr>
        <w:t>3</w:t>
      </w:r>
      <w:r>
        <w:rPr>
          <w:rFonts w:cs="Times New Roman"/>
          <w:szCs w:val="22"/>
        </w:rPr>
        <w:t xml:space="preserve"> asked </w:t>
      </w:r>
      <w:r w:rsidR="001C6331">
        <w:rPr>
          <w:rFonts w:cs="Times New Roman"/>
          <w:szCs w:val="22"/>
        </w:rPr>
        <w:t>the following</w:t>
      </w:r>
      <w:r>
        <w:rPr>
          <w:rFonts w:cs="Times New Roman"/>
          <w:szCs w:val="22"/>
        </w:rPr>
        <w:t xml:space="preserve"> question</w:t>
      </w:r>
      <w:r w:rsidR="001C6331">
        <w:rPr>
          <w:rFonts w:cs="Times New Roman"/>
          <w:szCs w:val="22"/>
        </w:rPr>
        <w:t>s</w:t>
      </w:r>
      <w:r>
        <w:rPr>
          <w:rFonts w:cs="Times New Roman"/>
          <w:szCs w:val="22"/>
        </w:rPr>
        <w:t xml:space="preserve">: </w:t>
      </w:r>
    </w:p>
    <w:tbl>
      <w:tblPr>
        <w:tblStyle w:val="TableGrid"/>
        <w:tblW w:w="0" w:type="auto"/>
        <w:tblLook w:val="04A0" w:firstRow="1" w:lastRow="0" w:firstColumn="1" w:lastColumn="0" w:noHBand="0" w:noVBand="1"/>
      </w:tblPr>
      <w:tblGrid>
        <w:gridCol w:w="9016"/>
      </w:tblGrid>
      <w:tr w:rsidR="001C6331" w14:paraId="652B6032" w14:textId="77777777" w:rsidTr="001C6331">
        <w:tc>
          <w:tcPr>
            <w:tcW w:w="9016" w:type="dxa"/>
          </w:tcPr>
          <w:p w14:paraId="38AAD5DC" w14:textId="77777777" w:rsidR="001C6331" w:rsidRPr="001C6331" w:rsidRDefault="001C6331" w:rsidP="00502E6D">
            <w:pPr>
              <w:autoSpaceDE w:val="0"/>
              <w:autoSpaceDN w:val="0"/>
              <w:adjustRightInd w:val="0"/>
              <w:snapToGrid w:val="0"/>
              <w:rPr>
                <w:rFonts w:cs="Times New Roman"/>
                <w:szCs w:val="22"/>
              </w:rPr>
            </w:pPr>
            <w:r w:rsidRPr="001C6331">
              <w:rPr>
                <w:rFonts w:cs="Times New Roman"/>
                <w:b/>
                <w:szCs w:val="22"/>
              </w:rPr>
              <w:t>Question 1:</w:t>
            </w:r>
            <w:r w:rsidRPr="001C6331">
              <w:rPr>
                <w:rFonts w:cs="Times New Roman"/>
                <w:szCs w:val="22"/>
              </w:rPr>
              <w:t xml:space="preserve"> What does “non-serving cell” mean? </w:t>
            </w:r>
          </w:p>
          <w:p w14:paraId="0CDB3623" w14:textId="77777777" w:rsidR="001C6331" w:rsidRPr="001C6331" w:rsidRDefault="001C6331" w:rsidP="00502E6D">
            <w:pPr>
              <w:autoSpaceDE w:val="0"/>
              <w:autoSpaceDN w:val="0"/>
              <w:adjustRightInd w:val="0"/>
              <w:snapToGrid w:val="0"/>
              <w:rPr>
                <w:rFonts w:cs="Times New Roman"/>
                <w:szCs w:val="22"/>
              </w:rPr>
            </w:pPr>
            <w:r w:rsidRPr="001C6331">
              <w:rPr>
                <w:rFonts w:cs="Times New Roman"/>
                <w:b/>
                <w:szCs w:val="22"/>
              </w:rPr>
              <w:t xml:space="preserve">Question 2: </w:t>
            </w:r>
            <w:r w:rsidRPr="001C6331">
              <w:rPr>
                <w:rFonts w:cs="Times New Roman"/>
                <w:szCs w:val="22"/>
              </w:rPr>
              <w:t>What is the procedure of L1/L2-centric mobility? e.g.,</w:t>
            </w:r>
          </w:p>
          <w:p w14:paraId="50B89A28" w14:textId="77777777" w:rsidR="001C6331" w:rsidRPr="001C6331" w:rsidRDefault="001C6331" w:rsidP="00502E6D">
            <w:pPr>
              <w:pStyle w:val="ListParagraph"/>
              <w:numPr>
                <w:ilvl w:val="0"/>
                <w:numId w:val="46"/>
              </w:numPr>
              <w:tabs>
                <w:tab w:val="num" w:pos="720"/>
              </w:tabs>
              <w:autoSpaceDE w:val="0"/>
              <w:autoSpaceDN w:val="0"/>
              <w:adjustRightInd w:val="0"/>
              <w:snapToGrid w:val="0"/>
              <w:ind w:firstLineChars="0"/>
              <w:rPr>
                <w:rFonts w:cs="Times New Roman"/>
                <w:szCs w:val="22"/>
              </w:rPr>
            </w:pPr>
            <w:r w:rsidRPr="001C6331">
              <w:rPr>
                <w:rFonts w:cs="Times New Roman"/>
                <w:szCs w:val="22"/>
              </w:rPr>
              <w:t>Configuration of a non-serving cell</w:t>
            </w:r>
          </w:p>
          <w:p w14:paraId="54FEC845" w14:textId="77777777" w:rsidR="001C6331" w:rsidRPr="001C6331" w:rsidRDefault="001C6331" w:rsidP="00502E6D">
            <w:pPr>
              <w:pStyle w:val="ListParagraph"/>
              <w:numPr>
                <w:ilvl w:val="0"/>
                <w:numId w:val="46"/>
              </w:numPr>
              <w:tabs>
                <w:tab w:val="num" w:pos="720"/>
              </w:tabs>
              <w:autoSpaceDE w:val="0"/>
              <w:autoSpaceDN w:val="0"/>
              <w:adjustRightInd w:val="0"/>
              <w:snapToGrid w:val="0"/>
              <w:ind w:firstLineChars="0"/>
              <w:rPr>
                <w:rFonts w:cs="Times New Roman"/>
                <w:szCs w:val="22"/>
              </w:rPr>
            </w:pPr>
            <w:r w:rsidRPr="001C6331">
              <w:rPr>
                <w:rFonts w:cs="Times New Roman"/>
                <w:szCs w:val="22"/>
              </w:rPr>
              <w:t>Deconfiguration of non-serving cell</w:t>
            </w:r>
          </w:p>
          <w:p w14:paraId="4D55F3CE" w14:textId="77777777" w:rsidR="001C6331" w:rsidRPr="001C6331" w:rsidRDefault="001C6331" w:rsidP="00502E6D">
            <w:pPr>
              <w:pStyle w:val="ListParagraph"/>
              <w:numPr>
                <w:ilvl w:val="0"/>
                <w:numId w:val="46"/>
              </w:numPr>
              <w:tabs>
                <w:tab w:val="num" w:pos="720"/>
              </w:tabs>
              <w:autoSpaceDE w:val="0"/>
              <w:autoSpaceDN w:val="0"/>
              <w:adjustRightInd w:val="0"/>
              <w:snapToGrid w:val="0"/>
              <w:ind w:firstLineChars="0"/>
              <w:rPr>
                <w:rFonts w:cs="Times New Roman"/>
                <w:szCs w:val="22"/>
              </w:rPr>
            </w:pPr>
            <w:r w:rsidRPr="001C6331">
              <w:rPr>
                <w:rFonts w:cs="Times New Roman"/>
                <w:szCs w:val="22"/>
              </w:rPr>
              <w:t>Change of serving cell</w:t>
            </w:r>
          </w:p>
          <w:p w14:paraId="70A0D57F" w14:textId="0083EB95" w:rsidR="001C6331" w:rsidRPr="001C6331" w:rsidRDefault="001C6331" w:rsidP="00502E6D">
            <w:pPr>
              <w:autoSpaceDE w:val="0"/>
              <w:autoSpaceDN w:val="0"/>
              <w:adjustRightInd w:val="0"/>
              <w:snapToGrid w:val="0"/>
              <w:rPr>
                <w:rFonts w:cs="Times New Roman"/>
                <w:szCs w:val="22"/>
              </w:rPr>
            </w:pPr>
            <w:r w:rsidRPr="001C6331">
              <w:rPr>
                <w:rFonts w:cs="Times New Roman"/>
                <w:b/>
                <w:szCs w:val="22"/>
              </w:rPr>
              <w:t>Question 3:</w:t>
            </w:r>
            <w:r w:rsidRPr="001C6331">
              <w:rPr>
                <w:rFonts w:cs="Times New Roman"/>
                <w:szCs w:val="22"/>
              </w:rPr>
              <w:t xml:space="preserve"> Whether both intra-frequency and inter-frequency scenarios are targeted for this new scheme?</w:t>
            </w:r>
          </w:p>
        </w:tc>
      </w:tr>
    </w:tbl>
    <w:p w14:paraId="22A61774" w14:textId="77777777" w:rsidR="00234453" w:rsidRDefault="00234453" w:rsidP="00210A06">
      <w:pPr>
        <w:rPr>
          <w:rFonts w:eastAsiaTheme="minorEastAsia"/>
          <w:b/>
        </w:rPr>
      </w:pPr>
    </w:p>
    <w:p w14:paraId="5FF15C1D" w14:textId="54294C2E" w:rsidR="001C6331" w:rsidRDefault="001C6331" w:rsidP="00210A06">
      <w:pPr>
        <w:rPr>
          <w:rFonts w:eastAsiaTheme="minorEastAsia"/>
        </w:rPr>
      </w:pPr>
      <w:r>
        <w:rPr>
          <w:rFonts w:eastAsiaTheme="minorEastAsia"/>
        </w:rPr>
        <w:t>Based on the discussion in RAN1, RAN, and updated WID, we propose the following answers to RAN3.</w:t>
      </w:r>
    </w:p>
    <w:p w14:paraId="4F5C7514" w14:textId="77777777" w:rsidR="001C6331" w:rsidRDefault="001C6331" w:rsidP="00210A06">
      <w:pPr>
        <w:rPr>
          <w:rFonts w:eastAsiaTheme="minorEastAsia"/>
        </w:rPr>
      </w:pPr>
    </w:p>
    <w:p w14:paraId="29044E1E" w14:textId="66EC0AF9" w:rsidR="001C6331" w:rsidRDefault="001C6331" w:rsidP="00210A06">
      <w:pPr>
        <w:rPr>
          <w:rFonts w:eastAsiaTheme="minorEastAsia"/>
        </w:rPr>
      </w:pPr>
      <w:r w:rsidRPr="001C6331">
        <w:rPr>
          <w:rFonts w:eastAsiaTheme="minorEastAsia"/>
          <w:b/>
        </w:rPr>
        <w:t>Answer 1:</w:t>
      </w:r>
      <w:r>
        <w:rPr>
          <w:rFonts w:eastAsiaTheme="minorEastAsia"/>
        </w:rPr>
        <w:t xml:space="preserve"> The term of “non-serving cell” was used to refer to a </w:t>
      </w:r>
      <w:r w:rsidR="0092224F">
        <w:rPr>
          <w:rFonts w:eastAsiaTheme="minorEastAsia"/>
        </w:rPr>
        <w:t xml:space="preserve">neighbor </w:t>
      </w:r>
      <w:r>
        <w:rPr>
          <w:rFonts w:eastAsiaTheme="minorEastAsia"/>
        </w:rPr>
        <w:t>cell that is not configured as serving cell to a UE</w:t>
      </w:r>
      <w:r w:rsidR="00502E6D">
        <w:rPr>
          <w:rFonts w:eastAsiaTheme="minorEastAsia"/>
        </w:rPr>
        <w:t xml:space="preserve">, but can be a candidate for L1/L2-centric inter-cell mobility </w:t>
      </w:r>
      <w:r w:rsidR="0092224F">
        <w:rPr>
          <w:rFonts w:eastAsiaTheme="minorEastAsia"/>
        </w:rPr>
        <w:t xml:space="preserve">(changed to inter-cell beam management in RAN#92 [6]) </w:t>
      </w:r>
      <w:r w:rsidR="00502E6D">
        <w:rPr>
          <w:rFonts w:eastAsiaTheme="minorEastAsia"/>
        </w:rPr>
        <w:t>and inter-cell multi-TRP operation</w:t>
      </w:r>
      <w:r>
        <w:rPr>
          <w:rFonts w:eastAsiaTheme="minorEastAsia"/>
        </w:rPr>
        <w:t xml:space="preserve">. As it created some confusion based on </w:t>
      </w:r>
      <w:r w:rsidR="006726B0">
        <w:rPr>
          <w:rFonts w:eastAsiaTheme="minorEastAsia"/>
        </w:rPr>
        <w:t xml:space="preserve">the </w:t>
      </w:r>
      <w:r>
        <w:rPr>
          <w:rFonts w:eastAsiaTheme="minorEastAsia"/>
        </w:rPr>
        <w:t xml:space="preserve">feedback </w:t>
      </w:r>
      <w:r w:rsidR="006726B0">
        <w:rPr>
          <w:rFonts w:eastAsiaTheme="minorEastAsia"/>
        </w:rPr>
        <w:t>received</w:t>
      </w:r>
      <w:r w:rsidR="000543D1">
        <w:rPr>
          <w:rFonts w:eastAsiaTheme="minorEastAsia"/>
        </w:rPr>
        <w:t xml:space="preserve"> [2]</w:t>
      </w:r>
      <w:r w:rsidR="006726B0">
        <w:rPr>
          <w:rFonts w:eastAsiaTheme="minorEastAsia"/>
        </w:rPr>
        <w:t>,</w:t>
      </w:r>
      <w:r>
        <w:rPr>
          <w:rFonts w:eastAsiaTheme="minorEastAsia"/>
        </w:rPr>
        <w:t xml:space="preserve"> such term will not be</w:t>
      </w:r>
      <w:r w:rsidR="004505D5">
        <w:rPr>
          <w:rFonts w:eastAsiaTheme="minorEastAsia"/>
        </w:rPr>
        <w:t xml:space="preserve"> used in future correspondence.</w:t>
      </w:r>
    </w:p>
    <w:p w14:paraId="70911D84" w14:textId="77777777" w:rsidR="004505D5" w:rsidRDefault="004505D5" w:rsidP="00210A06">
      <w:pPr>
        <w:rPr>
          <w:rFonts w:eastAsiaTheme="minorEastAsia"/>
        </w:rPr>
      </w:pPr>
    </w:p>
    <w:p w14:paraId="662BF757" w14:textId="6046A136" w:rsidR="001C6331" w:rsidRDefault="001C6331" w:rsidP="00210A06">
      <w:pPr>
        <w:rPr>
          <w:rFonts w:eastAsiaTheme="minorEastAsia"/>
        </w:rPr>
      </w:pPr>
      <w:r w:rsidRPr="001C6331">
        <w:rPr>
          <w:rFonts w:eastAsiaTheme="minorEastAsia"/>
          <w:b/>
        </w:rPr>
        <w:lastRenderedPageBreak/>
        <w:t>Answer 2:</w:t>
      </w:r>
      <w:r>
        <w:rPr>
          <w:rFonts w:eastAsiaTheme="minorEastAsia"/>
          <w:b/>
        </w:rPr>
        <w:t xml:space="preserve"> </w:t>
      </w:r>
      <w:r w:rsidR="004505D5">
        <w:rPr>
          <w:rFonts w:eastAsiaTheme="minorEastAsia"/>
        </w:rPr>
        <w:t>According to the updated WID, for</w:t>
      </w:r>
      <w:r w:rsidR="004505D5" w:rsidRPr="004505D5">
        <w:rPr>
          <w:rFonts w:eastAsiaTheme="minorEastAsia"/>
        </w:rPr>
        <w:t xml:space="preserve"> inter-cell beam management</w:t>
      </w:r>
      <w:r w:rsidR="0092224F">
        <w:rPr>
          <w:rFonts w:eastAsiaTheme="minorEastAsia"/>
        </w:rPr>
        <w:t xml:space="preserve"> [6]</w:t>
      </w:r>
      <w:r w:rsidR="004505D5" w:rsidRPr="004505D5">
        <w:rPr>
          <w:rFonts w:eastAsiaTheme="minorEastAsia"/>
        </w:rPr>
        <w:t>, a UE can transmit to or receive from only a single cell (i.e. serving cell does not change).</w:t>
      </w:r>
      <w:r w:rsidR="004505D5">
        <w:rPr>
          <w:rFonts w:eastAsiaTheme="minorEastAsia"/>
        </w:rPr>
        <w:t xml:space="preserve"> In this sense,</w:t>
      </w:r>
      <w:r w:rsidR="00502E6D">
        <w:rPr>
          <w:rFonts w:eastAsiaTheme="minorEastAsia"/>
        </w:rPr>
        <w:t xml:space="preserve"> for data/control reception/transmission, the UE sees the serving cell only, with which</w:t>
      </w:r>
      <w:r w:rsidR="004505D5">
        <w:rPr>
          <w:rFonts w:eastAsiaTheme="minorEastAsia"/>
        </w:rPr>
        <w:t xml:space="preserve"> there is no need to discuss configuration/</w:t>
      </w:r>
      <w:bookmarkStart w:id="0" w:name="_GoBack"/>
      <w:r w:rsidR="004505D5">
        <w:rPr>
          <w:rFonts w:eastAsiaTheme="minorEastAsia"/>
        </w:rPr>
        <w:t>deconfiguration</w:t>
      </w:r>
      <w:bookmarkEnd w:id="0"/>
      <w:r w:rsidR="004505D5">
        <w:rPr>
          <w:rFonts w:eastAsiaTheme="minorEastAsia"/>
        </w:rPr>
        <w:t xml:space="preserve"> of non-serving</w:t>
      </w:r>
      <w:r w:rsidR="005D7172">
        <w:rPr>
          <w:rFonts w:eastAsiaTheme="minorEastAsia"/>
        </w:rPr>
        <w:t>/neighbor</w:t>
      </w:r>
      <w:r w:rsidR="004505D5">
        <w:rPr>
          <w:rFonts w:eastAsiaTheme="minorEastAsia"/>
        </w:rPr>
        <w:t xml:space="preserve"> cell or change of serving cell in R17.</w:t>
      </w:r>
      <w:r w:rsidR="00502E6D">
        <w:rPr>
          <w:rFonts w:eastAsiaTheme="minorEastAsia"/>
        </w:rPr>
        <w:t xml:space="preserve"> The UE may still</w:t>
      </w:r>
      <w:r w:rsidR="00FD41F5">
        <w:rPr>
          <w:rFonts w:eastAsiaTheme="minorEastAsia"/>
        </w:rPr>
        <w:t xml:space="preserve"> need to perform L1 measurement/report based on RS </w:t>
      </w:r>
      <w:r w:rsidR="000543D1">
        <w:rPr>
          <w:rFonts w:eastAsiaTheme="minorEastAsia"/>
        </w:rPr>
        <w:t>from cells with PCI different from the serving cell</w:t>
      </w:r>
      <w:r w:rsidR="00FD41F5">
        <w:rPr>
          <w:rFonts w:eastAsiaTheme="minorEastAsia"/>
        </w:rPr>
        <w:t>, and the procedure for configuration/triggering</w:t>
      </w:r>
      <w:r w:rsidR="000543D1">
        <w:rPr>
          <w:rFonts w:eastAsiaTheme="minorEastAsia"/>
        </w:rPr>
        <w:t>/release of</w:t>
      </w:r>
      <w:r w:rsidR="00FD41F5">
        <w:rPr>
          <w:rFonts w:eastAsiaTheme="minorEastAsia"/>
        </w:rPr>
        <w:t xml:space="preserve"> such measurement/report are still being discussed in RAN1</w:t>
      </w:r>
      <w:r w:rsidR="000543D1">
        <w:rPr>
          <w:rFonts w:eastAsiaTheme="minorEastAsia"/>
        </w:rPr>
        <w:t xml:space="preserve"> and RAN2</w:t>
      </w:r>
      <w:r w:rsidR="00FD41F5">
        <w:rPr>
          <w:rFonts w:eastAsiaTheme="minorEastAsia"/>
        </w:rPr>
        <w:t xml:space="preserve">. </w:t>
      </w:r>
    </w:p>
    <w:p w14:paraId="569C0F81" w14:textId="77777777" w:rsidR="004505D5" w:rsidRPr="001C6331" w:rsidRDefault="004505D5" w:rsidP="00210A06">
      <w:pPr>
        <w:rPr>
          <w:rFonts w:eastAsiaTheme="minorEastAsia"/>
          <w:b/>
        </w:rPr>
      </w:pPr>
    </w:p>
    <w:p w14:paraId="1D6A00BD" w14:textId="344C6E1E" w:rsidR="001C6331" w:rsidRPr="001C6331" w:rsidRDefault="001C6331" w:rsidP="00210A06">
      <w:pPr>
        <w:rPr>
          <w:rFonts w:eastAsiaTheme="minorEastAsia"/>
        </w:rPr>
      </w:pPr>
      <w:r w:rsidRPr="001C6331">
        <w:rPr>
          <w:rFonts w:eastAsiaTheme="minorEastAsia"/>
          <w:b/>
        </w:rPr>
        <w:t>Answer 3:</w:t>
      </w:r>
      <w:r>
        <w:rPr>
          <w:rFonts w:eastAsiaTheme="minorEastAsia"/>
        </w:rPr>
        <w:t xml:space="preserve"> According to the updated WID, only </w:t>
      </w:r>
      <w:r w:rsidRPr="001C6331">
        <w:rPr>
          <w:rFonts w:cs="Times New Roman"/>
          <w:szCs w:val="22"/>
        </w:rPr>
        <w:t>intra-frequency</w:t>
      </w:r>
      <w:r>
        <w:rPr>
          <w:rFonts w:cs="Times New Roman"/>
          <w:szCs w:val="22"/>
        </w:rPr>
        <w:t xml:space="preserve"> scenario is considered in R17. </w:t>
      </w:r>
    </w:p>
    <w:p w14:paraId="4967B796" w14:textId="77777777" w:rsidR="001C6331" w:rsidRDefault="001C6331" w:rsidP="00210A06">
      <w:pPr>
        <w:rPr>
          <w:rFonts w:eastAsiaTheme="minorEastAsia"/>
          <w:lang w:val="en-GB"/>
        </w:rPr>
      </w:pPr>
    </w:p>
    <w:p w14:paraId="721F069F" w14:textId="69D1E48C" w:rsidR="00A57F37" w:rsidRDefault="00A57F37" w:rsidP="00A57F37">
      <w:pPr>
        <w:pStyle w:val="Heading1"/>
        <w:rPr>
          <w:rFonts w:eastAsiaTheme="minorEastAsia"/>
          <w:lang w:val="en-GB" w:eastAsia="zh-CN"/>
        </w:rPr>
      </w:pPr>
      <w:r>
        <w:rPr>
          <w:rFonts w:eastAsiaTheme="minorEastAsia"/>
          <w:lang w:val="en-GB" w:eastAsia="zh-CN"/>
        </w:rPr>
        <w:t>Summary and conclusion</w:t>
      </w:r>
    </w:p>
    <w:p w14:paraId="3439B73C" w14:textId="765654A5" w:rsidR="00A57F37" w:rsidRDefault="00A57F37" w:rsidP="008C6457">
      <w:pPr>
        <w:spacing w:beforeLines="50" w:before="156"/>
        <w:rPr>
          <w:rFonts w:eastAsiaTheme="minorEastAsia"/>
          <w:lang w:val="en-GB"/>
        </w:rPr>
      </w:pPr>
      <w:r>
        <w:rPr>
          <w:rFonts w:eastAsiaTheme="minorEastAsia" w:hint="eastAsia"/>
          <w:lang w:val="en-GB"/>
        </w:rPr>
        <w:t>I</w:t>
      </w:r>
      <w:r>
        <w:rPr>
          <w:rFonts w:eastAsiaTheme="minorEastAsia"/>
          <w:lang w:val="en-GB"/>
        </w:rPr>
        <w:t xml:space="preserve">n this contribution, we </w:t>
      </w:r>
      <w:r w:rsidRPr="008C6457">
        <w:rPr>
          <w:lang w:val="en-GB"/>
        </w:rPr>
        <w:t>propose</w:t>
      </w:r>
      <w:r w:rsidR="0078380A">
        <w:rPr>
          <w:rFonts w:eastAsiaTheme="minorEastAsia"/>
          <w:lang w:val="en-GB"/>
        </w:rPr>
        <w:t xml:space="preserve"> to send a follow-up LS to RAN3, with the following answers to their questions</w:t>
      </w:r>
      <w:r w:rsidR="002E3AA3">
        <w:rPr>
          <w:rFonts w:eastAsiaTheme="minorEastAsia"/>
          <w:lang w:val="en-GB"/>
        </w:rPr>
        <w:t xml:space="preserve">. </w:t>
      </w:r>
    </w:p>
    <w:p w14:paraId="520C8C57" w14:textId="13FEDFB7" w:rsidR="0078380A" w:rsidRDefault="0078380A" w:rsidP="0078380A">
      <w:pPr>
        <w:autoSpaceDE w:val="0"/>
        <w:autoSpaceDN w:val="0"/>
        <w:adjustRightInd w:val="0"/>
        <w:snapToGrid w:val="0"/>
        <w:spacing w:after="120"/>
        <w:rPr>
          <w:rFonts w:cs="Times New Roman"/>
          <w:szCs w:val="22"/>
        </w:rPr>
      </w:pPr>
    </w:p>
    <w:p w14:paraId="5DA356A8" w14:textId="0AFE90B7" w:rsidR="0078380A" w:rsidRPr="0078380A" w:rsidRDefault="0078380A" w:rsidP="0078380A">
      <w:pPr>
        <w:autoSpaceDE w:val="0"/>
        <w:autoSpaceDN w:val="0"/>
        <w:adjustRightInd w:val="0"/>
        <w:snapToGrid w:val="0"/>
        <w:spacing w:after="120"/>
        <w:rPr>
          <w:rFonts w:cs="Times New Roman"/>
          <w:b/>
          <w:szCs w:val="22"/>
        </w:rPr>
      </w:pPr>
      <w:r w:rsidRPr="0078380A">
        <w:rPr>
          <w:rFonts w:cs="Times New Roman"/>
          <w:b/>
          <w:szCs w:val="22"/>
        </w:rPr>
        <w:t>Proposal 1: Send a follow-up LS to RAN3, with the following answers to their questions:</w:t>
      </w:r>
    </w:p>
    <w:tbl>
      <w:tblPr>
        <w:tblStyle w:val="TableGrid2"/>
        <w:tblW w:w="0" w:type="auto"/>
        <w:tblLook w:val="04A0" w:firstRow="1" w:lastRow="0" w:firstColumn="1" w:lastColumn="0" w:noHBand="0" w:noVBand="1"/>
      </w:tblPr>
      <w:tblGrid>
        <w:gridCol w:w="9016"/>
      </w:tblGrid>
      <w:tr w:rsidR="0078380A" w:rsidRPr="0078380A" w14:paraId="4E2B6356" w14:textId="77777777" w:rsidTr="001476B5">
        <w:tc>
          <w:tcPr>
            <w:tcW w:w="9016" w:type="dxa"/>
          </w:tcPr>
          <w:p w14:paraId="4670BCA2" w14:textId="77777777" w:rsidR="0078380A" w:rsidRDefault="0078380A" w:rsidP="0078380A">
            <w:pPr>
              <w:autoSpaceDE w:val="0"/>
              <w:autoSpaceDN w:val="0"/>
              <w:adjustRightInd w:val="0"/>
              <w:snapToGrid w:val="0"/>
              <w:rPr>
                <w:rFonts w:cs="Times New Roman"/>
                <w:szCs w:val="22"/>
              </w:rPr>
            </w:pPr>
            <w:r w:rsidRPr="0078380A">
              <w:rPr>
                <w:rFonts w:cs="Times New Roman"/>
                <w:b/>
                <w:szCs w:val="22"/>
              </w:rPr>
              <w:t>Question 1:</w:t>
            </w:r>
            <w:r w:rsidRPr="0078380A">
              <w:rPr>
                <w:rFonts w:cs="Times New Roman"/>
                <w:szCs w:val="22"/>
              </w:rPr>
              <w:t xml:space="preserve"> What does “non-serving cell” mean? </w:t>
            </w:r>
          </w:p>
          <w:p w14:paraId="6907EDB7" w14:textId="77777777" w:rsidR="005D7172" w:rsidRDefault="005D7172" w:rsidP="005D7172">
            <w:pPr>
              <w:rPr>
                <w:rFonts w:eastAsiaTheme="minorEastAsia"/>
              </w:rPr>
            </w:pPr>
            <w:r w:rsidRPr="001C6331">
              <w:rPr>
                <w:rFonts w:eastAsiaTheme="minorEastAsia"/>
                <w:b/>
              </w:rPr>
              <w:t>Answer 1:</w:t>
            </w:r>
            <w:r>
              <w:rPr>
                <w:rFonts w:eastAsiaTheme="minorEastAsia"/>
              </w:rPr>
              <w:t xml:space="preserve"> The term of “non-serving cell” was used to refer to a neighbor cell that is not configured as serving cell to a UE, but can be a candidate for L1/L2-centric inter-cell mobility (changed to inter-cell beam management in RAN#92 [6]) and inter-cell multi-TRP operation. As it created some confusion based on the feedback received [2], such term will not be used in future correspondence.</w:t>
            </w:r>
          </w:p>
          <w:p w14:paraId="33D92C40" w14:textId="77777777" w:rsidR="0078380A" w:rsidRPr="0078380A" w:rsidRDefault="0078380A" w:rsidP="0078380A">
            <w:pPr>
              <w:autoSpaceDE w:val="0"/>
              <w:autoSpaceDN w:val="0"/>
              <w:adjustRightInd w:val="0"/>
              <w:snapToGrid w:val="0"/>
              <w:rPr>
                <w:rFonts w:cs="Times New Roman"/>
                <w:szCs w:val="22"/>
              </w:rPr>
            </w:pPr>
          </w:p>
          <w:p w14:paraId="6E017EE5" w14:textId="77777777" w:rsidR="0078380A" w:rsidRPr="0078380A" w:rsidRDefault="0078380A" w:rsidP="0078380A">
            <w:pPr>
              <w:autoSpaceDE w:val="0"/>
              <w:autoSpaceDN w:val="0"/>
              <w:adjustRightInd w:val="0"/>
              <w:snapToGrid w:val="0"/>
              <w:rPr>
                <w:rFonts w:cs="Times New Roman"/>
                <w:szCs w:val="22"/>
              </w:rPr>
            </w:pPr>
            <w:r w:rsidRPr="0078380A">
              <w:rPr>
                <w:rFonts w:cs="Times New Roman"/>
                <w:b/>
                <w:szCs w:val="22"/>
              </w:rPr>
              <w:t xml:space="preserve">Question 2: </w:t>
            </w:r>
            <w:r w:rsidRPr="0078380A">
              <w:rPr>
                <w:rFonts w:cs="Times New Roman"/>
                <w:szCs w:val="22"/>
              </w:rPr>
              <w:t>What is the procedure of L1/L2-centric mobility? e.g.,</w:t>
            </w:r>
          </w:p>
          <w:p w14:paraId="4A6E148C" w14:textId="77777777" w:rsidR="0078380A" w:rsidRPr="0078380A" w:rsidRDefault="0078380A" w:rsidP="0078380A">
            <w:pPr>
              <w:numPr>
                <w:ilvl w:val="0"/>
                <w:numId w:val="46"/>
              </w:numPr>
              <w:tabs>
                <w:tab w:val="num" w:pos="720"/>
              </w:tabs>
              <w:autoSpaceDE w:val="0"/>
              <w:autoSpaceDN w:val="0"/>
              <w:adjustRightInd w:val="0"/>
              <w:snapToGrid w:val="0"/>
              <w:rPr>
                <w:rFonts w:cs="Times New Roman"/>
                <w:szCs w:val="22"/>
              </w:rPr>
            </w:pPr>
            <w:r w:rsidRPr="0078380A">
              <w:rPr>
                <w:rFonts w:cs="Times New Roman"/>
                <w:szCs w:val="22"/>
              </w:rPr>
              <w:t>Configuration of a non-serving cell</w:t>
            </w:r>
          </w:p>
          <w:p w14:paraId="7C171459" w14:textId="77777777" w:rsidR="0078380A" w:rsidRPr="0078380A" w:rsidRDefault="0078380A" w:rsidP="0078380A">
            <w:pPr>
              <w:numPr>
                <w:ilvl w:val="0"/>
                <w:numId w:val="46"/>
              </w:numPr>
              <w:tabs>
                <w:tab w:val="num" w:pos="720"/>
              </w:tabs>
              <w:autoSpaceDE w:val="0"/>
              <w:autoSpaceDN w:val="0"/>
              <w:adjustRightInd w:val="0"/>
              <w:snapToGrid w:val="0"/>
              <w:rPr>
                <w:rFonts w:cs="Times New Roman"/>
                <w:szCs w:val="22"/>
              </w:rPr>
            </w:pPr>
            <w:r w:rsidRPr="0078380A">
              <w:rPr>
                <w:rFonts w:cs="Times New Roman"/>
                <w:szCs w:val="22"/>
              </w:rPr>
              <w:t>Deconfiguration of non-serving cell</w:t>
            </w:r>
          </w:p>
          <w:p w14:paraId="1C74A434" w14:textId="5C1BA638" w:rsidR="0078380A" w:rsidRDefault="0078380A" w:rsidP="0078380A">
            <w:pPr>
              <w:numPr>
                <w:ilvl w:val="0"/>
                <w:numId w:val="46"/>
              </w:numPr>
              <w:tabs>
                <w:tab w:val="num" w:pos="720"/>
              </w:tabs>
              <w:autoSpaceDE w:val="0"/>
              <w:autoSpaceDN w:val="0"/>
              <w:adjustRightInd w:val="0"/>
              <w:snapToGrid w:val="0"/>
              <w:rPr>
                <w:rFonts w:cs="Times New Roman"/>
                <w:szCs w:val="22"/>
              </w:rPr>
            </w:pPr>
            <w:r w:rsidRPr="0078380A">
              <w:rPr>
                <w:rFonts w:cs="Times New Roman"/>
                <w:szCs w:val="22"/>
              </w:rPr>
              <w:t>Change of serving cell</w:t>
            </w:r>
          </w:p>
          <w:p w14:paraId="1CC2BFBE" w14:textId="77777777" w:rsidR="005D7172" w:rsidRDefault="005D7172" w:rsidP="005D7172">
            <w:pPr>
              <w:rPr>
                <w:rFonts w:eastAsiaTheme="minorEastAsia"/>
              </w:rPr>
            </w:pPr>
            <w:r w:rsidRPr="001C6331">
              <w:rPr>
                <w:rFonts w:eastAsiaTheme="minorEastAsia"/>
                <w:b/>
              </w:rPr>
              <w:t>Answer 2:</w:t>
            </w:r>
            <w:r>
              <w:rPr>
                <w:rFonts w:eastAsiaTheme="minorEastAsia"/>
                <w:b/>
              </w:rPr>
              <w:t xml:space="preserve"> </w:t>
            </w:r>
            <w:r>
              <w:rPr>
                <w:rFonts w:eastAsiaTheme="minorEastAsia"/>
              </w:rPr>
              <w:t>According to the updated WID, for</w:t>
            </w:r>
            <w:r w:rsidRPr="004505D5">
              <w:rPr>
                <w:rFonts w:eastAsiaTheme="minorEastAsia"/>
              </w:rPr>
              <w:t xml:space="preserve"> inter-cell beam management</w:t>
            </w:r>
            <w:r>
              <w:rPr>
                <w:rFonts w:eastAsiaTheme="minorEastAsia"/>
              </w:rPr>
              <w:t xml:space="preserve"> [6]</w:t>
            </w:r>
            <w:r w:rsidRPr="004505D5">
              <w:rPr>
                <w:rFonts w:eastAsiaTheme="minorEastAsia"/>
              </w:rPr>
              <w:t>, a UE can transmit to or receive from only a single cell (i.e. serving cell does not change).</w:t>
            </w:r>
            <w:r>
              <w:rPr>
                <w:rFonts w:eastAsiaTheme="minorEastAsia"/>
              </w:rPr>
              <w:t xml:space="preserve"> In this sense, for data/control reception/transmission, the UE sees the serving cell only, with which there is no need to discuss configuration/deconfiguration of non-serving/neighbor cell or change of serving cell in R17. The UE may still need to perform L1 measurement/report based on RS from cells with PCI different from the serving cell, and the procedure for configuration/triggering/release of such measurement/report are still being discussed in RAN1 and RAN2. </w:t>
            </w:r>
          </w:p>
          <w:p w14:paraId="14397BAF" w14:textId="77777777" w:rsidR="0078380A" w:rsidRPr="0078380A" w:rsidRDefault="0078380A" w:rsidP="0078380A">
            <w:pPr>
              <w:pStyle w:val="NormalWeb"/>
              <w:spacing w:before="0" w:beforeAutospacing="0" w:after="0" w:afterAutospacing="0"/>
            </w:pPr>
          </w:p>
          <w:p w14:paraId="6803E1CE" w14:textId="77777777" w:rsidR="0078380A" w:rsidRDefault="0078380A" w:rsidP="0078380A">
            <w:pPr>
              <w:autoSpaceDE w:val="0"/>
              <w:autoSpaceDN w:val="0"/>
              <w:adjustRightInd w:val="0"/>
              <w:snapToGrid w:val="0"/>
              <w:rPr>
                <w:rFonts w:cs="Times New Roman"/>
                <w:szCs w:val="22"/>
              </w:rPr>
            </w:pPr>
            <w:r w:rsidRPr="0078380A">
              <w:rPr>
                <w:rFonts w:cs="Times New Roman"/>
                <w:b/>
                <w:szCs w:val="22"/>
              </w:rPr>
              <w:t>Question 3:</w:t>
            </w:r>
            <w:r w:rsidRPr="0078380A">
              <w:rPr>
                <w:rFonts w:cs="Times New Roman"/>
                <w:szCs w:val="22"/>
              </w:rPr>
              <w:t xml:space="preserve"> Whether both intra-frequency and inter-frequency scenarios are targeted for this new scheme?</w:t>
            </w:r>
          </w:p>
          <w:p w14:paraId="41CC1AC2" w14:textId="386679C0" w:rsidR="0078380A" w:rsidRPr="0078380A" w:rsidRDefault="0078380A" w:rsidP="0078380A">
            <w:pPr>
              <w:rPr>
                <w:rFonts w:eastAsiaTheme="minorEastAsia"/>
              </w:rPr>
            </w:pPr>
            <w:r w:rsidRPr="001C6331">
              <w:rPr>
                <w:rFonts w:eastAsiaTheme="minorEastAsia"/>
                <w:b/>
              </w:rPr>
              <w:t>Answer 3:</w:t>
            </w:r>
            <w:r>
              <w:rPr>
                <w:rFonts w:eastAsiaTheme="minorEastAsia"/>
              </w:rPr>
              <w:t xml:space="preserve"> According to the updated WID, only </w:t>
            </w:r>
            <w:r w:rsidRPr="001C6331">
              <w:rPr>
                <w:rFonts w:cs="Times New Roman"/>
                <w:szCs w:val="22"/>
              </w:rPr>
              <w:t>intra-frequency</w:t>
            </w:r>
            <w:r>
              <w:rPr>
                <w:rFonts w:cs="Times New Roman"/>
                <w:szCs w:val="22"/>
              </w:rPr>
              <w:t xml:space="preserve"> scenario is considered in R17. </w:t>
            </w:r>
          </w:p>
        </w:tc>
      </w:tr>
    </w:tbl>
    <w:p w14:paraId="68FA2FD5" w14:textId="77777777" w:rsidR="0078380A" w:rsidRPr="0078380A" w:rsidRDefault="0078380A" w:rsidP="00A57F37">
      <w:pPr>
        <w:rPr>
          <w:rFonts w:eastAsiaTheme="minorEastAsia"/>
        </w:rPr>
      </w:pPr>
    </w:p>
    <w:p w14:paraId="568F6734" w14:textId="52462835" w:rsidR="00A57F37" w:rsidRDefault="00A57F37" w:rsidP="00A57F37">
      <w:pPr>
        <w:pStyle w:val="Heading1"/>
        <w:numPr>
          <w:ilvl w:val="0"/>
          <w:numId w:val="0"/>
        </w:numPr>
        <w:ind w:left="432" w:hanging="432"/>
        <w:rPr>
          <w:rFonts w:eastAsiaTheme="minorEastAsia"/>
          <w:lang w:val="en-GB" w:eastAsia="zh-CN"/>
        </w:rPr>
      </w:pPr>
      <w:r>
        <w:rPr>
          <w:rFonts w:eastAsiaTheme="minorEastAsia" w:hint="eastAsia"/>
          <w:lang w:val="en-GB" w:eastAsia="zh-CN"/>
        </w:rPr>
        <w:t>R</w:t>
      </w:r>
      <w:r>
        <w:rPr>
          <w:rFonts w:eastAsiaTheme="minorEastAsia"/>
          <w:lang w:val="en-GB" w:eastAsia="zh-CN"/>
        </w:rPr>
        <w:t>eferences</w:t>
      </w:r>
    </w:p>
    <w:p w14:paraId="22171A0B" w14:textId="5F2CF491" w:rsidR="0045351B" w:rsidRPr="00210A06" w:rsidRDefault="0045351B" w:rsidP="00A57F37">
      <w:pPr>
        <w:rPr>
          <w:rFonts w:eastAsiaTheme="minorEastAsia"/>
          <w:lang w:val="en-GB"/>
        </w:rPr>
      </w:pPr>
      <w:r>
        <w:rPr>
          <w:rFonts w:eastAsiaTheme="minorEastAsia" w:hint="eastAsia"/>
          <w:lang w:val="en-GB"/>
        </w:rPr>
        <w:t>[</w:t>
      </w:r>
      <w:r w:rsidR="00C53384">
        <w:rPr>
          <w:rFonts w:eastAsiaTheme="minorEastAsia"/>
          <w:lang w:val="en-GB"/>
        </w:rPr>
        <w:t xml:space="preserve">1] </w:t>
      </w:r>
      <w:r w:rsidR="00210A06" w:rsidRPr="00210A06">
        <w:rPr>
          <w:rFonts w:eastAsiaTheme="minorEastAsia"/>
          <w:lang w:val="en-GB"/>
        </w:rPr>
        <w:t>R1-2102248</w:t>
      </w:r>
      <w:r w:rsidR="00ED023C" w:rsidRPr="00210A06">
        <w:rPr>
          <w:rFonts w:eastAsiaTheme="minorEastAsia"/>
          <w:lang w:val="en-GB"/>
        </w:rPr>
        <w:t xml:space="preserve">, </w:t>
      </w:r>
      <w:r w:rsidR="00210A06" w:rsidRPr="00210A06">
        <w:rPr>
          <w:rFonts w:eastAsiaTheme="minorEastAsia"/>
          <w:lang w:val="en-GB"/>
        </w:rPr>
        <w:t>LS on TCI State Update for L1/L2-Centric Inter-Cell Mobility</w:t>
      </w:r>
    </w:p>
    <w:p w14:paraId="3C16F886" w14:textId="1FC63930" w:rsidR="00210A06" w:rsidRPr="00210A06" w:rsidRDefault="00210A06" w:rsidP="00A57F37">
      <w:pPr>
        <w:rPr>
          <w:rFonts w:eastAsiaTheme="minorEastAsia"/>
          <w:lang w:val="en-GB"/>
        </w:rPr>
      </w:pPr>
      <w:r w:rsidRPr="00210A06">
        <w:rPr>
          <w:rFonts w:eastAsiaTheme="minorEastAsia"/>
          <w:lang w:val="en-GB"/>
        </w:rPr>
        <w:t>[2] R2-2106787, LS Reply on TCI State Update for L1/L2-Centric Inter-Cell Mobility</w:t>
      </w:r>
    </w:p>
    <w:p w14:paraId="13E5A1C6" w14:textId="797BA29A" w:rsidR="00210A06" w:rsidRPr="00210A06" w:rsidRDefault="00210A06" w:rsidP="00A57F37">
      <w:pPr>
        <w:rPr>
          <w:rFonts w:eastAsiaTheme="minorEastAsia"/>
          <w:lang w:val="en-GB"/>
        </w:rPr>
      </w:pPr>
      <w:r w:rsidRPr="00210A06">
        <w:rPr>
          <w:rFonts w:eastAsiaTheme="minorEastAsia"/>
          <w:lang w:val="en-GB"/>
        </w:rPr>
        <w:t>[3] R3-212879, Reply LS to RAN1 LS on TCI State Update for L1/L2-Centric Inter-Cell Mobility</w:t>
      </w:r>
    </w:p>
    <w:p w14:paraId="436236E6" w14:textId="5D83FA6B" w:rsidR="00210A06" w:rsidRDefault="00210A06" w:rsidP="00A57F37">
      <w:pPr>
        <w:rPr>
          <w:rFonts w:eastAsiaTheme="minorEastAsia"/>
          <w:lang w:val="en-GB"/>
        </w:rPr>
      </w:pPr>
      <w:r w:rsidRPr="00210A06">
        <w:rPr>
          <w:rFonts w:eastAsiaTheme="minorEastAsia"/>
          <w:lang w:val="en-GB"/>
        </w:rPr>
        <w:t>[4] R4-2108356, Reply to RAN1 LS on L1/L2-Centric Inter-Cell Mobility</w:t>
      </w:r>
    </w:p>
    <w:p w14:paraId="600DA657" w14:textId="3CAE48CB" w:rsidR="00744FF4" w:rsidRDefault="00744FF4" w:rsidP="00744FF4">
      <w:pPr>
        <w:rPr>
          <w:rFonts w:eastAsiaTheme="minorEastAsia"/>
          <w:lang w:val="en-GB"/>
        </w:rPr>
      </w:pPr>
      <w:r w:rsidRPr="00210A06">
        <w:rPr>
          <w:rFonts w:eastAsiaTheme="minorEastAsia"/>
          <w:lang w:val="en-GB"/>
        </w:rPr>
        <w:t>[</w:t>
      </w:r>
      <w:r>
        <w:rPr>
          <w:rFonts w:eastAsiaTheme="minorEastAsia"/>
          <w:lang w:val="en-GB"/>
        </w:rPr>
        <w:t>5</w:t>
      </w:r>
      <w:r w:rsidRPr="00210A06">
        <w:rPr>
          <w:rFonts w:eastAsiaTheme="minorEastAsia"/>
          <w:lang w:val="en-GB"/>
        </w:rPr>
        <w:t xml:space="preserve">] </w:t>
      </w:r>
      <w:r w:rsidR="004851C0" w:rsidRPr="004851C0">
        <w:rPr>
          <w:rFonts w:eastAsiaTheme="minorEastAsia"/>
          <w:lang w:val="en-GB"/>
        </w:rPr>
        <w:t>RP-211551</w:t>
      </w:r>
      <w:r w:rsidRPr="00210A06">
        <w:rPr>
          <w:rFonts w:eastAsiaTheme="minorEastAsia"/>
          <w:lang w:val="en-GB"/>
        </w:rPr>
        <w:t xml:space="preserve">, </w:t>
      </w:r>
      <w:r w:rsidR="004851C0" w:rsidRPr="004851C0">
        <w:rPr>
          <w:rFonts w:eastAsiaTheme="minorEastAsia"/>
          <w:lang w:val="en-GB"/>
        </w:rPr>
        <w:t>Moderator's summary for email discussion [92-e-08-feMIMO-Scope]</w:t>
      </w:r>
    </w:p>
    <w:p w14:paraId="5E939D7D" w14:textId="4E599483" w:rsidR="00744FF4" w:rsidRPr="00210A06" w:rsidRDefault="00744FF4" w:rsidP="00A57F37">
      <w:pPr>
        <w:rPr>
          <w:rFonts w:eastAsiaTheme="minorEastAsia"/>
          <w:lang w:val="en-GB"/>
        </w:rPr>
      </w:pPr>
      <w:r w:rsidRPr="00210A06">
        <w:rPr>
          <w:rFonts w:eastAsiaTheme="minorEastAsia"/>
          <w:lang w:val="en-GB"/>
        </w:rPr>
        <w:t>[</w:t>
      </w:r>
      <w:r w:rsidR="004851C0">
        <w:rPr>
          <w:rFonts w:eastAsiaTheme="minorEastAsia"/>
          <w:lang w:val="en-GB"/>
        </w:rPr>
        <w:t>6</w:t>
      </w:r>
      <w:r w:rsidRPr="00210A06">
        <w:rPr>
          <w:rFonts w:eastAsiaTheme="minorEastAsia"/>
          <w:lang w:val="en-GB"/>
        </w:rPr>
        <w:t xml:space="preserve">] </w:t>
      </w:r>
      <w:r w:rsidRPr="00744FF4">
        <w:rPr>
          <w:rFonts w:eastAsiaTheme="minorEastAsia"/>
          <w:lang w:val="en-GB"/>
        </w:rPr>
        <w:t>RP-211586</w:t>
      </w:r>
      <w:r w:rsidRPr="00210A06">
        <w:rPr>
          <w:rFonts w:eastAsiaTheme="minorEastAsia"/>
          <w:lang w:val="en-GB"/>
        </w:rPr>
        <w:t xml:space="preserve">, </w:t>
      </w:r>
      <w:r w:rsidRPr="00744FF4">
        <w:rPr>
          <w:rFonts w:eastAsiaTheme="minorEastAsia"/>
          <w:lang w:val="en-GB"/>
        </w:rPr>
        <w:t>Revised WID: Further enhancements on MIMO for NR</w:t>
      </w:r>
    </w:p>
    <w:sectPr w:rsidR="00744FF4" w:rsidRPr="00210A06" w:rsidSect="00210A06">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1A3E7D" w14:textId="77777777" w:rsidR="00236A1D" w:rsidRDefault="00236A1D" w:rsidP="00556F5B">
      <w:r>
        <w:separator/>
      </w:r>
    </w:p>
  </w:endnote>
  <w:endnote w:type="continuationSeparator" w:id="0">
    <w:p w14:paraId="73DD0319" w14:textId="77777777" w:rsidR="00236A1D" w:rsidRDefault="00236A1D" w:rsidP="00556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83441" w14:textId="77777777" w:rsidR="00643761" w:rsidRDefault="0064376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0770F7" w14:textId="77777777" w:rsidR="00643761" w:rsidRDefault="0064376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628A7" w14:textId="77777777" w:rsidR="00643761" w:rsidRDefault="006437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7D5F30" w14:textId="77777777" w:rsidR="00236A1D" w:rsidRDefault="00236A1D" w:rsidP="00556F5B">
      <w:r>
        <w:separator/>
      </w:r>
    </w:p>
  </w:footnote>
  <w:footnote w:type="continuationSeparator" w:id="0">
    <w:p w14:paraId="7D585C38" w14:textId="77777777" w:rsidR="00236A1D" w:rsidRDefault="00236A1D" w:rsidP="00556F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7C113A" w14:textId="77777777" w:rsidR="00643761" w:rsidRDefault="0064376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37BB7" w14:textId="77777777" w:rsidR="00643761" w:rsidRDefault="0064376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A29D06" w14:textId="77777777" w:rsidR="00643761" w:rsidRDefault="006437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E0CBE"/>
    <w:multiLevelType w:val="hybridMultilevel"/>
    <w:tmpl w:val="FFCCF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294DEC"/>
    <w:multiLevelType w:val="hybridMultilevel"/>
    <w:tmpl w:val="43D6F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F31FE4"/>
    <w:multiLevelType w:val="hybridMultilevel"/>
    <w:tmpl w:val="4F12F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C23B4C"/>
    <w:multiLevelType w:val="hybridMultilevel"/>
    <w:tmpl w:val="C42A335C"/>
    <w:lvl w:ilvl="0" w:tplc="908839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8"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04090005">
      <w:start w:val="1"/>
      <w:numFmt w:val="bullet"/>
      <w:lvlText w:val=""/>
      <w:lvlJc w:val="left"/>
      <w:pPr>
        <w:ind w:left="1495"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B42AD2"/>
    <w:multiLevelType w:val="hybridMultilevel"/>
    <w:tmpl w:val="B6289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4D1FC4"/>
    <w:multiLevelType w:val="multilevel"/>
    <w:tmpl w:val="CB307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4953D8"/>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B620750"/>
    <w:multiLevelType w:val="multilevel"/>
    <w:tmpl w:val="72604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B5BA446A"/>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860"/>
        </w:tabs>
        <w:ind w:left="860"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C841F1E"/>
    <w:multiLevelType w:val="hybridMultilevel"/>
    <w:tmpl w:val="D850F8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52B7CF5"/>
    <w:multiLevelType w:val="multilevel"/>
    <w:tmpl w:val="14765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78D47FC"/>
    <w:multiLevelType w:val="hybridMultilevel"/>
    <w:tmpl w:val="BE345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951415"/>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DA5858"/>
    <w:multiLevelType w:val="hybridMultilevel"/>
    <w:tmpl w:val="7D0A7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276A2B"/>
    <w:multiLevelType w:val="hybridMultilevel"/>
    <w:tmpl w:val="7E54EADC"/>
    <w:lvl w:ilvl="0" w:tplc="2BEE9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04090005">
      <w:start w:val="1"/>
      <w:numFmt w:val="bullet"/>
      <w:lvlText w:val=""/>
      <w:lvlJc w:val="left"/>
      <w:pPr>
        <w:ind w:left="1495"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9F302D"/>
    <w:multiLevelType w:val="hybridMultilevel"/>
    <w:tmpl w:val="BDF04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CC20153"/>
    <w:multiLevelType w:val="hybridMultilevel"/>
    <w:tmpl w:val="FAC27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211"/>
        </w:tabs>
        <w:ind w:left="1211"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3"/>
  </w:num>
  <w:num w:numId="3">
    <w:abstractNumId w:val="8"/>
  </w:num>
  <w:num w:numId="4">
    <w:abstractNumId w:val="39"/>
  </w:num>
  <w:num w:numId="5">
    <w:abstractNumId w:val="43"/>
  </w:num>
  <w:num w:numId="6">
    <w:abstractNumId w:val="2"/>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4"/>
  </w:num>
  <w:num w:numId="9">
    <w:abstractNumId w:val="30"/>
  </w:num>
  <w:num w:numId="10">
    <w:abstractNumId w:val="30"/>
  </w:num>
  <w:num w:numId="11">
    <w:abstractNumId w:val="36"/>
  </w:num>
  <w:num w:numId="12">
    <w:abstractNumId w:val="5"/>
  </w:num>
  <w:num w:numId="13">
    <w:abstractNumId w:val="21"/>
  </w:num>
  <w:num w:numId="14">
    <w:abstractNumId w:val="18"/>
  </w:num>
  <w:num w:numId="15">
    <w:abstractNumId w:val="17"/>
  </w:num>
  <w:num w:numId="16">
    <w:abstractNumId w:val="29"/>
  </w:num>
  <w:num w:numId="17">
    <w:abstractNumId w:val="31"/>
  </w:num>
  <w:num w:numId="18">
    <w:abstractNumId w:val="40"/>
  </w:num>
  <w:num w:numId="19">
    <w:abstractNumId w:val="26"/>
  </w:num>
  <w:num w:numId="20">
    <w:abstractNumId w:val="37"/>
  </w:num>
  <w:num w:numId="21">
    <w:abstractNumId w:val="28"/>
  </w:num>
  <w:num w:numId="22">
    <w:abstractNumId w:val="41"/>
  </w:num>
  <w:num w:numId="23">
    <w:abstractNumId w:val="4"/>
  </w:num>
  <w:num w:numId="24">
    <w:abstractNumId w:val="12"/>
  </w:num>
  <w:num w:numId="25">
    <w:abstractNumId w:val="38"/>
  </w:num>
  <w:num w:numId="26">
    <w:abstractNumId w:val="15"/>
  </w:num>
  <w:num w:numId="27">
    <w:abstractNumId w:val="10"/>
  </w:num>
  <w:num w:numId="28">
    <w:abstractNumId w:val="14"/>
  </w:num>
  <w:num w:numId="29">
    <w:abstractNumId w:val="7"/>
  </w:num>
  <w:num w:numId="30">
    <w:abstractNumId w:val="32"/>
  </w:num>
  <w:num w:numId="31">
    <w:abstractNumId w:val="22"/>
  </w:num>
  <w:num w:numId="32">
    <w:abstractNumId w:val="9"/>
  </w:num>
  <w:num w:numId="33">
    <w:abstractNumId w:val="16"/>
  </w:num>
  <w:num w:numId="34">
    <w:abstractNumId w:val="27"/>
  </w:num>
  <w:num w:numId="35">
    <w:abstractNumId w:val="25"/>
  </w:num>
  <w:num w:numId="36">
    <w:abstractNumId w:val="20"/>
  </w:num>
  <w:num w:numId="37">
    <w:abstractNumId w:val="35"/>
  </w:num>
  <w:num w:numId="38">
    <w:abstractNumId w:val="3"/>
  </w:num>
  <w:num w:numId="39">
    <w:abstractNumId w:val="24"/>
  </w:num>
  <w:num w:numId="40">
    <w:abstractNumId w:val="6"/>
  </w:num>
  <w:num w:numId="41">
    <w:abstractNumId w:val="0"/>
  </w:num>
  <w:num w:numId="42">
    <w:abstractNumId w:val="1"/>
  </w:num>
  <w:num w:numId="43">
    <w:abstractNumId w:val="13"/>
  </w:num>
  <w:num w:numId="44">
    <w:abstractNumId w:val="42"/>
  </w:num>
  <w:num w:numId="45">
    <w:abstractNumId w:val="11"/>
  </w:num>
  <w:num w:numId="46">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doNotDisplayPageBoundaries/>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A95"/>
    <w:rsid w:val="000024EF"/>
    <w:rsid w:val="000025F6"/>
    <w:rsid w:val="00012C37"/>
    <w:rsid w:val="00020124"/>
    <w:rsid w:val="0003000D"/>
    <w:rsid w:val="00037B41"/>
    <w:rsid w:val="00043377"/>
    <w:rsid w:val="00043D0F"/>
    <w:rsid w:val="000448FE"/>
    <w:rsid w:val="00054397"/>
    <w:rsid w:val="000543D1"/>
    <w:rsid w:val="00055032"/>
    <w:rsid w:val="00055A85"/>
    <w:rsid w:val="00057EAF"/>
    <w:rsid w:val="00065D4D"/>
    <w:rsid w:val="0006665D"/>
    <w:rsid w:val="00081FD4"/>
    <w:rsid w:val="00086AE4"/>
    <w:rsid w:val="00086D13"/>
    <w:rsid w:val="00086D4E"/>
    <w:rsid w:val="00090C05"/>
    <w:rsid w:val="00090D72"/>
    <w:rsid w:val="00092731"/>
    <w:rsid w:val="00097B44"/>
    <w:rsid w:val="000B2170"/>
    <w:rsid w:val="000B2D68"/>
    <w:rsid w:val="000B3EEE"/>
    <w:rsid w:val="000B513E"/>
    <w:rsid w:val="000C3747"/>
    <w:rsid w:val="000C76EF"/>
    <w:rsid w:val="000D5DB4"/>
    <w:rsid w:val="000E14F4"/>
    <w:rsid w:val="0010514C"/>
    <w:rsid w:val="00107493"/>
    <w:rsid w:val="00107A05"/>
    <w:rsid w:val="00113DFD"/>
    <w:rsid w:val="001220CE"/>
    <w:rsid w:val="0012343F"/>
    <w:rsid w:val="00123F1C"/>
    <w:rsid w:val="0012432B"/>
    <w:rsid w:val="0012720C"/>
    <w:rsid w:val="00140CE7"/>
    <w:rsid w:val="00143E54"/>
    <w:rsid w:val="00145D48"/>
    <w:rsid w:val="00146DAD"/>
    <w:rsid w:val="0014776E"/>
    <w:rsid w:val="00150DDD"/>
    <w:rsid w:val="00160AA2"/>
    <w:rsid w:val="00165E2C"/>
    <w:rsid w:val="001711F6"/>
    <w:rsid w:val="00175FCD"/>
    <w:rsid w:val="0018146A"/>
    <w:rsid w:val="0019056C"/>
    <w:rsid w:val="001910E9"/>
    <w:rsid w:val="00192286"/>
    <w:rsid w:val="001952B3"/>
    <w:rsid w:val="00197840"/>
    <w:rsid w:val="001B244D"/>
    <w:rsid w:val="001B32D2"/>
    <w:rsid w:val="001B6ABA"/>
    <w:rsid w:val="001B6FB6"/>
    <w:rsid w:val="001C13B2"/>
    <w:rsid w:val="001C6331"/>
    <w:rsid w:val="001D1BF3"/>
    <w:rsid w:val="001D24A3"/>
    <w:rsid w:val="001D6BA9"/>
    <w:rsid w:val="001D7BF2"/>
    <w:rsid w:val="001E04E7"/>
    <w:rsid w:val="001E0CD6"/>
    <w:rsid w:val="001E5288"/>
    <w:rsid w:val="001F5BCC"/>
    <w:rsid w:val="001F7C2C"/>
    <w:rsid w:val="00201298"/>
    <w:rsid w:val="00203E84"/>
    <w:rsid w:val="00203F3C"/>
    <w:rsid w:val="00204A9D"/>
    <w:rsid w:val="002103B7"/>
    <w:rsid w:val="00210A06"/>
    <w:rsid w:val="002111F2"/>
    <w:rsid w:val="0022446A"/>
    <w:rsid w:val="00231979"/>
    <w:rsid w:val="0023241E"/>
    <w:rsid w:val="00233380"/>
    <w:rsid w:val="00234453"/>
    <w:rsid w:val="00234DCA"/>
    <w:rsid w:val="00236334"/>
    <w:rsid w:val="0023657E"/>
    <w:rsid w:val="00236A1D"/>
    <w:rsid w:val="00246F8B"/>
    <w:rsid w:val="002474E3"/>
    <w:rsid w:val="002478E6"/>
    <w:rsid w:val="00253194"/>
    <w:rsid w:val="00261D91"/>
    <w:rsid w:val="00266D98"/>
    <w:rsid w:val="00267778"/>
    <w:rsid w:val="0027122F"/>
    <w:rsid w:val="00273FB2"/>
    <w:rsid w:val="00285ABE"/>
    <w:rsid w:val="00287FF3"/>
    <w:rsid w:val="002904CE"/>
    <w:rsid w:val="002916A5"/>
    <w:rsid w:val="00291DF8"/>
    <w:rsid w:val="00292AF1"/>
    <w:rsid w:val="00297F57"/>
    <w:rsid w:val="002A17B3"/>
    <w:rsid w:val="002A4502"/>
    <w:rsid w:val="002A52B7"/>
    <w:rsid w:val="002A5D5E"/>
    <w:rsid w:val="002A7AED"/>
    <w:rsid w:val="002B556A"/>
    <w:rsid w:val="002B7639"/>
    <w:rsid w:val="002C69CF"/>
    <w:rsid w:val="002D390F"/>
    <w:rsid w:val="002D5861"/>
    <w:rsid w:val="002D7336"/>
    <w:rsid w:val="002E0D92"/>
    <w:rsid w:val="002E1219"/>
    <w:rsid w:val="002E3AA3"/>
    <w:rsid w:val="002E6435"/>
    <w:rsid w:val="003027B2"/>
    <w:rsid w:val="00304B76"/>
    <w:rsid w:val="00312FB5"/>
    <w:rsid w:val="00314BD6"/>
    <w:rsid w:val="0031753A"/>
    <w:rsid w:val="0032007C"/>
    <w:rsid w:val="00322BDB"/>
    <w:rsid w:val="0032653F"/>
    <w:rsid w:val="00327A12"/>
    <w:rsid w:val="0033037F"/>
    <w:rsid w:val="003309EC"/>
    <w:rsid w:val="00331477"/>
    <w:rsid w:val="0033455E"/>
    <w:rsid w:val="00334A79"/>
    <w:rsid w:val="003410F8"/>
    <w:rsid w:val="003427D7"/>
    <w:rsid w:val="00343FFB"/>
    <w:rsid w:val="00356589"/>
    <w:rsid w:val="003567AC"/>
    <w:rsid w:val="00361991"/>
    <w:rsid w:val="00361D78"/>
    <w:rsid w:val="00362465"/>
    <w:rsid w:val="00364F34"/>
    <w:rsid w:val="00367FDF"/>
    <w:rsid w:val="003713F5"/>
    <w:rsid w:val="003716A5"/>
    <w:rsid w:val="0037358F"/>
    <w:rsid w:val="00382BA8"/>
    <w:rsid w:val="0039016F"/>
    <w:rsid w:val="00391A2A"/>
    <w:rsid w:val="00393D01"/>
    <w:rsid w:val="00394227"/>
    <w:rsid w:val="003953EA"/>
    <w:rsid w:val="00396920"/>
    <w:rsid w:val="00396C2D"/>
    <w:rsid w:val="003977C5"/>
    <w:rsid w:val="003A0B68"/>
    <w:rsid w:val="003A6C8A"/>
    <w:rsid w:val="003B41BD"/>
    <w:rsid w:val="003D18D1"/>
    <w:rsid w:val="003D42F6"/>
    <w:rsid w:val="003D625C"/>
    <w:rsid w:val="003D6641"/>
    <w:rsid w:val="003D69F6"/>
    <w:rsid w:val="003E1C52"/>
    <w:rsid w:val="003F1C9B"/>
    <w:rsid w:val="003F3F55"/>
    <w:rsid w:val="003F73D8"/>
    <w:rsid w:val="004006A9"/>
    <w:rsid w:val="0040376C"/>
    <w:rsid w:val="00403AC6"/>
    <w:rsid w:val="004051D3"/>
    <w:rsid w:val="004055DA"/>
    <w:rsid w:val="004064F4"/>
    <w:rsid w:val="00406C1D"/>
    <w:rsid w:val="0041093A"/>
    <w:rsid w:val="00412301"/>
    <w:rsid w:val="00412956"/>
    <w:rsid w:val="00413D95"/>
    <w:rsid w:val="0041476E"/>
    <w:rsid w:val="00416DF0"/>
    <w:rsid w:val="0042203D"/>
    <w:rsid w:val="00424A0A"/>
    <w:rsid w:val="00431325"/>
    <w:rsid w:val="00431902"/>
    <w:rsid w:val="00442B07"/>
    <w:rsid w:val="00442F31"/>
    <w:rsid w:val="00442FD9"/>
    <w:rsid w:val="004439B2"/>
    <w:rsid w:val="004505D5"/>
    <w:rsid w:val="0045351B"/>
    <w:rsid w:val="00454722"/>
    <w:rsid w:val="004567E6"/>
    <w:rsid w:val="004569B3"/>
    <w:rsid w:val="00457389"/>
    <w:rsid w:val="00461B65"/>
    <w:rsid w:val="004648A1"/>
    <w:rsid w:val="00466076"/>
    <w:rsid w:val="00471EB3"/>
    <w:rsid w:val="00473FA1"/>
    <w:rsid w:val="00474CE4"/>
    <w:rsid w:val="004851C0"/>
    <w:rsid w:val="0048744D"/>
    <w:rsid w:val="004941C4"/>
    <w:rsid w:val="004A1433"/>
    <w:rsid w:val="004A1D17"/>
    <w:rsid w:val="004A2465"/>
    <w:rsid w:val="004A60EE"/>
    <w:rsid w:val="004B23D2"/>
    <w:rsid w:val="004B6689"/>
    <w:rsid w:val="004D37E0"/>
    <w:rsid w:val="004D665B"/>
    <w:rsid w:val="004D6D70"/>
    <w:rsid w:val="004E6332"/>
    <w:rsid w:val="004E6D43"/>
    <w:rsid w:val="005015E3"/>
    <w:rsid w:val="00502E6D"/>
    <w:rsid w:val="00506D8F"/>
    <w:rsid w:val="00517F8F"/>
    <w:rsid w:val="00526322"/>
    <w:rsid w:val="0052648A"/>
    <w:rsid w:val="005278CD"/>
    <w:rsid w:val="005350F0"/>
    <w:rsid w:val="00540C3A"/>
    <w:rsid w:val="00556F5B"/>
    <w:rsid w:val="00557E0D"/>
    <w:rsid w:val="00560AEB"/>
    <w:rsid w:val="00565BC1"/>
    <w:rsid w:val="00567F4A"/>
    <w:rsid w:val="0058077D"/>
    <w:rsid w:val="00581F71"/>
    <w:rsid w:val="005875C9"/>
    <w:rsid w:val="00593C7B"/>
    <w:rsid w:val="00593D9D"/>
    <w:rsid w:val="0059763F"/>
    <w:rsid w:val="005A42C6"/>
    <w:rsid w:val="005A5F3D"/>
    <w:rsid w:val="005B0680"/>
    <w:rsid w:val="005B3C27"/>
    <w:rsid w:val="005C60CE"/>
    <w:rsid w:val="005C6D39"/>
    <w:rsid w:val="005C7CC4"/>
    <w:rsid w:val="005D54DB"/>
    <w:rsid w:val="005D595F"/>
    <w:rsid w:val="005D6719"/>
    <w:rsid w:val="005D7172"/>
    <w:rsid w:val="005D72A7"/>
    <w:rsid w:val="005E0611"/>
    <w:rsid w:val="005E555C"/>
    <w:rsid w:val="005E7B21"/>
    <w:rsid w:val="005F1122"/>
    <w:rsid w:val="005F2D24"/>
    <w:rsid w:val="005F3093"/>
    <w:rsid w:val="005F30D7"/>
    <w:rsid w:val="005F7295"/>
    <w:rsid w:val="006051DF"/>
    <w:rsid w:val="00606CB7"/>
    <w:rsid w:val="00611186"/>
    <w:rsid w:val="006164C6"/>
    <w:rsid w:val="006219AD"/>
    <w:rsid w:val="00626C89"/>
    <w:rsid w:val="00626E32"/>
    <w:rsid w:val="006317D2"/>
    <w:rsid w:val="0063727D"/>
    <w:rsid w:val="00637B3B"/>
    <w:rsid w:val="00643761"/>
    <w:rsid w:val="0064478E"/>
    <w:rsid w:val="00646761"/>
    <w:rsid w:val="006510C7"/>
    <w:rsid w:val="00653EE6"/>
    <w:rsid w:val="0065706F"/>
    <w:rsid w:val="00663652"/>
    <w:rsid w:val="0067142E"/>
    <w:rsid w:val="0067267C"/>
    <w:rsid w:val="006726B0"/>
    <w:rsid w:val="00672CBF"/>
    <w:rsid w:val="00673386"/>
    <w:rsid w:val="00674ABB"/>
    <w:rsid w:val="00676030"/>
    <w:rsid w:val="0067679D"/>
    <w:rsid w:val="00677517"/>
    <w:rsid w:val="0068003E"/>
    <w:rsid w:val="00680DA7"/>
    <w:rsid w:val="00683336"/>
    <w:rsid w:val="006905FA"/>
    <w:rsid w:val="006906BD"/>
    <w:rsid w:val="00691977"/>
    <w:rsid w:val="00692877"/>
    <w:rsid w:val="006929D3"/>
    <w:rsid w:val="00695A8B"/>
    <w:rsid w:val="006A216B"/>
    <w:rsid w:val="006A348C"/>
    <w:rsid w:val="006B09A2"/>
    <w:rsid w:val="006B1A91"/>
    <w:rsid w:val="006B1C04"/>
    <w:rsid w:val="006C1DB7"/>
    <w:rsid w:val="006C2902"/>
    <w:rsid w:val="006C35D1"/>
    <w:rsid w:val="006D5EF5"/>
    <w:rsid w:val="006F0D64"/>
    <w:rsid w:val="006F3879"/>
    <w:rsid w:val="006F686E"/>
    <w:rsid w:val="00700D2B"/>
    <w:rsid w:val="00701535"/>
    <w:rsid w:val="00716485"/>
    <w:rsid w:val="007227C6"/>
    <w:rsid w:val="0072791D"/>
    <w:rsid w:val="0073000D"/>
    <w:rsid w:val="0073318C"/>
    <w:rsid w:val="00733CF4"/>
    <w:rsid w:val="007344F2"/>
    <w:rsid w:val="00741BF2"/>
    <w:rsid w:val="00743284"/>
    <w:rsid w:val="00743986"/>
    <w:rsid w:val="00744FF4"/>
    <w:rsid w:val="007455F1"/>
    <w:rsid w:val="00750EE2"/>
    <w:rsid w:val="00752975"/>
    <w:rsid w:val="0075541C"/>
    <w:rsid w:val="00765DD4"/>
    <w:rsid w:val="00767AD2"/>
    <w:rsid w:val="007717E4"/>
    <w:rsid w:val="00773AB1"/>
    <w:rsid w:val="007746C0"/>
    <w:rsid w:val="00777C15"/>
    <w:rsid w:val="00780226"/>
    <w:rsid w:val="0078380A"/>
    <w:rsid w:val="007954EA"/>
    <w:rsid w:val="007964BA"/>
    <w:rsid w:val="00796D88"/>
    <w:rsid w:val="007A1B0A"/>
    <w:rsid w:val="007A3A88"/>
    <w:rsid w:val="007B62DB"/>
    <w:rsid w:val="007B6A0B"/>
    <w:rsid w:val="007C6415"/>
    <w:rsid w:val="007C7C15"/>
    <w:rsid w:val="007D090B"/>
    <w:rsid w:val="007D5A3A"/>
    <w:rsid w:val="007F54E9"/>
    <w:rsid w:val="00800E34"/>
    <w:rsid w:val="00801BCA"/>
    <w:rsid w:val="00803517"/>
    <w:rsid w:val="0080571D"/>
    <w:rsid w:val="008059A9"/>
    <w:rsid w:val="0080673D"/>
    <w:rsid w:val="00807147"/>
    <w:rsid w:val="008141B1"/>
    <w:rsid w:val="00814DDC"/>
    <w:rsid w:val="00826D20"/>
    <w:rsid w:val="008313A3"/>
    <w:rsid w:val="00846413"/>
    <w:rsid w:val="008511F4"/>
    <w:rsid w:val="00855241"/>
    <w:rsid w:val="00857703"/>
    <w:rsid w:val="0086540D"/>
    <w:rsid w:val="00873823"/>
    <w:rsid w:val="00873C97"/>
    <w:rsid w:val="008745F7"/>
    <w:rsid w:val="00880D3F"/>
    <w:rsid w:val="00882275"/>
    <w:rsid w:val="00887119"/>
    <w:rsid w:val="008915C0"/>
    <w:rsid w:val="00893D18"/>
    <w:rsid w:val="00895141"/>
    <w:rsid w:val="008A26C4"/>
    <w:rsid w:val="008A26E5"/>
    <w:rsid w:val="008A4668"/>
    <w:rsid w:val="008A79FE"/>
    <w:rsid w:val="008B2EEB"/>
    <w:rsid w:val="008B59B2"/>
    <w:rsid w:val="008C19D2"/>
    <w:rsid w:val="008C2CEB"/>
    <w:rsid w:val="008C371D"/>
    <w:rsid w:val="008C54D9"/>
    <w:rsid w:val="008C6457"/>
    <w:rsid w:val="008D2B38"/>
    <w:rsid w:val="008D3779"/>
    <w:rsid w:val="008D448A"/>
    <w:rsid w:val="008D4A50"/>
    <w:rsid w:val="008D607E"/>
    <w:rsid w:val="008F23BF"/>
    <w:rsid w:val="008F2D18"/>
    <w:rsid w:val="008F63B4"/>
    <w:rsid w:val="009057D9"/>
    <w:rsid w:val="00906A9B"/>
    <w:rsid w:val="00907292"/>
    <w:rsid w:val="00907394"/>
    <w:rsid w:val="00910463"/>
    <w:rsid w:val="00916A91"/>
    <w:rsid w:val="0092224F"/>
    <w:rsid w:val="00932C53"/>
    <w:rsid w:val="009433F6"/>
    <w:rsid w:val="0094471E"/>
    <w:rsid w:val="00946350"/>
    <w:rsid w:val="00962006"/>
    <w:rsid w:val="00964050"/>
    <w:rsid w:val="00965120"/>
    <w:rsid w:val="009660C6"/>
    <w:rsid w:val="009701AD"/>
    <w:rsid w:val="009730B8"/>
    <w:rsid w:val="00974FED"/>
    <w:rsid w:val="00976A05"/>
    <w:rsid w:val="00981FA4"/>
    <w:rsid w:val="00983373"/>
    <w:rsid w:val="00985A5F"/>
    <w:rsid w:val="0098639E"/>
    <w:rsid w:val="009A1E64"/>
    <w:rsid w:val="009A4049"/>
    <w:rsid w:val="009A4BEB"/>
    <w:rsid w:val="009A4E82"/>
    <w:rsid w:val="009B013E"/>
    <w:rsid w:val="009B33ED"/>
    <w:rsid w:val="009C0058"/>
    <w:rsid w:val="009C29E4"/>
    <w:rsid w:val="009C73E5"/>
    <w:rsid w:val="009C7A84"/>
    <w:rsid w:val="009D19FE"/>
    <w:rsid w:val="009D54B5"/>
    <w:rsid w:val="009E0993"/>
    <w:rsid w:val="009F42F9"/>
    <w:rsid w:val="009F5AF9"/>
    <w:rsid w:val="00A024B4"/>
    <w:rsid w:val="00A06740"/>
    <w:rsid w:val="00A142C8"/>
    <w:rsid w:val="00A23322"/>
    <w:rsid w:val="00A23BEE"/>
    <w:rsid w:val="00A338BC"/>
    <w:rsid w:val="00A34631"/>
    <w:rsid w:val="00A35FF6"/>
    <w:rsid w:val="00A36A5C"/>
    <w:rsid w:val="00A36A94"/>
    <w:rsid w:val="00A40A29"/>
    <w:rsid w:val="00A42680"/>
    <w:rsid w:val="00A431B1"/>
    <w:rsid w:val="00A4358C"/>
    <w:rsid w:val="00A4737D"/>
    <w:rsid w:val="00A50DFD"/>
    <w:rsid w:val="00A51D56"/>
    <w:rsid w:val="00A53BF1"/>
    <w:rsid w:val="00A57F37"/>
    <w:rsid w:val="00A9209B"/>
    <w:rsid w:val="00AA5C04"/>
    <w:rsid w:val="00AB373D"/>
    <w:rsid w:val="00AB56B5"/>
    <w:rsid w:val="00AB56BD"/>
    <w:rsid w:val="00AB7163"/>
    <w:rsid w:val="00AC0E56"/>
    <w:rsid w:val="00AC2719"/>
    <w:rsid w:val="00AC5EB1"/>
    <w:rsid w:val="00AC7BDE"/>
    <w:rsid w:val="00AD0979"/>
    <w:rsid w:val="00AD7B4F"/>
    <w:rsid w:val="00AD7D1D"/>
    <w:rsid w:val="00AE08B0"/>
    <w:rsid w:val="00AE1BFF"/>
    <w:rsid w:val="00AE1E7E"/>
    <w:rsid w:val="00AE296A"/>
    <w:rsid w:val="00AF12F5"/>
    <w:rsid w:val="00AF2703"/>
    <w:rsid w:val="00AF735D"/>
    <w:rsid w:val="00B01804"/>
    <w:rsid w:val="00B10C4C"/>
    <w:rsid w:val="00B11FFB"/>
    <w:rsid w:val="00B23B69"/>
    <w:rsid w:val="00B23B9D"/>
    <w:rsid w:val="00B253AD"/>
    <w:rsid w:val="00B31D41"/>
    <w:rsid w:val="00B3672C"/>
    <w:rsid w:val="00B36DB8"/>
    <w:rsid w:val="00B42A1F"/>
    <w:rsid w:val="00B44D20"/>
    <w:rsid w:val="00B50DE7"/>
    <w:rsid w:val="00B512A0"/>
    <w:rsid w:val="00B52452"/>
    <w:rsid w:val="00B52BA0"/>
    <w:rsid w:val="00B540D2"/>
    <w:rsid w:val="00B55D0E"/>
    <w:rsid w:val="00B62EA6"/>
    <w:rsid w:val="00B6705B"/>
    <w:rsid w:val="00B67C5F"/>
    <w:rsid w:val="00B67DEE"/>
    <w:rsid w:val="00B71FD4"/>
    <w:rsid w:val="00B729A4"/>
    <w:rsid w:val="00B74528"/>
    <w:rsid w:val="00B74D2E"/>
    <w:rsid w:val="00B862B2"/>
    <w:rsid w:val="00B87057"/>
    <w:rsid w:val="00B96A2F"/>
    <w:rsid w:val="00BA28F6"/>
    <w:rsid w:val="00BA614D"/>
    <w:rsid w:val="00BB0270"/>
    <w:rsid w:val="00BB0B0A"/>
    <w:rsid w:val="00BB1646"/>
    <w:rsid w:val="00BB7521"/>
    <w:rsid w:val="00BC0FF5"/>
    <w:rsid w:val="00BC1621"/>
    <w:rsid w:val="00BC3FF9"/>
    <w:rsid w:val="00BD0581"/>
    <w:rsid w:val="00BD28BD"/>
    <w:rsid w:val="00BE27BC"/>
    <w:rsid w:val="00BE4F0D"/>
    <w:rsid w:val="00BF1F5C"/>
    <w:rsid w:val="00BF522D"/>
    <w:rsid w:val="00C07A0C"/>
    <w:rsid w:val="00C1078F"/>
    <w:rsid w:val="00C128D8"/>
    <w:rsid w:val="00C137B6"/>
    <w:rsid w:val="00C16514"/>
    <w:rsid w:val="00C24DD5"/>
    <w:rsid w:val="00C351BC"/>
    <w:rsid w:val="00C4223F"/>
    <w:rsid w:val="00C43CBE"/>
    <w:rsid w:val="00C46285"/>
    <w:rsid w:val="00C47075"/>
    <w:rsid w:val="00C53384"/>
    <w:rsid w:val="00C62B93"/>
    <w:rsid w:val="00C71A29"/>
    <w:rsid w:val="00C82A45"/>
    <w:rsid w:val="00C861DC"/>
    <w:rsid w:val="00C92E44"/>
    <w:rsid w:val="00C9508B"/>
    <w:rsid w:val="00CB2805"/>
    <w:rsid w:val="00CC517B"/>
    <w:rsid w:val="00CC6EE0"/>
    <w:rsid w:val="00CD68A9"/>
    <w:rsid w:val="00CF100E"/>
    <w:rsid w:val="00CF149C"/>
    <w:rsid w:val="00CF5598"/>
    <w:rsid w:val="00CF7D8E"/>
    <w:rsid w:val="00D00670"/>
    <w:rsid w:val="00D01997"/>
    <w:rsid w:val="00D02B9C"/>
    <w:rsid w:val="00D0413D"/>
    <w:rsid w:val="00D047F4"/>
    <w:rsid w:val="00D163F1"/>
    <w:rsid w:val="00D17453"/>
    <w:rsid w:val="00D32B3D"/>
    <w:rsid w:val="00D37936"/>
    <w:rsid w:val="00D42FCA"/>
    <w:rsid w:val="00D433BA"/>
    <w:rsid w:val="00D533DB"/>
    <w:rsid w:val="00D54092"/>
    <w:rsid w:val="00D558DA"/>
    <w:rsid w:val="00D60B31"/>
    <w:rsid w:val="00D623AE"/>
    <w:rsid w:val="00D63012"/>
    <w:rsid w:val="00D6492D"/>
    <w:rsid w:val="00D655C9"/>
    <w:rsid w:val="00D718DF"/>
    <w:rsid w:val="00D7468F"/>
    <w:rsid w:val="00D75797"/>
    <w:rsid w:val="00D778D4"/>
    <w:rsid w:val="00D8077F"/>
    <w:rsid w:val="00D81D4E"/>
    <w:rsid w:val="00D851D7"/>
    <w:rsid w:val="00D965A3"/>
    <w:rsid w:val="00D971E6"/>
    <w:rsid w:val="00D97BA5"/>
    <w:rsid w:val="00DA5064"/>
    <w:rsid w:val="00DA5269"/>
    <w:rsid w:val="00DA7DAE"/>
    <w:rsid w:val="00DB2FDC"/>
    <w:rsid w:val="00DB6A3F"/>
    <w:rsid w:val="00DB7A86"/>
    <w:rsid w:val="00DB7AB7"/>
    <w:rsid w:val="00DC0D28"/>
    <w:rsid w:val="00DC2E7D"/>
    <w:rsid w:val="00DC47E4"/>
    <w:rsid w:val="00DD5B0E"/>
    <w:rsid w:val="00DD6660"/>
    <w:rsid w:val="00DE00DF"/>
    <w:rsid w:val="00DE3803"/>
    <w:rsid w:val="00DF5073"/>
    <w:rsid w:val="00E00E70"/>
    <w:rsid w:val="00E03E1D"/>
    <w:rsid w:val="00E1404A"/>
    <w:rsid w:val="00E1613E"/>
    <w:rsid w:val="00E17BF9"/>
    <w:rsid w:val="00E21740"/>
    <w:rsid w:val="00E3670D"/>
    <w:rsid w:val="00E36DF7"/>
    <w:rsid w:val="00E476E6"/>
    <w:rsid w:val="00E5371E"/>
    <w:rsid w:val="00E62AFC"/>
    <w:rsid w:val="00E6591E"/>
    <w:rsid w:val="00E65A5C"/>
    <w:rsid w:val="00E7320D"/>
    <w:rsid w:val="00E74054"/>
    <w:rsid w:val="00E740FD"/>
    <w:rsid w:val="00E9074A"/>
    <w:rsid w:val="00E9519A"/>
    <w:rsid w:val="00EA0D36"/>
    <w:rsid w:val="00EA2C86"/>
    <w:rsid w:val="00EA445A"/>
    <w:rsid w:val="00EA6455"/>
    <w:rsid w:val="00EB1CD5"/>
    <w:rsid w:val="00EC03FD"/>
    <w:rsid w:val="00EC6C6D"/>
    <w:rsid w:val="00ED023C"/>
    <w:rsid w:val="00ED410C"/>
    <w:rsid w:val="00ED7069"/>
    <w:rsid w:val="00ED7542"/>
    <w:rsid w:val="00EE63FF"/>
    <w:rsid w:val="00EE677B"/>
    <w:rsid w:val="00EE7A3B"/>
    <w:rsid w:val="00EF0AC7"/>
    <w:rsid w:val="00EF30F9"/>
    <w:rsid w:val="00EF4DD7"/>
    <w:rsid w:val="00F1412C"/>
    <w:rsid w:val="00F16457"/>
    <w:rsid w:val="00F16471"/>
    <w:rsid w:val="00F16EC5"/>
    <w:rsid w:val="00F17993"/>
    <w:rsid w:val="00F230D5"/>
    <w:rsid w:val="00F2402E"/>
    <w:rsid w:val="00F3511A"/>
    <w:rsid w:val="00F4079C"/>
    <w:rsid w:val="00F40CDC"/>
    <w:rsid w:val="00F46E7A"/>
    <w:rsid w:val="00F54AAA"/>
    <w:rsid w:val="00F61F2A"/>
    <w:rsid w:val="00F636F9"/>
    <w:rsid w:val="00F63B0D"/>
    <w:rsid w:val="00F65382"/>
    <w:rsid w:val="00F72BFE"/>
    <w:rsid w:val="00F77397"/>
    <w:rsid w:val="00F778E7"/>
    <w:rsid w:val="00F800A7"/>
    <w:rsid w:val="00F85951"/>
    <w:rsid w:val="00F94A95"/>
    <w:rsid w:val="00F97384"/>
    <w:rsid w:val="00F97E51"/>
    <w:rsid w:val="00FA219D"/>
    <w:rsid w:val="00FC0795"/>
    <w:rsid w:val="00FC2701"/>
    <w:rsid w:val="00FC59C9"/>
    <w:rsid w:val="00FD132D"/>
    <w:rsid w:val="00FD41F5"/>
    <w:rsid w:val="00FD6B6E"/>
    <w:rsid w:val="00FE73E8"/>
    <w:rsid w:val="00FE7A0B"/>
    <w:rsid w:val="00FF459C"/>
    <w:rsid w:val="00FF7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216DB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7172"/>
    <w:pPr>
      <w:jc w:val="both"/>
    </w:pPr>
    <w:rPr>
      <w:rFonts w:ascii="Times New Roman" w:eastAsia="Times New Roman" w:hAnsi="Times New Roman" w:cs="Calibri"/>
      <w:kern w:val="0"/>
      <w:sz w:val="22"/>
      <w:szCs w:val="21"/>
    </w:rPr>
  </w:style>
  <w:style w:type="paragraph" w:styleId="Heading1">
    <w:name w:val="heading 1"/>
    <w:aliases w:val="h1,h11,h12,h13,h14,h15,h16,h17,h111,h121,h131,h141,h151,h161,h18,h112,h122,h132,h142,h152,h162,h19,h113,h123,h133,h143,h153,h163,H1,app heading 1,l1,Memo Heading 1,Heading 1_a,NMP Heading 1,heading 1,Heading 1 Char,Alt+1,Alt+11,Alt+12,Alt+13"/>
    <w:basedOn w:val="Normal"/>
    <w:next w:val="Normal"/>
    <w:link w:val="Heading1Char1"/>
    <w:uiPriority w:val="99"/>
    <w:qFormat/>
    <w:rsid w:val="00E03E1D"/>
    <w:pPr>
      <w:keepNext/>
      <w:numPr>
        <w:numId w:val="1"/>
      </w:numPr>
      <w:autoSpaceDE w:val="0"/>
      <w:autoSpaceDN w:val="0"/>
      <w:adjustRightInd w:val="0"/>
      <w:snapToGrid w:val="0"/>
      <w:spacing w:before="120" w:after="120"/>
      <w:outlineLvl w:val="0"/>
    </w:pPr>
    <w:rPr>
      <w:rFonts w:cs="Times New Roman"/>
      <w:b/>
      <w:bCs/>
      <w:sz w:val="28"/>
      <w:szCs w:val="28"/>
      <w:lang w:eastAsia="en-US"/>
    </w:rPr>
  </w:style>
  <w:style w:type="paragraph" w:styleId="Heading2">
    <w:name w:val="heading 2"/>
    <w:aliases w:val="H2,h2,DO NOT USE_h2,h21,2,Header 2,Header2,22,heading2,2nd level,UNDERRUBRIK 1-2,H21,H22,H23,H24,H25,R2,E2,†berschrift 2,õberschrift 2,Head2A,Heading 2 Char,插图,Heading 2 3GPP,제목 2"/>
    <w:basedOn w:val="Normal"/>
    <w:next w:val="Normal"/>
    <w:link w:val="Heading2Char1"/>
    <w:uiPriority w:val="9"/>
    <w:qFormat/>
    <w:rsid w:val="00E03E1D"/>
    <w:pPr>
      <w:keepNext/>
      <w:numPr>
        <w:ilvl w:val="1"/>
        <w:numId w:val="1"/>
      </w:numPr>
      <w:tabs>
        <w:tab w:val="clear" w:pos="860"/>
        <w:tab w:val="num" w:pos="576"/>
      </w:tabs>
      <w:autoSpaceDE w:val="0"/>
      <w:autoSpaceDN w:val="0"/>
      <w:adjustRightInd w:val="0"/>
      <w:snapToGrid w:val="0"/>
      <w:spacing w:before="120" w:after="120"/>
      <w:ind w:left="576"/>
      <w:outlineLvl w:val="1"/>
    </w:pPr>
    <w:rPr>
      <w:rFonts w:cs="Times New Roman"/>
      <w:b/>
      <w:bCs/>
      <w:sz w:val="24"/>
      <w:szCs w:val="22"/>
      <w:lang w:eastAsia="en-US"/>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E03E1D"/>
    <w:pPr>
      <w:keepNext/>
      <w:numPr>
        <w:ilvl w:val="2"/>
        <w:numId w:val="1"/>
      </w:numPr>
      <w:autoSpaceDE w:val="0"/>
      <w:autoSpaceDN w:val="0"/>
      <w:adjustRightInd w:val="0"/>
      <w:snapToGrid w:val="0"/>
      <w:spacing w:before="120" w:after="120"/>
      <w:outlineLvl w:val="2"/>
    </w:pPr>
    <w:rPr>
      <w:rFonts w:cs="Times New Roman"/>
      <w:b/>
      <w:szCs w:val="22"/>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E03E1D"/>
    <w:pPr>
      <w:keepNext/>
      <w:numPr>
        <w:ilvl w:val="3"/>
        <w:numId w:val="1"/>
      </w:numPr>
      <w:tabs>
        <w:tab w:val="clear" w:pos="864"/>
      </w:tabs>
      <w:autoSpaceDE w:val="0"/>
      <w:autoSpaceDN w:val="0"/>
      <w:adjustRightInd w:val="0"/>
      <w:snapToGrid w:val="0"/>
      <w:spacing w:before="120" w:after="120"/>
      <w:ind w:left="720" w:hanging="720"/>
      <w:outlineLvl w:val="3"/>
    </w:pPr>
    <w:rPr>
      <w:rFonts w:cs="Times New Roman"/>
      <w:b/>
      <w:bCs/>
      <w:szCs w:val="28"/>
      <w:lang w:eastAsia="en-US"/>
    </w:rPr>
  </w:style>
  <w:style w:type="paragraph" w:styleId="Heading5">
    <w:name w:val="heading 5"/>
    <w:aliases w:val="h5,Heading5,H5"/>
    <w:basedOn w:val="Normal"/>
    <w:next w:val="Normal"/>
    <w:link w:val="Heading5Char"/>
    <w:uiPriority w:val="9"/>
    <w:qFormat/>
    <w:rsid w:val="00E03E1D"/>
    <w:pPr>
      <w:keepNext/>
      <w:numPr>
        <w:ilvl w:val="4"/>
        <w:numId w:val="1"/>
      </w:numPr>
      <w:tabs>
        <w:tab w:val="clear" w:pos="1008"/>
      </w:tabs>
      <w:autoSpaceDE w:val="0"/>
      <w:autoSpaceDN w:val="0"/>
      <w:adjustRightInd w:val="0"/>
      <w:snapToGrid w:val="0"/>
      <w:spacing w:before="120" w:after="120"/>
      <w:ind w:left="720" w:hanging="720"/>
      <w:outlineLvl w:val="4"/>
    </w:pPr>
    <w:rPr>
      <w:rFonts w:cs="Times New Roman"/>
      <w:b/>
      <w:bCs/>
      <w:i/>
      <w:iCs/>
      <w:szCs w:val="26"/>
      <w:lang w:eastAsia="en-US"/>
    </w:rPr>
  </w:style>
  <w:style w:type="paragraph" w:styleId="Heading6">
    <w:name w:val="heading 6"/>
    <w:aliases w:val="h6"/>
    <w:basedOn w:val="Normal"/>
    <w:next w:val="Normal"/>
    <w:link w:val="Heading6Char"/>
    <w:qFormat/>
    <w:rsid w:val="00E03E1D"/>
    <w:pPr>
      <w:numPr>
        <w:ilvl w:val="5"/>
        <w:numId w:val="1"/>
      </w:numPr>
      <w:autoSpaceDE w:val="0"/>
      <w:autoSpaceDN w:val="0"/>
      <w:adjustRightInd w:val="0"/>
      <w:snapToGrid w:val="0"/>
      <w:spacing w:before="240" w:after="60"/>
      <w:outlineLvl w:val="5"/>
    </w:pPr>
    <w:rPr>
      <w:rFonts w:cs="Times New Roman"/>
      <w:b/>
      <w:bCs/>
      <w:szCs w:val="22"/>
      <w:lang w:eastAsia="en-US"/>
    </w:rPr>
  </w:style>
  <w:style w:type="paragraph" w:styleId="Heading7">
    <w:name w:val="heading 7"/>
    <w:basedOn w:val="Normal"/>
    <w:next w:val="Normal"/>
    <w:link w:val="Heading7Char"/>
    <w:uiPriority w:val="9"/>
    <w:qFormat/>
    <w:rsid w:val="00E03E1D"/>
    <w:pPr>
      <w:numPr>
        <w:ilvl w:val="6"/>
        <w:numId w:val="1"/>
      </w:numPr>
      <w:autoSpaceDE w:val="0"/>
      <w:autoSpaceDN w:val="0"/>
      <w:adjustRightInd w:val="0"/>
      <w:snapToGrid w:val="0"/>
      <w:spacing w:before="240" w:after="60"/>
      <w:outlineLvl w:val="6"/>
    </w:pPr>
    <w:rPr>
      <w:rFonts w:cs="Times New Roman"/>
      <w:sz w:val="24"/>
      <w:szCs w:val="24"/>
      <w:lang w:eastAsia="en-US"/>
    </w:rPr>
  </w:style>
  <w:style w:type="paragraph" w:styleId="Heading8">
    <w:name w:val="heading 8"/>
    <w:aliases w:val="Table Heading"/>
    <w:basedOn w:val="Normal"/>
    <w:next w:val="Normal"/>
    <w:link w:val="Heading8Char"/>
    <w:uiPriority w:val="9"/>
    <w:qFormat/>
    <w:rsid w:val="00E03E1D"/>
    <w:pPr>
      <w:numPr>
        <w:ilvl w:val="7"/>
        <w:numId w:val="1"/>
      </w:numPr>
      <w:autoSpaceDE w:val="0"/>
      <w:autoSpaceDN w:val="0"/>
      <w:adjustRightInd w:val="0"/>
      <w:snapToGrid w:val="0"/>
      <w:spacing w:before="240" w:after="60"/>
      <w:outlineLvl w:val="7"/>
    </w:pPr>
    <w:rPr>
      <w:rFonts w:cs="Times New Roman"/>
      <w:i/>
      <w:iCs/>
      <w:sz w:val="24"/>
      <w:szCs w:val="24"/>
      <w:lang w:eastAsia="en-US"/>
    </w:rPr>
  </w:style>
  <w:style w:type="paragraph" w:styleId="Heading9">
    <w:name w:val="heading 9"/>
    <w:aliases w:val="Figure Heading,FH"/>
    <w:basedOn w:val="Normal"/>
    <w:next w:val="Normal"/>
    <w:link w:val="Heading9Char"/>
    <w:uiPriority w:val="9"/>
    <w:qFormat/>
    <w:rsid w:val="00E03E1D"/>
    <w:pPr>
      <w:numPr>
        <w:ilvl w:val="8"/>
        <w:numId w:val="1"/>
      </w:numPr>
      <w:autoSpaceDE w:val="0"/>
      <w:autoSpaceDN w:val="0"/>
      <w:adjustRightInd w:val="0"/>
      <w:snapToGrid w:val="0"/>
      <w:spacing w:before="240" w:after="60"/>
      <w:outlineLvl w:val="8"/>
    </w:pPr>
    <w:rPr>
      <w:rFonts w:ascii="Arial" w:hAnsi="Arial" w:cs="Arial"/>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1 Char,h12 Char,h13 Char,h14 Char,h15 Char,h16 Char,h17 Char,h111 Char,h121 Char,h131 Char,h141 Char,h151 Char,h161 Char,h18 Char,h112 Char,h122 Char,h132 Char,h142 Char,h152 Char,h162 Char,h19 Char,h113 Char,h123 Char,H1 Char"/>
    <w:basedOn w:val="DefaultParagraphFont"/>
    <w:link w:val="Heading1"/>
    <w:uiPriority w:val="99"/>
    <w:rsid w:val="00E03E1D"/>
    <w:rPr>
      <w:rFonts w:ascii="Times New Roman" w:eastAsia="Times New Roman" w:hAnsi="Times New Roman" w:cs="Times New Roman"/>
      <w:b/>
      <w:bCs/>
      <w:kern w:val="0"/>
      <w:sz w:val="28"/>
      <w:szCs w:val="28"/>
      <w:lang w:eastAsia="en-US"/>
    </w:rPr>
  </w:style>
  <w:style w:type="character" w:customStyle="1" w:styleId="Heading2Char1">
    <w:name w:val="Heading 2 Char1"/>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E03E1D"/>
    <w:rPr>
      <w:rFonts w:ascii="Times New Roman" w:eastAsia="Times New Roman" w:hAnsi="Times New Roman" w:cs="Times New Roman"/>
      <w:b/>
      <w:bCs/>
      <w:kern w:val="0"/>
      <w:sz w:val="24"/>
      <w:lang w:eastAsia="en-US"/>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E03E1D"/>
    <w:rPr>
      <w:rFonts w:ascii="Times New Roman" w:eastAsia="Times New Roma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03E1D"/>
    <w:rPr>
      <w:rFonts w:ascii="Times New Roman" w:eastAsia="Times New Roma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E03E1D"/>
    <w:rPr>
      <w:rFonts w:ascii="Times New Roman" w:eastAsia="Times New Roma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E03E1D"/>
    <w:rPr>
      <w:rFonts w:ascii="Times New Roman" w:eastAsia="Times New Roman" w:hAnsi="Times New Roman" w:cs="Times New Roman"/>
      <w:b/>
      <w:bCs/>
      <w:kern w:val="0"/>
      <w:sz w:val="22"/>
      <w:lang w:eastAsia="en-US"/>
    </w:rPr>
  </w:style>
  <w:style w:type="character" w:customStyle="1" w:styleId="Heading7Char">
    <w:name w:val="Heading 7 Char"/>
    <w:basedOn w:val="DefaultParagraphFont"/>
    <w:link w:val="Heading7"/>
    <w:uiPriority w:val="9"/>
    <w:rsid w:val="00E03E1D"/>
    <w:rPr>
      <w:rFonts w:ascii="Times New Roman" w:eastAsia="Times New Roma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E03E1D"/>
    <w:rPr>
      <w:rFonts w:ascii="Times New Roman" w:eastAsia="Times New Roma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E03E1D"/>
    <w:rPr>
      <w:rFonts w:ascii="Arial" w:eastAsia="Times New Roman" w:hAnsi="Arial" w:cs="Arial"/>
      <w:kern w:val="0"/>
      <w:sz w:val="22"/>
      <w:lang w:eastAsia="en-US"/>
    </w:rPr>
  </w:style>
  <w:style w:type="paragraph" w:customStyle="1" w:styleId="References">
    <w:name w:val="References"/>
    <w:basedOn w:val="Normal"/>
    <w:qFormat/>
    <w:rsid w:val="00CF100E"/>
    <w:pPr>
      <w:numPr>
        <w:numId w:val="2"/>
      </w:numPr>
      <w:autoSpaceDE w:val="0"/>
      <w:autoSpaceDN w:val="0"/>
      <w:snapToGrid w:val="0"/>
      <w:spacing w:after="60"/>
    </w:pPr>
    <w:rPr>
      <w:rFonts w:cs="Times New Roman"/>
      <w:sz w:val="20"/>
      <w:szCs w:val="16"/>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F100E"/>
    <w:pPr>
      <w:ind w:firstLineChars="200" w:firstLine="420"/>
    </w:pPr>
  </w:style>
  <w:style w:type="paragraph" w:styleId="Header">
    <w:name w:val="header"/>
    <w:basedOn w:val="Normal"/>
    <w:link w:val="HeaderChar"/>
    <w:uiPriority w:val="99"/>
    <w:unhideWhenUsed/>
    <w:rsid w:val="00556F5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56F5B"/>
    <w:rPr>
      <w:rFonts w:ascii="Calibri" w:eastAsia="SimSun" w:hAnsi="Calibri" w:cs="Calibri"/>
      <w:kern w:val="0"/>
      <w:sz w:val="18"/>
      <w:szCs w:val="18"/>
    </w:rPr>
  </w:style>
  <w:style w:type="paragraph" w:styleId="Footer">
    <w:name w:val="footer"/>
    <w:basedOn w:val="Normal"/>
    <w:link w:val="FooterChar"/>
    <w:uiPriority w:val="99"/>
    <w:unhideWhenUsed/>
    <w:rsid w:val="00556F5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556F5B"/>
    <w:rPr>
      <w:rFonts w:ascii="Calibri" w:eastAsia="SimSun" w:hAnsi="Calibri" w:cs="Calibri"/>
      <w:kern w:val="0"/>
      <w:sz w:val="18"/>
      <w:szCs w:val="18"/>
    </w:rPr>
  </w:style>
  <w:style w:type="table" w:styleId="TableGrid">
    <w:name w:val="Table Grid"/>
    <w:basedOn w:val="TableNormal"/>
    <w:uiPriority w:val="39"/>
    <w:rsid w:val="00672C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qFormat/>
    <w:rsid w:val="008A4668"/>
    <w:pPr>
      <w:jc w:val="left"/>
    </w:pPr>
  </w:style>
  <w:style w:type="character" w:customStyle="1" w:styleId="CommentTextChar">
    <w:name w:val="Comment Text Char"/>
    <w:basedOn w:val="DefaultParagraphFont"/>
    <w:link w:val="CommentText"/>
    <w:uiPriority w:val="99"/>
    <w:qFormat/>
    <w:rsid w:val="008A4668"/>
    <w:rPr>
      <w:rFonts w:ascii="Calibri" w:eastAsia="SimSun" w:hAnsi="Calibri" w:cs="Calibri"/>
      <w:kern w:val="0"/>
      <w:szCs w:val="21"/>
    </w:rPr>
  </w:style>
  <w:style w:type="character" w:styleId="CommentReference">
    <w:name w:val="annotation reference"/>
    <w:qFormat/>
    <w:rsid w:val="008A4668"/>
    <w:rPr>
      <w:sz w:val="16"/>
      <w:szCs w:val="16"/>
    </w:rPr>
  </w:style>
  <w:style w:type="paragraph" w:styleId="BalloonText">
    <w:name w:val="Balloon Text"/>
    <w:basedOn w:val="Normal"/>
    <w:link w:val="BalloonTextChar"/>
    <w:uiPriority w:val="99"/>
    <w:semiHidden/>
    <w:unhideWhenUsed/>
    <w:rsid w:val="008A4668"/>
    <w:rPr>
      <w:sz w:val="18"/>
      <w:szCs w:val="18"/>
    </w:rPr>
  </w:style>
  <w:style w:type="character" w:customStyle="1" w:styleId="BalloonTextChar">
    <w:name w:val="Balloon Text Char"/>
    <w:basedOn w:val="DefaultParagraphFont"/>
    <w:link w:val="BalloonText"/>
    <w:uiPriority w:val="99"/>
    <w:semiHidden/>
    <w:rsid w:val="008A4668"/>
    <w:rPr>
      <w:rFonts w:ascii="Calibri" w:eastAsia="SimSun" w:hAnsi="Calibri" w:cs="Calibri"/>
      <w:kern w:val="0"/>
      <w:sz w:val="18"/>
      <w:szCs w:val="18"/>
    </w:rPr>
  </w:style>
  <w:style w:type="paragraph" w:styleId="CommentSubject">
    <w:name w:val="annotation subject"/>
    <w:basedOn w:val="CommentText"/>
    <w:next w:val="CommentText"/>
    <w:link w:val="CommentSubjectChar"/>
    <w:uiPriority w:val="99"/>
    <w:semiHidden/>
    <w:unhideWhenUsed/>
    <w:rsid w:val="00A42680"/>
    <w:rPr>
      <w:b/>
      <w:bCs/>
    </w:rPr>
  </w:style>
  <w:style w:type="character" w:customStyle="1" w:styleId="CommentSubjectChar">
    <w:name w:val="Comment Subject Char"/>
    <w:basedOn w:val="CommentTextChar"/>
    <w:link w:val="CommentSubject"/>
    <w:uiPriority w:val="99"/>
    <w:semiHidden/>
    <w:rsid w:val="00A42680"/>
    <w:rPr>
      <w:rFonts w:ascii="Calibri" w:eastAsia="SimSun" w:hAnsi="Calibri" w:cs="Calibri"/>
      <w:b/>
      <w:bCs/>
      <w:kern w:val="0"/>
      <w:szCs w:val="21"/>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uiPriority w:val="35"/>
    <w:qFormat/>
    <w:rsid w:val="00974FED"/>
    <w:pPr>
      <w:autoSpaceDE w:val="0"/>
      <w:autoSpaceDN w:val="0"/>
      <w:adjustRightInd w:val="0"/>
      <w:snapToGrid w:val="0"/>
      <w:spacing w:after="120"/>
      <w:jc w:val="center"/>
    </w:pPr>
    <w:rPr>
      <w:rFonts w:eastAsia="SimSu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uiPriority w:val="35"/>
    <w:rsid w:val="00974FED"/>
    <w:rPr>
      <w:rFonts w:ascii="Times New Roman" w:eastAsia="SimSun" w:hAnsi="Times New Roman" w:cs="Times New Roman"/>
      <w:b/>
      <w:bCs/>
      <w:kern w:val="0"/>
      <w:sz w:val="20"/>
      <w:szCs w:val="20"/>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31325"/>
    <w:rPr>
      <w:rFonts w:ascii="Times New Roman" w:eastAsia="Times New Roman" w:hAnsi="Times New Roman" w:cs="Calibri"/>
      <w:kern w:val="0"/>
      <w:sz w:val="22"/>
      <w:szCs w:val="21"/>
    </w:rPr>
  </w:style>
  <w:style w:type="character" w:styleId="Strong">
    <w:name w:val="Strong"/>
    <w:uiPriority w:val="22"/>
    <w:qFormat/>
    <w:rsid w:val="00431325"/>
    <w:rPr>
      <w:b/>
      <w:bCs/>
    </w:rPr>
  </w:style>
  <w:style w:type="character" w:customStyle="1" w:styleId="apple-converted-space">
    <w:name w:val="apple-converted-space"/>
    <w:qFormat/>
    <w:rsid w:val="00431325"/>
  </w:style>
  <w:style w:type="paragraph" w:styleId="NormalWeb">
    <w:name w:val="Normal (Web)"/>
    <w:basedOn w:val="Normal"/>
    <w:uiPriority w:val="99"/>
    <w:qFormat/>
    <w:rsid w:val="00057EAF"/>
    <w:pPr>
      <w:spacing w:before="100" w:beforeAutospacing="1" w:after="100" w:afterAutospacing="1"/>
      <w:ind w:left="720" w:hanging="720"/>
      <w:jc w:val="left"/>
    </w:pPr>
    <w:rPr>
      <w:rFonts w:ascii="Arial" w:eastAsia="SimSun" w:hAnsi="Arial" w:cs="Arial"/>
      <w:color w:val="493118"/>
      <w:sz w:val="18"/>
      <w:szCs w:val="18"/>
    </w:rPr>
  </w:style>
  <w:style w:type="paragraph" w:customStyle="1" w:styleId="xmsonormal">
    <w:name w:val="xmsonormal"/>
    <w:basedOn w:val="Normal"/>
    <w:uiPriority w:val="99"/>
    <w:rsid w:val="00057EAF"/>
    <w:pPr>
      <w:spacing w:before="100" w:beforeAutospacing="1" w:after="100" w:afterAutospacing="1"/>
      <w:jc w:val="left"/>
    </w:pPr>
    <w:rPr>
      <w:rFonts w:eastAsia="SimSun" w:cs="Times New Roman"/>
      <w:sz w:val="24"/>
      <w:szCs w:val="24"/>
    </w:rPr>
  </w:style>
  <w:style w:type="character" w:customStyle="1" w:styleId="msoins0">
    <w:name w:val="msoins"/>
    <w:rsid w:val="00057EAF"/>
  </w:style>
  <w:style w:type="paragraph" w:customStyle="1" w:styleId="Agreement">
    <w:name w:val="Agreement"/>
    <w:basedOn w:val="Normal"/>
    <w:next w:val="Normal"/>
    <w:uiPriority w:val="99"/>
    <w:qFormat/>
    <w:rsid w:val="00A4737D"/>
    <w:pPr>
      <w:numPr>
        <w:numId w:val="37"/>
      </w:numPr>
      <w:tabs>
        <w:tab w:val="clear" w:pos="4046"/>
        <w:tab w:val="num" w:pos="1069"/>
      </w:tabs>
      <w:spacing w:before="60"/>
      <w:ind w:left="1069"/>
      <w:jc w:val="left"/>
    </w:pPr>
    <w:rPr>
      <w:rFonts w:ascii="Arial" w:eastAsia="MS Mincho" w:hAnsi="Arial" w:cs="Times New Roman"/>
      <w:b/>
      <w:sz w:val="20"/>
      <w:szCs w:val="24"/>
      <w:lang w:val="en-GB" w:eastAsia="en-GB"/>
    </w:rPr>
  </w:style>
  <w:style w:type="table" w:customStyle="1" w:styleId="TableGrid1">
    <w:name w:val="Table Grid1"/>
    <w:basedOn w:val="TableNormal"/>
    <w:next w:val="TableGrid"/>
    <w:uiPriority w:val="39"/>
    <w:rsid w:val="00C470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838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865190">
      <w:bodyDiv w:val="1"/>
      <w:marLeft w:val="0"/>
      <w:marRight w:val="0"/>
      <w:marTop w:val="0"/>
      <w:marBottom w:val="0"/>
      <w:divBdr>
        <w:top w:val="none" w:sz="0" w:space="0" w:color="auto"/>
        <w:left w:val="none" w:sz="0" w:space="0" w:color="auto"/>
        <w:bottom w:val="none" w:sz="0" w:space="0" w:color="auto"/>
        <w:right w:val="none" w:sz="0" w:space="0" w:color="auto"/>
      </w:divBdr>
    </w:div>
    <w:div w:id="475420846">
      <w:bodyDiv w:val="1"/>
      <w:marLeft w:val="0"/>
      <w:marRight w:val="0"/>
      <w:marTop w:val="0"/>
      <w:marBottom w:val="0"/>
      <w:divBdr>
        <w:top w:val="none" w:sz="0" w:space="0" w:color="auto"/>
        <w:left w:val="none" w:sz="0" w:space="0" w:color="auto"/>
        <w:bottom w:val="none" w:sz="0" w:space="0" w:color="auto"/>
        <w:right w:val="none" w:sz="0" w:space="0" w:color="auto"/>
      </w:divBdr>
    </w:div>
    <w:div w:id="479274239">
      <w:bodyDiv w:val="1"/>
      <w:marLeft w:val="0"/>
      <w:marRight w:val="0"/>
      <w:marTop w:val="0"/>
      <w:marBottom w:val="0"/>
      <w:divBdr>
        <w:top w:val="none" w:sz="0" w:space="0" w:color="auto"/>
        <w:left w:val="none" w:sz="0" w:space="0" w:color="auto"/>
        <w:bottom w:val="none" w:sz="0" w:space="0" w:color="auto"/>
        <w:right w:val="none" w:sz="0" w:space="0" w:color="auto"/>
      </w:divBdr>
    </w:div>
    <w:div w:id="498421729">
      <w:bodyDiv w:val="1"/>
      <w:marLeft w:val="0"/>
      <w:marRight w:val="0"/>
      <w:marTop w:val="0"/>
      <w:marBottom w:val="0"/>
      <w:divBdr>
        <w:top w:val="none" w:sz="0" w:space="0" w:color="auto"/>
        <w:left w:val="none" w:sz="0" w:space="0" w:color="auto"/>
        <w:bottom w:val="none" w:sz="0" w:space="0" w:color="auto"/>
        <w:right w:val="none" w:sz="0" w:space="0" w:color="auto"/>
      </w:divBdr>
    </w:div>
    <w:div w:id="506600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802</Words>
  <Characters>4572</Characters>
  <Application>Microsoft Office Word</Application>
  <DocSecurity>0</DocSecurity>
  <Lines>38</Lines>
  <Paragraphs>10</Paragraphs>
  <ScaleCrop>false</ScaleCrop>
  <Company/>
  <LinksUpToDate>false</LinksUpToDate>
  <CharactersWithSpaces>5364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2021-08-06T14:14:00Z</dcterms:created>
  <dcterms:modified xsi:type="dcterms:W3CDTF">2021-08-06T21:56:00Z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1628259254</vt:lpwstr>
  </property>
</Properties>
</file>