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65CFE97D" w14:textId="3AC39B02" w:rsidR="0024235B" w:rsidRPr="0052548E" w:rsidRDefault="0024235B" w:rsidP="0024235B">
      <w:pPr>
        <w:tabs>
          <w:tab w:val="center" w:pos="4536"/>
          <w:tab w:val="right" w:pos="8280"/>
          <w:tab w:val="right" w:pos="9639"/>
        </w:tabs>
        <w:spacing w:after="0"/>
        <w:ind w:right="2"/>
        <w:rPr>
          <w:rFonts w:ascii="Arial" w:hAnsi="Arial" w:cs="Arial"/>
          <w:b/>
          <w:bCs/>
          <w:sz w:val="28"/>
        </w:rPr>
      </w:pPr>
      <w:r w:rsidRPr="0052548E">
        <w:rPr>
          <w:rFonts w:ascii="Arial" w:hAnsi="Arial" w:cs="Arial"/>
          <w:b/>
          <w:bCs/>
          <w:sz w:val="28"/>
        </w:rPr>
        <w:t xml:space="preserve">3GPP TSG RAN WG1 </w:t>
      </w:r>
      <w:r>
        <w:rPr>
          <w:rFonts w:ascii="Arial" w:hAnsi="Arial" w:cs="Arial"/>
          <w:b/>
          <w:bCs/>
          <w:sz w:val="28"/>
        </w:rPr>
        <w:t>#10</w:t>
      </w:r>
      <w:r w:rsidR="002F0D65">
        <w:rPr>
          <w:rFonts w:ascii="Arial" w:hAnsi="Arial" w:cs="Arial"/>
          <w:b/>
          <w:bCs/>
          <w:sz w:val="28"/>
        </w:rPr>
        <w:t>6</w:t>
      </w:r>
      <w:r w:rsidR="00AF44F2">
        <w:rPr>
          <w:rFonts w:ascii="Arial" w:hAnsi="Arial" w:cs="Arial"/>
          <w:b/>
          <w:bCs/>
          <w:sz w:val="28"/>
        </w:rPr>
        <w:t>-e</w:t>
      </w:r>
      <w:r w:rsidR="00682841">
        <w:rPr>
          <w:rFonts w:ascii="Arial" w:hAnsi="Arial" w:cs="Arial"/>
          <w:b/>
          <w:bCs/>
          <w:sz w:val="28"/>
        </w:rPr>
        <w:t xml:space="preserve">                                                        </w:t>
      </w:r>
      <w:r w:rsidR="00CA13E8">
        <w:rPr>
          <w:rFonts w:ascii="Arial" w:hAnsi="Arial" w:cs="Arial"/>
          <w:b/>
          <w:bCs/>
          <w:sz w:val="28"/>
        </w:rPr>
        <w:t xml:space="preserve">      </w:t>
      </w:r>
      <w:r w:rsidR="002F0D65" w:rsidRPr="002F0D65">
        <w:rPr>
          <w:rFonts w:ascii="Arial" w:hAnsi="Arial" w:cs="Arial"/>
          <w:b/>
          <w:bCs/>
          <w:sz w:val="28"/>
        </w:rPr>
        <w:t>R1-2107570</w:t>
      </w:r>
    </w:p>
    <w:p w14:paraId="743D4376" w14:textId="5483B50A" w:rsidR="0024235B" w:rsidRPr="009513AC" w:rsidRDefault="0024235B" w:rsidP="0024235B">
      <w:pPr>
        <w:tabs>
          <w:tab w:val="center" w:pos="4536"/>
          <w:tab w:val="right" w:pos="9072"/>
        </w:tabs>
        <w:spacing w:after="0"/>
        <w:rPr>
          <w:rFonts w:ascii="Arial" w:eastAsia="MS Mincho" w:hAnsi="Arial" w:cs="Arial"/>
          <w:b/>
          <w:bCs/>
          <w:sz w:val="28"/>
          <w:lang w:eastAsia="ja-JP"/>
        </w:rPr>
      </w:pPr>
      <w:r>
        <w:rPr>
          <w:rFonts w:ascii="Arial" w:eastAsia="MS Mincho" w:hAnsi="Arial" w:cs="Arial"/>
          <w:b/>
          <w:bCs/>
          <w:sz w:val="28"/>
          <w:lang w:eastAsia="ja-JP"/>
        </w:rPr>
        <w:t xml:space="preserve">e-Meeting, </w:t>
      </w:r>
      <w:r w:rsidR="002F0D65">
        <w:rPr>
          <w:rFonts w:ascii="Arial" w:eastAsia="MS Mincho" w:hAnsi="Arial" w:cs="Arial"/>
          <w:b/>
          <w:bCs/>
          <w:sz w:val="28"/>
          <w:lang w:eastAsia="ja-JP"/>
        </w:rPr>
        <w:t>August</w:t>
      </w:r>
      <w:r w:rsidR="00283CC3">
        <w:rPr>
          <w:rFonts w:ascii="Arial" w:eastAsia="MS Mincho" w:hAnsi="Arial" w:cs="Arial"/>
          <w:b/>
          <w:bCs/>
          <w:sz w:val="28"/>
          <w:lang w:eastAsia="ja-JP"/>
        </w:rPr>
        <w:t xml:space="preserve"> 1</w:t>
      </w:r>
      <w:r w:rsidR="002F0D65">
        <w:rPr>
          <w:rFonts w:ascii="Arial" w:eastAsia="MS Mincho" w:hAnsi="Arial" w:cs="Arial"/>
          <w:b/>
          <w:bCs/>
          <w:sz w:val="28"/>
          <w:lang w:eastAsia="ja-JP"/>
        </w:rPr>
        <w:t>6</w:t>
      </w:r>
      <w:r w:rsidR="00283CC3" w:rsidRPr="00283CC3">
        <w:rPr>
          <w:rFonts w:ascii="Arial" w:eastAsia="MS Mincho" w:hAnsi="Arial" w:cs="Arial"/>
          <w:b/>
          <w:bCs/>
          <w:sz w:val="28"/>
          <w:vertAlign w:val="superscript"/>
          <w:lang w:eastAsia="ja-JP"/>
        </w:rPr>
        <w:t>th</w:t>
      </w:r>
      <w:r w:rsidR="00283CC3">
        <w:rPr>
          <w:rFonts w:ascii="Arial" w:eastAsia="MS Mincho" w:hAnsi="Arial" w:cs="Arial"/>
          <w:b/>
          <w:bCs/>
          <w:sz w:val="28"/>
          <w:lang w:eastAsia="ja-JP"/>
        </w:rPr>
        <w:t xml:space="preserve"> </w:t>
      </w:r>
      <w:r w:rsidR="00EE03F1" w:rsidRPr="00B502E8">
        <w:rPr>
          <w:rFonts w:ascii="Arial" w:eastAsia="MS Mincho" w:hAnsi="Arial" w:cs="Arial"/>
          <w:b/>
          <w:bCs/>
          <w:sz w:val="28"/>
          <w:lang w:eastAsia="ja-JP"/>
        </w:rPr>
        <w:t xml:space="preserve">– </w:t>
      </w:r>
      <w:r w:rsidR="00283CC3">
        <w:rPr>
          <w:rFonts w:ascii="Arial" w:eastAsia="MS Mincho" w:hAnsi="Arial" w:cs="Arial"/>
          <w:b/>
          <w:bCs/>
          <w:sz w:val="28"/>
          <w:lang w:eastAsia="ja-JP"/>
        </w:rPr>
        <w:t>2</w:t>
      </w:r>
      <w:r w:rsidR="00535D4C">
        <w:rPr>
          <w:rFonts w:ascii="Arial" w:eastAsia="MS Mincho" w:hAnsi="Arial" w:cs="Arial"/>
          <w:b/>
          <w:bCs/>
          <w:sz w:val="28"/>
          <w:lang w:eastAsia="ja-JP"/>
        </w:rPr>
        <w:t>7</w:t>
      </w:r>
      <w:r w:rsidR="0001166A" w:rsidRPr="00283CC3">
        <w:rPr>
          <w:rFonts w:ascii="Arial" w:eastAsia="MS Mincho" w:hAnsi="Arial" w:cs="Arial"/>
          <w:b/>
          <w:bCs/>
          <w:sz w:val="28"/>
          <w:vertAlign w:val="superscript"/>
          <w:lang w:eastAsia="ja-JP"/>
        </w:rPr>
        <w:t>th</w:t>
      </w:r>
      <w:r w:rsidR="00EE03F1" w:rsidRPr="00B502E8">
        <w:rPr>
          <w:rFonts w:ascii="Arial" w:eastAsia="MS Mincho" w:hAnsi="Arial" w:cs="Arial"/>
          <w:b/>
          <w:bCs/>
          <w:sz w:val="28"/>
          <w:lang w:eastAsia="ja-JP"/>
        </w:rPr>
        <w:t>, 202</w:t>
      </w:r>
      <w:r w:rsidR="00A45F75">
        <w:rPr>
          <w:rFonts w:ascii="Arial" w:eastAsia="MS Mincho" w:hAnsi="Arial" w:cs="Arial"/>
          <w:b/>
          <w:bCs/>
          <w:sz w:val="28"/>
          <w:lang w:eastAsia="ja-JP"/>
        </w:rPr>
        <w:t>1</w:t>
      </w:r>
    </w:p>
    <w:p w14:paraId="6D520B03" w14:textId="77777777" w:rsidR="0024235B" w:rsidRPr="00A44DC8" w:rsidRDefault="0024235B" w:rsidP="0024235B">
      <w:pPr>
        <w:tabs>
          <w:tab w:val="left" w:pos="1701"/>
          <w:tab w:val="right" w:pos="9072"/>
          <w:tab w:val="right" w:pos="10206"/>
        </w:tabs>
        <w:rPr>
          <w:rFonts w:ascii="Arial" w:hAnsi="Arial"/>
          <w:b/>
          <w:sz w:val="18"/>
        </w:rPr>
      </w:pPr>
    </w:p>
    <w:p w14:paraId="41D2AC97" w14:textId="76A57F19" w:rsidR="00FD75AC" w:rsidRPr="00E95DAE" w:rsidRDefault="00FD75AC" w:rsidP="00FD75AC">
      <w:pPr>
        <w:tabs>
          <w:tab w:val="left" w:pos="1985"/>
        </w:tabs>
        <w:spacing w:after="0"/>
        <w:jc w:val="both"/>
        <w:rPr>
          <w:rFonts w:ascii="Arial" w:hAnsi="Arial" w:cs="Arial"/>
          <w:sz w:val="24"/>
          <w:lang w:val="en-US"/>
        </w:rPr>
      </w:pPr>
      <w:r w:rsidRPr="00E95DAE">
        <w:rPr>
          <w:rFonts w:ascii="Arial" w:hAnsi="Arial" w:cs="Arial"/>
          <w:b/>
          <w:sz w:val="24"/>
          <w:lang w:val="en-US"/>
        </w:rPr>
        <w:t>Source:</w:t>
      </w:r>
      <w:r w:rsidRPr="00E95DAE">
        <w:rPr>
          <w:rFonts w:ascii="Arial" w:hAnsi="Arial" w:cs="Arial"/>
          <w:b/>
          <w:sz w:val="24"/>
          <w:lang w:val="en-US"/>
        </w:rPr>
        <w:tab/>
      </w:r>
      <w:r w:rsidRPr="00CC70F8">
        <w:rPr>
          <w:rFonts w:ascii="Arial" w:hAnsi="Arial" w:cs="Arial"/>
          <w:b/>
          <w:sz w:val="24"/>
        </w:rPr>
        <w:t>Intel</w:t>
      </w:r>
      <w:r>
        <w:rPr>
          <w:rFonts w:ascii="Arial" w:hAnsi="Arial" w:cs="Arial"/>
          <w:b/>
          <w:sz w:val="24"/>
        </w:rPr>
        <w:t xml:space="preserve"> Corporation</w:t>
      </w:r>
    </w:p>
    <w:p w14:paraId="4A33E6BC" w14:textId="1531AE6B" w:rsidR="001466F4" w:rsidRPr="00A61344" w:rsidRDefault="001466F4" w:rsidP="001466F4">
      <w:pPr>
        <w:spacing w:after="0"/>
        <w:ind w:left="1983" w:hangingChars="823" w:hanging="1983"/>
        <w:jc w:val="both"/>
        <w:rPr>
          <w:rFonts w:ascii="Arial" w:hAnsi="Arial" w:cs="Arial"/>
          <w:b/>
          <w:sz w:val="32"/>
          <w:lang w:val="en-US" w:eastAsia="zh-CN"/>
        </w:rPr>
      </w:pPr>
      <w:r w:rsidRPr="001A628F">
        <w:rPr>
          <w:rFonts w:ascii="Arial" w:hAnsi="Arial" w:cs="Arial"/>
          <w:b/>
          <w:sz w:val="24"/>
          <w:lang w:val="en-US"/>
        </w:rPr>
        <w:t>Title:</w:t>
      </w:r>
      <w:r w:rsidRPr="006E3689">
        <w:rPr>
          <w:rFonts w:ascii="Arial" w:eastAsia="Malgun Gothic" w:hAnsi="Arial" w:cs="Arial" w:hint="eastAsia"/>
          <w:b/>
          <w:sz w:val="24"/>
          <w:lang w:val="en-US" w:eastAsia="ko-KR"/>
        </w:rPr>
        <w:tab/>
      </w:r>
      <w:r w:rsidR="00682841">
        <w:rPr>
          <w:rFonts w:ascii="Arial" w:eastAsia="Malgun Gothic" w:hAnsi="Arial" w:cs="Arial"/>
          <w:b/>
          <w:sz w:val="24"/>
          <w:lang w:val="en-US" w:eastAsia="ko-KR"/>
        </w:rPr>
        <w:t xml:space="preserve">Enhancements </w:t>
      </w:r>
      <w:r w:rsidR="00EA7E5E">
        <w:rPr>
          <w:rFonts w:ascii="Arial" w:eastAsia="Malgun Gothic" w:hAnsi="Arial" w:cs="Arial"/>
          <w:b/>
          <w:sz w:val="24"/>
          <w:lang w:val="en-US" w:eastAsia="ko-KR"/>
        </w:rPr>
        <w:t>to</w:t>
      </w:r>
      <w:r w:rsidR="00682841">
        <w:rPr>
          <w:rFonts w:ascii="Arial" w:eastAsia="Malgun Gothic" w:hAnsi="Arial" w:cs="Arial"/>
          <w:b/>
          <w:sz w:val="24"/>
          <w:lang w:val="en-US" w:eastAsia="ko-KR"/>
        </w:rPr>
        <w:t xml:space="preserve"> Multi-Beam Operation</w:t>
      </w:r>
    </w:p>
    <w:p w14:paraId="442797E2" w14:textId="79C86EED" w:rsidR="001466F4" w:rsidRPr="00E832E5" w:rsidRDefault="001466F4" w:rsidP="00E832E5">
      <w:pPr>
        <w:spacing w:after="0"/>
        <w:ind w:left="1983" w:hangingChars="823" w:hanging="1983"/>
        <w:jc w:val="both"/>
        <w:rPr>
          <w:rFonts w:ascii="Arial" w:hAnsi="Arial" w:cs="Arial"/>
          <w:b/>
          <w:sz w:val="24"/>
          <w:lang w:val="en-US"/>
        </w:rPr>
      </w:pPr>
      <w:r w:rsidRPr="00E95DAE">
        <w:rPr>
          <w:rFonts w:ascii="Arial" w:hAnsi="Arial" w:cs="Arial"/>
          <w:b/>
          <w:sz w:val="24"/>
          <w:lang w:val="en-US"/>
        </w:rPr>
        <w:t>Agenda item:</w:t>
      </w:r>
      <w:r w:rsidR="00E832E5" w:rsidRPr="00E832E5">
        <w:rPr>
          <w:rFonts w:ascii="Arial" w:hAnsi="Arial" w:cs="Arial" w:hint="eastAsia"/>
          <w:b/>
          <w:sz w:val="24"/>
          <w:lang w:val="en-US"/>
        </w:rPr>
        <w:tab/>
      </w:r>
      <w:r w:rsidR="00682841">
        <w:rPr>
          <w:rFonts w:ascii="Arial" w:hAnsi="Arial" w:cs="Arial"/>
          <w:b/>
          <w:sz w:val="24"/>
          <w:lang w:val="en-US"/>
        </w:rPr>
        <w:t>8.1.1</w:t>
      </w:r>
    </w:p>
    <w:p w14:paraId="3DFA8DEC" w14:textId="77777777" w:rsidR="001466F4" w:rsidRDefault="001466F4" w:rsidP="00B502E8">
      <w:pPr>
        <w:ind w:left="1983" w:hangingChars="823" w:hanging="1983"/>
        <w:jc w:val="both"/>
        <w:rPr>
          <w:rFonts w:ascii="Arial" w:hAnsi="Arial" w:cs="Arial"/>
          <w:b/>
          <w:sz w:val="24"/>
          <w:lang w:val="en-US"/>
        </w:rPr>
      </w:pPr>
      <w:r w:rsidRPr="00E95DAE">
        <w:rPr>
          <w:rFonts w:ascii="Arial" w:hAnsi="Arial" w:cs="Arial"/>
          <w:b/>
          <w:sz w:val="24"/>
          <w:lang w:val="en-US"/>
        </w:rPr>
        <w:t>Document for:</w:t>
      </w:r>
      <w:r w:rsidRPr="00E832E5">
        <w:rPr>
          <w:rFonts w:ascii="Arial" w:hAnsi="Arial" w:cs="Arial"/>
          <w:b/>
          <w:sz w:val="24"/>
          <w:lang w:val="en-US"/>
        </w:rPr>
        <w:tab/>
      </w:r>
      <w:r w:rsidRPr="00E95DAE">
        <w:rPr>
          <w:rFonts w:ascii="Arial" w:hAnsi="Arial" w:cs="Arial"/>
          <w:b/>
          <w:sz w:val="24"/>
          <w:lang w:val="en-US"/>
        </w:rPr>
        <w:t>Discussion and Decision</w:t>
      </w:r>
    </w:p>
    <w:p w14:paraId="786F226B" w14:textId="5A0CE23A" w:rsidR="0097496D" w:rsidRDefault="0097496D" w:rsidP="00A13AAA">
      <w:pPr>
        <w:pStyle w:val="Heading1"/>
        <w:spacing w:before="120" w:after="60"/>
        <w:jc w:val="both"/>
        <w:rPr>
          <w:rFonts w:cs="Arial"/>
          <w:sz w:val="32"/>
          <w:szCs w:val="18"/>
          <w:lang w:val="en-US"/>
        </w:rPr>
      </w:pPr>
      <w:r w:rsidRPr="00263538">
        <w:rPr>
          <w:rFonts w:cs="Arial"/>
          <w:sz w:val="32"/>
          <w:szCs w:val="18"/>
          <w:lang w:val="en-US"/>
        </w:rPr>
        <w:t>Introduction</w:t>
      </w:r>
    </w:p>
    <w:p w14:paraId="3B4FB1B9" w14:textId="3E34C1CE" w:rsidR="007100D1" w:rsidRPr="007100D1" w:rsidRDefault="00F842BC" w:rsidP="007100D1">
      <w:pPr>
        <w:rPr>
          <w:lang w:val="en-US"/>
        </w:rPr>
      </w:pPr>
      <w:r>
        <w:rPr>
          <w:lang w:val="en-US"/>
        </w:rPr>
        <w:t xml:space="preserve">This paper is related to the new </w:t>
      </w:r>
      <w:r w:rsidR="000E7D68">
        <w:rPr>
          <w:lang w:val="en-US"/>
        </w:rPr>
        <w:t xml:space="preserve">Revised </w:t>
      </w:r>
      <w:r>
        <w:rPr>
          <w:lang w:val="en-US"/>
        </w:rPr>
        <w:t>WID on further enhancements to MIMO in 5G NR Release 17</w:t>
      </w:r>
      <w:r w:rsidR="002F081E">
        <w:rPr>
          <w:lang w:val="en-US"/>
        </w:rPr>
        <w:t xml:space="preserve"> </w:t>
      </w:r>
      <w:r w:rsidR="002F081E">
        <w:rPr>
          <w:lang w:val="en-US"/>
        </w:rPr>
        <w:fldChar w:fldCharType="begin"/>
      </w:r>
      <w:r w:rsidR="002F081E">
        <w:rPr>
          <w:lang w:val="en-US"/>
        </w:rPr>
        <w:instrText xml:space="preserve"> REF _Ref79150108 \r \h </w:instrText>
      </w:r>
      <w:r w:rsidR="002F081E">
        <w:rPr>
          <w:lang w:val="en-US"/>
        </w:rPr>
      </w:r>
      <w:r w:rsidR="002F081E">
        <w:rPr>
          <w:lang w:val="en-US"/>
        </w:rPr>
        <w:fldChar w:fldCharType="separate"/>
      </w:r>
      <w:r w:rsidR="002F081E">
        <w:rPr>
          <w:lang w:val="en-US"/>
        </w:rPr>
        <w:t>[2]</w:t>
      </w:r>
      <w:r w:rsidR="002F081E">
        <w:rPr>
          <w:lang w:val="en-US"/>
        </w:rPr>
        <w:fldChar w:fldCharType="end"/>
      </w:r>
      <w:r>
        <w:rPr>
          <w:lang w:val="en-US"/>
        </w:rPr>
        <w:t xml:space="preserve">. In the </w:t>
      </w:r>
      <w:r w:rsidR="000E7D68">
        <w:rPr>
          <w:lang w:val="en-US"/>
        </w:rPr>
        <w:t xml:space="preserve">revised </w:t>
      </w:r>
      <w:r>
        <w:rPr>
          <w:lang w:val="en-US"/>
        </w:rPr>
        <w:t xml:space="preserve">WID, the following objectives are outlined for beam management enhancements for feMIMO. </w:t>
      </w:r>
    </w:p>
    <w:tbl>
      <w:tblPr>
        <w:tblStyle w:val="TableGrid"/>
        <w:tblW w:w="0" w:type="auto"/>
        <w:tblLook w:val="04A0" w:firstRow="1" w:lastRow="0" w:firstColumn="1" w:lastColumn="0" w:noHBand="0" w:noVBand="1"/>
      </w:tblPr>
      <w:tblGrid>
        <w:gridCol w:w="10160"/>
      </w:tblGrid>
      <w:tr w:rsidR="001F0D94" w14:paraId="656AAA09" w14:textId="77777777" w:rsidTr="001F0D94">
        <w:tc>
          <w:tcPr>
            <w:tcW w:w="10160" w:type="dxa"/>
          </w:tcPr>
          <w:p w14:paraId="0DFE07ED" w14:textId="77777777" w:rsidR="002F081E" w:rsidRPr="002F081E" w:rsidRDefault="002F081E" w:rsidP="002F081E">
            <w:pPr>
              <w:pStyle w:val="ListParagraph"/>
              <w:numPr>
                <w:ilvl w:val="0"/>
                <w:numId w:val="42"/>
              </w:numPr>
              <w:spacing w:before="0"/>
              <w:ind w:left="720"/>
              <w:rPr>
                <w:rFonts w:eastAsiaTheme="minorHAnsi"/>
                <w:i w:val="0"/>
                <w:iCs w:val="0"/>
                <w:lang w:val="en-GB" w:eastAsia="zh-CN"/>
              </w:rPr>
            </w:pPr>
            <w:r w:rsidRPr="002F081E">
              <w:rPr>
                <w:rFonts w:eastAsiaTheme="minorHAnsi"/>
                <w:i w:val="0"/>
                <w:iCs w:val="0"/>
                <w:lang w:val="en-GB" w:eastAsia="zh-CN"/>
              </w:rPr>
              <w:t xml:space="preserve">Enhancement on multi-beam operation, mainly targeting FR2 while also applicable to FR1: </w:t>
            </w:r>
          </w:p>
          <w:p w14:paraId="6582C69E" w14:textId="707CEB5C" w:rsidR="002F081E" w:rsidRPr="002F081E" w:rsidRDefault="002F081E" w:rsidP="002F081E">
            <w:pPr>
              <w:pStyle w:val="ListParagraph"/>
              <w:numPr>
                <w:ilvl w:val="1"/>
                <w:numId w:val="42"/>
              </w:numPr>
              <w:spacing w:before="0"/>
              <w:ind w:left="1440"/>
              <w:rPr>
                <w:rFonts w:eastAsiaTheme="minorHAnsi"/>
                <w:i w:val="0"/>
                <w:iCs w:val="0"/>
                <w:lang w:val="en-GB" w:eastAsia="zh-CN"/>
              </w:rPr>
            </w:pPr>
            <w:r w:rsidRPr="002F081E">
              <w:rPr>
                <w:rFonts w:eastAsiaTheme="minorHAnsi"/>
                <w:i w:val="0"/>
                <w:iCs w:val="0"/>
                <w:lang w:val="en-GB" w:eastAsia="zh-CN"/>
              </w:rPr>
              <w:t>Identify and specify features to facilitate more efficient (lower latency and overhead) DL/UL beam management for intra-cell and inter-cell scenarios to support higher UE speed and/or a larger number of configured TCI states:</w:t>
            </w:r>
          </w:p>
          <w:p w14:paraId="650A8C17" w14:textId="77777777" w:rsidR="002F081E" w:rsidRPr="002F081E" w:rsidRDefault="002F081E" w:rsidP="002F081E">
            <w:pPr>
              <w:pStyle w:val="ListParagraph"/>
              <w:numPr>
                <w:ilvl w:val="2"/>
                <w:numId w:val="42"/>
              </w:numPr>
              <w:spacing w:before="0"/>
              <w:ind w:left="2160"/>
              <w:rPr>
                <w:rFonts w:eastAsiaTheme="minorHAnsi"/>
                <w:i w:val="0"/>
                <w:iCs w:val="0"/>
                <w:lang w:val="en-GB" w:eastAsia="zh-CN"/>
              </w:rPr>
            </w:pPr>
            <w:r w:rsidRPr="002F081E">
              <w:rPr>
                <w:rFonts w:eastAsiaTheme="minorHAnsi"/>
                <w:i w:val="0"/>
                <w:iCs w:val="0"/>
                <w:lang w:val="en-GB" w:eastAsia="zh-CN"/>
              </w:rPr>
              <w:t>Common beam for data and control transmission/reception for DL and UL, especially for intra-band CA</w:t>
            </w:r>
          </w:p>
          <w:p w14:paraId="60AD2F63" w14:textId="77777777" w:rsidR="002F081E" w:rsidRPr="002F081E" w:rsidRDefault="002F081E" w:rsidP="002F081E">
            <w:pPr>
              <w:pStyle w:val="ListParagraph"/>
              <w:numPr>
                <w:ilvl w:val="2"/>
                <w:numId w:val="42"/>
              </w:numPr>
              <w:spacing w:before="0"/>
              <w:ind w:left="2160"/>
              <w:rPr>
                <w:rFonts w:eastAsiaTheme="minorHAnsi"/>
                <w:i w:val="0"/>
                <w:iCs w:val="0"/>
                <w:lang w:val="en-GB" w:eastAsia="zh-CN"/>
              </w:rPr>
            </w:pPr>
            <w:r w:rsidRPr="002F081E">
              <w:rPr>
                <w:rFonts w:eastAsiaTheme="minorHAnsi"/>
                <w:i w:val="0"/>
                <w:iCs w:val="0"/>
                <w:lang w:val="en-GB" w:eastAsia="zh-CN"/>
              </w:rPr>
              <w:t>Unified TCI framework for DL and UL beam indication</w:t>
            </w:r>
          </w:p>
          <w:p w14:paraId="6EFFCB6B" w14:textId="77777777" w:rsidR="002F081E" w:rsidRPr="002F081E" w:rsidRDefault="002F081E" w:rsidP="002F081E">
            <w:pPr>
              <w:pStyle w:val="ListParagraph"/>
              <w:numPr>
                <w:ilvl w:val="2"/>
                <w:numId w:val="42"/>
              </w:numPr>
              <w:snapToGrid w:val="0"/>
              <w:spacing w:before="0"/>
              <w:ind w:left="2160"/>
              <w:rPr>
                <w:rFonts w:eastAsiaTheme="minorHAnsi"/>
                <w:i w:val="0"/>
                <w:iCs w:val="0"/>
                <w:lang w:val="en-GB" w:eastAsia="zh-CN"/>
              </w:rPr>
            </w:pPr>
            <w:r w:rsidRPr="002F081E">
              <w:rPr>
                <w:rFonts w:eastAsiaTheme="minorHAnsi"/>
                <w:i w:val="0"/>
                <w:iCs w:val="0"/>
                <w:lang w:val="en-GB" w:eastAsia="zh-CN"/>
              </w:rPr>
              <w:t>Enhancement on signaling mechanisms for the above features to improve latency and efficiency with more usage of dynamic control signaling (as opposed to RRC)</w:t>
            </w:r>
          </w:p>
          <w:p w14:paraId="662BBBA2" w14:textId="48EFC06E" w:rsidR="002F081E" w:rsidRPr="002F081E" w:rsidRDefault="002F081E" w:rsidP="002F081E">
            <w:pPr>
              <w:pStyle w:val="ListParagraph"/>
              <w:numPr>
                <w:ilvl w:val="2"/>
                <w:numId w:val="42"/>
              </w:numPr>
              <w:snapToGrid w:val="0"/>
              <w:spacing w:before="0"/>
              <w:ind w:left="2160"/>
              <w:rPr>
                <w:rFonts w:eastAsiaTheme="minorHAnsi"/>
                <w:i w:val="0"/>
                <w:iCs w:val="0"/>
                <w:lang w:val="en-GB" w:eastAsia="zh-CN"/>
              </w:rPr>
            </w:pPr>
            <w:r w:rsidRPr="002F081E">
              <w:rPr>
                <w:rFonts w:eastAsiaTheme="minorHAnsi"/>
                <w:i w:val="0"/>
                <w:iCs w:val="0"/>
                <w:lang w:val="en-GB" w:eastAsia="zh-CN"/>
              </w:rPr>
              <w:t>For inter-cell beam management, a UE can transmit to or receive from only a single cell (i.e. serving cell does not change when beam selection is done). This includes L1-only measurement/reporting (i.e.</w:t>
            </w:r>
            <w:r w:rsidR="006F4FDE">
              <w:rPr>
                <w:rFonts w:eastAsiaTheme="minorHAnsi"/>
                <w:i w:val="0"/>
                <w:iCs w:val="0"/>
                <w:lang w:val="en-GB" w:eastAsia="zh-CN"/>
              </w:rPr>
              <w:t>,</w:t>
            </w:r>
            <w:r w:rsidRPr="002F081E">
              <w:rPr>
                <w:rFonts w:eastAsiaTheme="minorHAnsi"/>
                <w:i w:val="0"/>
                <w:iCs w:val="0"/>
                <w:lang w:val="en-GB" w:eastAsia="zh-CN"/>
              </w:rPr>
              <w:t xml:space="preserve"> no L3 impact) and beam indication associated with cell(s) with any Physical Cell ID(s) </w:t>
            </w:r>
          </w:p>
          <w:p w14:paraId="36CA281E" w14:textId="77777777" w:rsidR="002F081E" w:rsidRPr="002F081E" w:rsidRDefault="002F081E" w:rsidP="002F081E">
            <w:pPr>
              <w:numPr>
                <w:ilvl w:val="3"/>
                <w:numId w:val="43"/>
              </w:numPr>
              <w:adjustRightInd/>
              <w:snapToGrid w:val="0"/>
              <w:spacing w:before="0" w:after="0"/>
              <w:textAlignment w:val="auto"/>
              <w:rPr>
                <w:rFonts w:eastAsiaTheme="minorHAnsi"/>
                <w:lang w:eastAsia="zh-CN"/>
              </w:rPr>
            </w:pPr>
            <w:r w:rsidRPr="002F081E">
              <w:rPr>
                <w:rFonts w:eastAsiaTheme="minorHAnsi"/>
                <w:lang w:eastAsia="zh-CN"/>
              </w:rPr>
              <w:t>The beam indication is based on Rel-17 unified TCI framework</w:t>
            </w:r>
          </w:p>
          <w:p w14:paraId="0471E0D1" w14:textId="77777777" w:rsidR="002F081E" w:rsidRPr="002F081E" w:rsidRDefault="002F081E" w:rsidP="002F081E">
            <w:pPr>
              <w:numPr>
                <w:ilvl w:val="3"/>
                <w:numId w:val="43"/>
              </w:numPr>
              <w:adjustRightInd/>
              <w:snapToGrid w:val="0"/>
              <w:spacing w:before="0" w:after="0"/>
              <w:textAlignment w:val="auto"/>
              <w:rPr>
                <w:rFonts w:eastAsiaTheme="minorHAnsi"/>
                <w:lang w:eastAsia="zh-CN"/>
              </w:rPr>
            </w:pPr>
            <w:r w:rsidRPr="002F081E">
              <w:rPr>
                <w:rFonts w:eastAsiaTheme="minorHAnsi"/>
                <w:lang w:eastAsia="zh-CN"/>
              </w:rPr>
              <w:t>The same beam measurement/reporting mechanism will be reused for inter-cell mTRP</w:t>
            </w:r>
          </w:p>
          <w:p w14:paraId="1FCA6434" w14:textId="77777777" w:rsidR="002F081E" w:rsidRPr="002F081E" w:rsidRDefault="002F081E" w:rsidP="002F081E">
            <w:pPr>
              <w:numPr>
                <w:ilvl w:val="3"/>
                <w:numId w:val="43"/>
              </w:numPr>
              <w:adjustRightInd/>
              <w:snapToGrid w:val="0"/>
              <w:spacing w:before="0" w:after="0"/>
              <w:textAlignment w:val="auto"/>
              <w:rPr>
                <w:rFonts w:eastAsiaTheme="minorHAnsi"/>
                <w:lang w:eastAsia="zh-CN"/>
              </w:rPr>
            </w:pPr>
            <w:r w:rsidRPr="002F081E">
              <w:rPr>
                <w:rFonts w:eastAsiaTheme="minorHAnsi"/>
                <w:lang w:eastAsia="zh-CN"/>
              </w:rPr>
              <w:t>This work shall only consider intra-DU and intra-frequency cases</w:t>
            </w:r>
          </w:p>
          <w:p w14:paraId="39EA1D16" w14:textId="7F09AADC" w:rsidR="006F4FDE" w:rsidRPr="002F081E" w:rsidRDefault="002F081E" w:rsidP="006F4FDE">
            <w:pPr>
              <w:pStyle w:val="ListParagraph"/>
              <w:numPr>
                <w:ilvl w:val="1"/>
                <w:numId w:val="42"/>
              </w:numPr>
              <w:snapToGrid w:val="0"/>
              <w:spacing w:before="0"/>
              <w:ind w:left="1440"/>
            </w:pPr>
            <w:r w:rsidRPr="002F081E">
              <w:rPr>
                <w:rFonts w:eastAsiaTheme="minorHAnsi"/>
                <w:i w:val="0"/>
                <w:iCs w:val="0"/>
                <w:lang w:val="en-GB" w:eastAsia="zh-CN"/>
              </w:rPr>
              <w:t>Identify and specify features to facilitate UL beam selection for UEs equipped with multiple panels, considering UL coverage loss mitigation due to MPE, based on UL beam indication with the unified TCI framework for UL fast panel selection</w:t>
            </w:r>
          </w:p>
        </w:tc>
      </w:tr>
    </w:tbl>
    <w:p w14:paraId="3FB5EC9E" w14:textId="3FE12B4C" w:rsidR="00682841" w:rsidRDefault="00F842BC" w:rsidP="001731F6">
      <w:pPr>
        <w:spacing w:before="120"/>
        <w:jc w:val="both"/>
        <w:rPr>
          <w:rFonts w:eastAsiaTheme="minorHAnsi"/>
          <w:lang w:eastAsia="zh-CN"/>
        </w:rPr>
      </w:pPr>
      <w:r w:rsidRPr="00F842BC">
        <w:rPr>
          <w:rFonts w:eastAsiaTheme="minorHAnsi"/>
          <w:lang w:eastAsia="zh-CN"/>
        </w:rPr>
        <w:t xml:space="preserve">In this </w:t>
      </w:r>
      <w:r>
        <w:rPr>
          <w:rFonts w:eastAsiaTheme="minorHAnsi"/>
          <w:lang w:eastAsia="zh-CN"/>
        </w:rPr>
        <w:t xml:space="preserve">paper, </w:t>
      </w:r>
      <w:r w:rsidR="002979BC">
        <w:rPr>
          <w:rFonts w:eastAsiaTheme="minorHAnsi"/>
          <w:lang w:eastAsia="zh-CN"/>
        </w:rPr>
        <w:t xml:space="preserve">we present </w:t>
      </w:r>
      <w:r w:rsidR="00474CEE">
        <w:rPr>
          <w:rFonts w:eastAsiaTheme="minorHAnsi"/>
          <w:lang w:eastAsia="zh-CN"/>
        </w:rPr>
        <w:t xml:space="preserve">discussion on </w:t>
      </w:r>
      <w:r w:rsidR="00A15E98">
        <w:rPr>
          <w:rFonts w:eastAsiaTheme="minorHAnsi"/>
          <w:lang w:eastAsia="zh-CN"/>
        </w:rPr>
        <w:t xml:space="preserve">the </w:t>
      </w:r>
      <w:r w:rsidR="00051327">
        <w:rPr>
          <w:rFonts w:eastAsiaTheme="minorHAnsi"/>
          <w:lang w:eastAsia="zh-CN"/>
        </w:rPr>
        <w:t xml:space="preserve">objectives </w:t>
      </w:r>
      <w:r w:rsidR="00A020F8">
        <w:rPr>
          <w:rFonts w:eastAsiaTheme="minorHAnsi"/>
          <w:lang w:eastAsia="zh-CN"/>
        </w:rPr>
        <w:t>agreed in RAN1#102-e</w:t>
      </w:r>
      <w:r w:rsidR="00051327">
        <w:rPr>
          <w:rFonts w:eastAsiaTheme="minorHAnsi"/>
          <w:lang w:eastAsia="zh-CN"/>
        </w:rPr>
        <w:t xml:space="preserve"> and corresponding agreements </w:t>
      </w:r>
      <w:r w:rsidR="00DC229F">
        <w:rPr>
          <w:rFonts w:eastAsiaTheme="minorHAnsi"/>
          <w:lang w:eastAsia="zh-CN"/>
        </w:rPr>
        <w:t>up to</w:t>
      </w:r>
      <w:r w:rsidR="009732FC">
        <w:rPr>
          <w:rFonts w:eastAsiaTheme="minorHAnsi"/>
          <w:lang w:eastAsia="zh-CN"/>
        </w:rPr>
        <w:t xml:space="preserve"> RAN1#10</w:t>
      </w:r>
      <w:r w:rsidR="006F4FDE">
        <w:rPr>
          <w:rFonts w:eastAsiaTheme="minorHAnsi"/>
          <w:lang w:eastAsia="zh-CN"/>
        </w:rPr>
        <w:t>5</w:t>
      </w:r>
      <w:r w:rsidR="00DC229F">
        <w:rPr>
          <w:rFonts w:eastAsiaTheme="minorHAnsi"/>
          <w:lang w:eastAsia="zh-CN"/>
        </w:rPr>
        <w:t>-</w:t>
      </w:r>
      <w:r w:rsidR="009732FC">
        <w:rPr>
          <w:rFonts w:eastAsiaTheme="minorHAnsi"/>
          <w:lang w:eastAsia="zh-CN"/>
        </w:rPr>
        <w:t>e</w:t>
      </w:r>
      <w:r w:rsidR="00E517F6">
        <w:rPr>
          <w:rFonts w:eastAsiaTheme="minorHAnsi"/>
          <w:lang w:eastAsia="zh-CN"/>
        </w:rPr>
        <w:t>,</w:t>
      </w:r>
      <w:r w:rsidR="00AF44F2">
        <w:rPr>
          <w:rFonts w:eastAsiaTheme="minorHAnsi"/>
          <w:lang w:eastAsia="zh-CN"/>
        </w:rPr>
        <w:t xml:space="preserve"> as well as </w:t>
      </w:r>
      <w:r w:rsidR="009732FC">
        <w:rPr>
          <w:rFonts w:eastAsiaTheme="minorHAnsi"/>
          <w:lang w:eastAsia="zh-CN"/>
        </w:rPr>
        <w:t xml:space="preserve">analysis of </w:t>
      </w:r>
      <w:r w:rsidR="00AF44F2">
        <w:rPr>
          <w:rFonts w:eastAsiaTheme="minorHAnsi"/>
          <w:lang w:eastAsia="zh-CN"/>
        </w:rPr>
        <w:t xml:space="preserve">SLS results for intra and inter-cell mobility according to simulation assumptions agreed in </w:t>
      </w:r>
      <w:r w:rsidR="00AF44F2">
        <w:rPr>
          <w:rFonts w:eastAsiaTheme="minorHAnsi"/>
          <w:lang w:eastAsia="zh-CN"/>
        </w:rPr>
        <w:fldChar w:fldCharType="begin"/>
      </w:r>
      <w:r w:rsidR="00AF44F2">
        <w:rPr>
          <w:rFonts w:eastAsiaTheme="minorHAnsi"/>
          <w:lang w:eastAsia="zh-CN"/>
        </w:rPr>
        <w:instrText xml:space="preserve"> REF _Ref54369575 \r \h </w:instrText>
      </w:r>
      <w:r w:rsidR="00AF44F2">
        <w:rPr>
          <w:rFonts w:eastAsiaTheme="minorHAnsi"/>
          <w:lang w:eastAsia="zh-CN"/>
        </w:rPr>
      </w:r>
      <w:r w:rsidR="00AF44F2">
        <w:rPr>
          <w:rFonts w:eastAsiaTheme="minorHAnsi"/>
          <w:lang w:eastAsia="zh-CN"/>
        </w:rPr>
        <w:fldChar w:fldCharType="separate"/>
      </w:r>
      <w:r w:rsidR="006F4FDE">
        <w:rPr>
          <w:rFonts w:eastAsiaTheme="minorHAnsi"/>
          <w:lang w:eastAsia="zh-CN"/>
        </w:rPr>
        <w:t>[3]</w:t>
      </w:r>
      <w:r w:rsidR="00AF44F2">
        <w:rPr>
          <w:rFonts w:eastAsiaTheme="minorHAnsi"/>
          <w:lang w:eastAsia="zh-CN"/>
        </w:rPr>
        <w:fldChar w:fldCharType="end"/>
      </w:r>
      <w:r w:rsidR="00AF44F2">
        <w:rPr>
          <w:rFonts w:eastAsiaTheme="minorHAnsi"/>
          <w:lang w:eastAsia="zh-CN"/>
        </w:rPr>
        <w:t>.</w:t>
      </w:r>
    </w:p>
    <w:p w14:paraId="2641E76A" w14:textId="4E6EE7DC" w:rsidR="005E7DF4" w:rsidRDefault="005E7DF4" w:rsidP="005E7DF4">
      <w:pPr>
        <w:pStyle w:val="Heading1"/>
        <w:spacing w:before="120" w:after="60"/>
        <w:jc w:val="both"/>
        <w:rPr>
          <w:rFonts w:cs="Arial"/>
          <w:sz w:val="32"/>
          <w:szCs w:val="18"/>
          <w:lang w:val="en-US"/>
        </w:rPr>
      </w:pPr>
      <w:r>
        <w:rPr>
          <w:rFonts w:cs="Arial"/>
          <w:sz w:val="32"/>
          <w:szCs w:val="18"/>
          <w:lang w:val="en-US"/>
        </w:rPr>
        <w:t>Issue 1: Unified TCI Framework</w:t>
      </w:r>
    </w:p>
    <w:p w14:paraId="0FC1BC8A" w14:textId="77777777" w:rsidR="001B4645" w:rsidRPr="001B4645" w:rsidRDefault="001B4645" w:rsidP="001B4645">
      <w:pPr>
        <w:spacing w:after="0"/>
        <w:rPr>
          <w:lang w:val="en-US"/>
        </w:rPr>
      </w:pPr>
    </w:p>
    <w:p w14:paraId="62C2579C" w14:textId="6CDC54BE" w:rsidR="00400277" w:rsidRDefault="00940F95" w:rsidP="0027799A">
      <w:pPr>
        <w:pStyle w:val="Heading2"/>
        <w:rPr>
          <w:lang w:val="en-US"/>
        </w:rPr>
      </w:pPr>
      <w:r>
        <w:rPr>
          <w:lang w:val="en-US"/>
        </w:rPr>
        <w:t>Uplink Power Control</w:t>
      </w:r>
    </w:p>
    <w:p w14:paraId="345589EB" w14:textId="77777777" w:rsidR="00067409" w:rsidRDefault="00067409" w:rsidP="00067409">
      <w:pPr>
        <w:rPr>
          <w:lang w:val="en-US"/>
        </w:rPr>
      </w:pPr>
      <w:r>
        <w:rPr>
          <w:lang w:val="en-US"/>
        </w:rPr>
        <w:t xml:space="preserve">In RAN1-105e for UL PC settings for P0, alpha and closed loop index, it was left for further study if the settings for different channels corresponding to a joint or separate UL TCI state needs to be separately configured. Since different channels have different BLER targets, it might be required that some channel specific parameters are configured. In this case, it may be easier to have different channel specific UL PC configurations be associated with each configured TCI state rather than to have a common UL PC configuration and apply channel specific offsets. </w:t>
      </w:r>
    </w:p>
    <w:p w14:paraId="5098D7DC" w14:textId="77777777" w:rsidR="00067409" w:rsidRDefault="00067409" w:rsidP="00067409">
      <w:pPr>
        <w:rPr>
          <w:b/>
          <w:bCs/>
          <w:i/>
          <w:iCs/>
          <w:lang w:val="en-US"/>
        </w:rPr>
      </w:pPr>
      <w:r w:rsidRPr="00E73775">
        <w:rPr>
          <w:b/>
          <w:bCs/>
          <w:i/>
          <w:iCs/>
          <w:lang w:val="en-US"/>
        </w:rPr>
        <w:t xml:space="preserve">Proposal 1: For UL PC parameters other than PL-RS a channel dependent setting of P0, alpha and closed loop index should be configured per TCI state. </w:t>
      </w:r>
    </w:p>
    <w:p w14:paraId="01330578" w14:textId="67B75AD4" w:rsidR="00D6610B" w:rsidRDefault="00476534" w:rsidP="00D1249D">
      <w:pPr>
        <w:rPr>
          <w:lang w:val="en-US"/>
        </w:rPr>
      </w:pPr>
      <w:r>
        <w:rPr>
          <w:lang w:val="en-US"/>
        </w:rPr>
        <w:lastRenderedPageBreak/>
        <w:t>The applicable periodic DL RSs that can be used as</w:t>
      </w:r>
      <w:r w:rsidR="00067409" w:rsidRPr="00703C95">
        <w:rPr>
          <w:lang w:val="en-US"/>
        </w:rPr>
        <w:t xml:space="preserve"> </w:t>
      </w:r>
      <w:r w:rsidR="00D6610B">
        <w:rPr>
          <w:lang w:val="en-US"/>
        </w:rPr>
        <w:t xml:space="preserve">pathloss </w:t>
      </w:r>
      <w:r w:rsidR="003D287F">
        <w:rPr>
          <w:lang w:val="en-US"/>
        </w:rPr>
        <w:t>reference RS</w:t>
      </w:r>
      <w:r>
        <w:rPr>
          <w:lang w:val="en-US"/>
        </w:rPr>
        <w:t xml:space="preserve"> still needs to be finalized. To this end, CSI-RS for CSI acquisition may not be used since L1</w:t>
      </w:r>
      <w:r w:rsidR="003773E2">
        <w:rPr>
          <w:lang w:val="en-US"/>
        </w:rPr>
        <w:t xml:space="preserve">-RSRP measurement across multiple ports </w:t>
      </w:r>
      <w:r w:rsidR="00A2766C">
        <w:rPr>
          <w:lang w:val="en-US"/>
        </w:rPr>
        <w:t>needs to be clarified.</w:t>
      </w:r>
    </w:p>
    <w:p w14:paraId="002472E0" w14:textId="47BEC672" w:rsidR="00A2766C" w:rsidRDefault="00A2766C" w:rsidP="00D1249D">
      <w:pPr>
        <w:rPr>
          <w:b/>
          <w:bCs/>
          <w:i/>
          <w:iCs/>
          <w:lang w:val="en-US"/>
        </w:rPr>
      </w:pPr>
      <w:r w:rsidRPr="00A2766C">
        <w:rPr>
          <w:b/>
          <w:bCs/>
          <w:i/>
          <w:iCs/>
          <w:lang w:val="en-US"/>
        </w:rPr>
        <w:t xml:space="preserve">Proposal 2: For PL-RS CSI RS for CSI acquisition is precluded. </w:t>
      </w:r>
    </w:p>
    <w:p w14:paraId="7989F52C" w14:textId="2CA97774" w:rsidR="00AA6D60" w:rsidRPr="007D7B6F" w:rsidRDefault="00F048A6" w:rsidP="008353F6">
      <w:pPr>
        <w:rPr>
          <w:b/>
          <w:bCs/>
          <w:i/>
          <w:iCs/>
          <w:lang w:val="en-US"/>
        </w:rPr>
      </w:pPr>
      <w:r>
        <w:rPr>
          <w:lang w:val="en-US"/>
        </w:rPr>
        <w:t xml:space="preserve">Additionally, </w:t>
      </w:r>
      <w:r w:rsidR="003375B2">
        <w:rPr>
          <w:lang w:val="en-US"/>
        </w:rPr>
        <w:t xml:space="preserve">since it has been agreed that PL-RS is associated with or included in a TCI state, the Rel-15/16 methodology of MAC-CE based update of the pathloss reference may not be required. Instead, a mechanism </w:t>
      </w:r>
      <w:r w:rsidR="005C68E1">
        <w:rPr>
          <w:lang w:val="en-US"/>
        </w:rPr>
        <w:t>for updating the association of PL-RS for the configured TCI states may be required</w:t>
      </w:r>
      <w:r w:rsidR="005A2E7A">
        <w:rPr>
          <w:lang w:val="en-US"/>
        </w:rPr>
        <w:t xml:space="preserve">. The PL-RS for individual channels are </w:t>
      </w:r>
      <w:r w:rsidR="002D5216">
        <w:rPr>
          <w:lang w:val="en-US"/>
        </w:rPr>
        <w:t>updated based on the TCI state which is config</w:t>
      </w:r>
      <w:r w:rsidR="008353F6">
        <w:rPr>
          <w:lang w:val="en-US"/>
        </w:rPr>
        <w:t>u</w:t>
      </w:r>
      <w:r w:rsidR="002D5216">
        <w:rPr>
          <w:lang w:val="en-US"/>
        </w:rPr>
        <w:t xml:space="preserve">red. </w:t>
      </w:r>
    </w:p>
    <w:p w14:paraId="4DB1C48D" w14:textId="649F1B7D" w:rsidR="00D74937" w:rsidRDefault="008353F6" w:rsidP="00D74937">
      <w:pPr>
        <w:pStyle w:val="Heading2"/>
        <w:rPr>
          <w:sz w:val="28"/>
          <w:szCs w:val="18"/>
          <w:lang w:val="en-US"/>
        </w:rPr>
      </w:pPr>
      <w:r>
        <w:rPr>
          <w:sz w:val="28"/>
          <w:szCs w:val="18"/>
          <w:lang w:val="en-US"/>
        </w:rPr>
        <w:t>Target RS for Unified TCI Framework</w:t>
      </w:r>
    </w:p>
    <w:p w14:paraId="08105A83" w14:textId="35CC247C" w:rsidR="00AB492C" w:rsidRPr="00AB492C" w:rsidRDefault="00AB492C" w:rsidP="00AB492C">
      <w:pPr>
        <w:rPr>
          <w:lang w:val="en-US"/>
        </w:rPr>
      </w:pPr>
      <w:r>
        <w:rPr>
          <w:lang w:val="en-US"/>
        </w:rPr>
        <w:t xml:space="preserve">For the Unified TCI framework for downlink, the following proposal is being discussed. </w:t>
      </w:r>
    </w:p>
    <w:tbl>
      <w:tblPr>
        <w:tblStyle w:val="TableGrid"/>
        <w:tblW w:w="0" w:type="auto"/>
        <w:tblLook w:val="04A0" w:firstRow="1" w:lastRow="0" w:firstColumn="1" w:lastColumn="0" w:noHBand="0" w:noVBand="1"/>
      </w:tblPr>
      <w:tblGrid>
        <w:gridCol w:w="10160"/>
      </w:tblGrid>
      <w:tr w:rsidR="002B3177" w14:paraId="433D1EFC" w14:textId="77777777" w:rsidTr="00836BF5">
        <w:tc>
          <w:tcPr>
            <w:tcW w:w="10160" w:type="dxa"/>
          </w:tcPr>
          <w:p w14:paraId="458DF6C1" w14:textId="77777777" w:rsidR="00A90840" w:rsidRPr="00A90840" w:rsidRDefault="00A90840" w:rsidP="00A90840">
            <w:pPr>
              <w:snapToGrid w:val="0"/>
              <w:spacing w:before="0" w:after="0"/>
              <w:rPr>
                <w:rFonts w:eastAsia="Batang"/>
              </w:rPr>
            </w:pPr>
            <w:r w:rsidRPr="00A90840">
              <w:rPr>
                <w:rFonts w:eastAsia="Batang"/>
              </w:rPr>
              <w:t>On Rel.17 unified TCI framework, discuss and decide by RAN1#106-e (August 2021)</w:t>
            </w:r>
          </w:p>
          <w:p w14:paraId="72403722" w14:textId="77777777" w:rsidR="00A90840" w:rsidRPr="00A90840" w:rsidRDefault="00A90840" w:rsidP="00A90840">
            <w:pPr>
              <w:numPr>
                <w:ilvl w:val="0"/>
                <w:numId w:val="45"/>
              </w:numPr>
              <w:snapToGrid w:val="0"/>
              <w:spacing w:before="0" w:after="0"/>
              <w:rPr>
                <w:rFonts w:eastAsia="Batang"/>
                <w:lang w:val="en-US"/>
              </w:rPr>
            </w:pPr>
            <w:r w:rsidRPr="00A90840">
              <w:rPr>
                <w:rFonts w:eastAsia="Batang"/>
                <w:lang w:val="en-US"/>
              </w:rPr>
              <w:t xml:space="preserve">Whether each of the following DL RSs can share the same indicated Rel-17 TCI state as </w:t>
            </w:r>
            <w:r w:rsidRPr="00A90840">
              <w:rPr>
                <w:rFonts w:eastAsia="Batang"/>
              </w:rPr>
              <w:t>UE-dedicated reception on PDSCH and for UE-dedicated reception on all or subset of CORESETs in a CC</w:t>
            </w:r>
          </w:p>
          <w:p w14:paraId="248FF835" w14:textId="77777777" w:rsidR="00A90840" w:rsidRPr="00A90840" w:rsidRDefault="00A90840" w:rsidP="00A90840">
            <w:pPr>
              <w:numPr>
                <w:ilvl w:val="1"/>
                <w:numId w:val="45"/>
              </w:numPr>
              <w:snapToGrid w:val="0"/>
              <w:spacing w:before="0" w:after="0"/>
              <w:rPr>
                <w:rFonts w:eastAsia="Batang"/>
                <w:lang w:val="en-US"/>
              </w:rPr>
            </w:pPr>
            <w:r w:rsidRPr="00A90840">
              <w:rPr>
                <w:rFonts w:eastAsia="Batang"/>
                <w:lang w:val="en-US"/>
              </w:rPr>
              <w:t>CSI-RS resources for CSI</w:t>
            </w:r>
          </w:p>
          <w:p w14:paraId="4231CF9D" w14:textId="77777777" w:rsidR="00A90840" w:rsidRPr="00A90840" w:rsidRDefault="00A90840" w:rsidP="00A90840">
            <w:pPr>
              <w:numPr>
                <w:ilvl w:val="1"/>
                <w:numId w:val="45"/>
              </w:numPr>
              <w:snapToGrid w:val="0"/>
              <w:spacing w:before="0" w:after="0"/>
              <w:rPr>
                <w:rFonts w:eastAsia="Batang"/>
                <w:lang w:val="en-US"/>
              </w:rPr>
            </w:pPr>
            <w:r w:rsidRPr="00A90840">
              <w:rPr>
                <w:rFonts w:eastAsia="Batang"/>
                <w:lang w:val="en-US"/>
              </w:rPr>
              <w:t>Some CSI-RS resources for BM, if so, which ones (e.g. aperiodic, repetition ‘ON’)</w:t>
            </w:r>
          </w:p>
          <w:p w14:paraId="0BF68305" w14:textId="77777777" w:rsidR="00A90840" w:rsidRPr="00A90840" w:rsidRDefault="00A90840" w:rsidP="00A90840">
            <w:pPr>
              <w:numPr>
                <w:ilvl w:val="1"/>
                <w:numId w:val="45"/>
              </w:numPr>
              <w:snapToGrid w:val="0"/>
              <w:spacing w:before="0" w:after="0"/>
              <w:rPr>
                <w:rFonts w:eastAsia="Batang"/>
                <w:lang w:val="en-US"/>
              </w:rPr>
            </w:pPr>
            <w:r w:rsidRPr="00A90840">
              <w:rPr>
                <w:rFonts w:eastAsia="Batang"/>
                <w:lang w:val="en-US"/>
              </w:rPr>
              <w:t>CSI-RS for tracking</w:t>
            </w:r>
          </w:p>
          <w:p w14:paraId="0B0D0726" w14:textId="77777777" w:rsidR="00A90840" w:rsidRPr="00A90840" w:rsidRDefault="00A90840" w:rsidP="00A90840">
            <w:pPr>
              <w:numPr>
                <w:ilvl w:val="1"/>
                <w:numId w:val="45"/>
              </w:numPr>
              <w:snapToGrid w:val="0"/>
              <w:spacing w:before="0" w:after="0"/>
              <w:rPr>
                <w:rFonts w:eastAsia="Batang"/>
                <w:lang w:val="en-US"/>
              </w:rPr>
            </w:pPr>
            <w:r w:rsidRPr="00A90840">
              <w:rPr>
                <w:rFonts w:eastAsia="Batang"/>
                <w:lang w:val="en-US"/>
              </w:rPr>
              <w:t>DMRS(s) associated with non-UE-dedicated reception on PDSCH and all/subset of CORESETs</w:t>
            </w:r>
          </w:p>
          <w:p w14:paraId="44C7E230" w14:textId="58CD50E8" w:rsidR="002B3177" w:rsidRPr="00A90840" w:rsidRDefault="00A90840" w:rsidP="00A90840">
            <w:pPr>
              <w:numPr>
                <w:ilvl w:val="0"/>
                <w:numId w:val="45"/>
              </w:numPr>
              <w:snapToGrid w:val="0"/>
              <w:spacing w:before="0"/>
              <w:rPr>
                <w:rFonts w:eastAsia="Batang"/>
                <w:lang w:val="en-US"/>
              </w:rPr>
            </w:pPr>
            <w:r w:rsidRPr="00A90840">
              <w:rPr>
                <w:rFonts w:eastAsia="Batang"/>
                <w:lang w:val="en-US"/>
              </w:rPr>
              <w:t xml:space="preserve">Whether some SRS resources or resource sets for BM can share the same indicated Rel-17 TCI state as </w:t>
            </w:r>
            <w:r w:rsidRPr="00A90840">
              <w:rPr>
                <w:rFonts w:eastAsia="Batang"/>
              </w:rPr>
              <w:t>dynamic-grant/configured-grant based PUSCH, all or subset of dedicated PUCCH resources in a CC</w:t>
            </w:r>
          </w:p>
        </w:tc>
      </w:tr>
    </w:tbl>
    <w:p w14:paraId="00922C9F" w14:textId="2CEA20C0" w:rsidR="006065FC" w:rsidRDefault="006065FC" w:rsidP="006065FC">
      <w:pPr>
        <w:pStyle w:val="bullet1"/>
        <w:numPr>
          <w:ilvl w:val="0"/>
          <w:numId w:val="0"/>
        </w:numPr>
        <w:rPr>
          <w:b/>
          <w:bCs/>
          <w:i/>
          <w:iCs/>
          <w:lang w:val="en-US"/>
        </w:rPr>
      </w:pPr>
    </w:p>
    <w:p w14:paraId="2CF726A4" w14:textId="2FC95022" w:rsidR="006065FC" w:rsidRDefault="001A1B6A" w:rsidP="006065FC">
      <w:pPr>
        <w:pStyle w:val="bullet1"/>
        <w:numPr>
          <w:ilvl w:val="0"/>
          <w:numId w:val="0"/>
        </w:numPr>
        <w:rPr>
          <w:lang w:val="en-US"/>
        </w:rPr>
      </w:pPr>
      <w:r>
        <w:rPr>
          <w:lang w:val="en-US"/>
        </w:rPr>
        <w:t xml:space="preserve">When </w:t>
      </w:r>
      <w:r w:rsidR="00B413E1">
        <w:rPr>
          <w:lang w:val="en-US"/>
        </w:rPr>
        <w:t xml:space="preserve">the DL RSs can share the same </w:t>
      </w:r>
      <w:r w:rsidR="00573CB8">
        <w:rPr>
          <w:lang w:val="en-US"/>
        </w:rPr>
        <w:t xml:space="preserve">indicated joint or separate DL TCI state as the PDSCH and all or subset of CORESETs in a CC, </w:t>
      </w:r>
      <w:r w:rsidR="00E66A77">
        <w:rPr>
          <w:lang w:val="en-US"/>
        </w:rPr>
        <w:t>CSI-RS for beam management with repetition ON should at least be supported</w:t>
      </w:r>
      <w:r w:rsidR="00604727">
        <w:rPr>
          <w:lang w:val="en-US"/>
        </w:rPr>
        <w:t xml:space="preserve"> since this is for the purpose UE beam refinement and tracking. Further for accurate CSI measurement, CSI-RS for CSI</w:t>
      </w:r>
      <w:r w:rsidR="00922DE5">
        <w:rPr>
          <w:lang w:val="en-US"/>
        </w:rPr>
        <w:t xml:space="preserve"> should also be supported. </w:t>
      </w:r>
      <w:r w:rsidR="00160E93">
        <w:rPr>
          <w:lang w:val="en-US"/>
        </w:rPr>
        <w:t>Aperiodic CSI-</w:t>
      </w:r>
      <w:r w:rsidR="00287AE3">
        <w:rPr>
          <w:lang w:val="en-US"/>
        </w:rPr>
        <w:t>RS can</w:t>
      </w:r>
      <w:r w:rsidR="00160E93">
        <w:rPr>
          <w:lang w:val="en-US"/>
        </w:rPr>
        <w:t xml:space="preserve"> also be allowed to share the same TCI state since not allowing it would lead to further specification effort for a default beam. </w:t>
      </w:r>
      <w:r w:rsidR="0048655A">
        <w:rPr>
          <w:lang w:val="en-US"/>
        </w:rPr>
        <w:t xml:space="preserve">Since the main intention of unified TCI framework is to minimize signaling and configuration, additional burden of default beam specification </w:t>
      </w:r>
      <w:r w:rsidR="00DB0483">
        <w:rPr>
          <w:lang w:val="en-US"/>
        </w:rPr>
        <w:t xml:space="preserve">should not be mandated. </w:t>
      </w:r>
    </w:p>
    <w:p w14:paraId="41B6A864" w14:textId="77777777" w:rsidR="001A1B6A" w:rsidRPr="006065FC" w:rsidRDefault="001A1B6A" w:rsidP="006065FC">
      <w:pPr>
        <w:pStyle w:val="bullet1"/>
        <w:numPr>
          <w:ilvl w:val="0"/>
          <w:numId w:val="0"/>
        </w:numPr>
        <w:rPr>
          <w:lang w:val="en-US"/>
        </w:rPr>
      </w:pPr>
    </w:p>
    <w:p w14:paraId="02C66F76" w14:textId="6CC51B28" w:rsidR="006065FC" w:rsidRDefault="006065FC" w:rsidP="006065FC">
      <w:pPr>
        <w:pStyle w:val="bullet1"/>
        <w:numPr>
          <w:ilvl w:val="0"/>
          <w:numId w:val="0"/>
        </w:numPr>
        <w:rPr>
          <w:b/>
          <w:bCs/>
          <w:i/>
          <w:iCs/>
          <w:lang w:val="en-US"/>
        </w:rPr>
      </w:pPr>
      <w:r w:rsidRPr="001C222D">
        <w:rPr>
          <w:b/>
          <w:bCs/>
          <w:i/>
          <w:iCs/>
          <w:lang w:val="en-US"/>
        </w:rPr>
        <w:t>Proposal</w:t>
      </w:r>
      <w:r>
        <w:rPr>
          <w:b/>
          <w:bCs/>
          <w:i/>
          <w:iCs/>
          <w:lang w:val="en-US"/>
        </w:rPr>
        <w:t xml:space="preserve"> </w:t>
      </w:r>
      <w:r w:rsidR="00311D01">
        <w:rPr>
          <w:b/>
          <w:bCs/>
          <w:i/>
          <w:iCs/>
          <w:lang w:val="en-US"/>
        </w:rPr>
        <w:t>3</w:t>
      </w:r>
      <w:r w:rsidRPr="001C222D">
        <w:rPr>
          <w:b/>
          <w:bCs/>
          <w:i/>
          <w:iCs/>
          <w:lang w:val="en-US"/>
        </w:rPr>
        <w:t>: CSI-RS resources for CSI, CSI-RS resources for BM</w:t>
      </w:r>
      <w:r w:rsidR="00DB0483">
        <w:rPr>
          <w:b/>
          <w:bCs/>
          <w:i/>
          <w:iCs/>
          <w:lang w:val="en-US"/>
        </w:rPr>
        <w:t xml:space="preserve"> with repetition ON</w:t>
      </w:r>
      <w:r w:rsidR="00287AE3">
        <w:rPr>
          <w:b/>
          <w:bCs/>
          <w:i/>
          <w:iCs/>
          <w:lang w:val="en-US"/>
        </w:rPr>
        <w:t>,</w:t>
      </w:r>
      <w:r w:rsidRPr="001C222D">
        <w:rPr>
          <w:b/>
          <w:bCs/>
          <w:i/>
          <w:iCs/>
          <w:lang w:val="en-US"/>
        </w:rPr>
        <w:t xml:space="preserve"> </w:t>
      </w:r>
      <w:r w:rsidR="00287AE3">
        <w:rPr>
          <w:b/>
          <w:bCs/>
          <w:i/>
          <w:iCs/>
          <w:lang w:val="en-US"/>
        </w:rPr>
        <w:t xml:space="preserve">aperiodic CSI-RS and </w:t>
      </w:r>
      <w:r w:rsidRPr="001C222D">
        <w:rPr>
          <w:b/>
          <w:bCs/>
          <w:i/>
          <w:iCs/>
          <w:lang w:val="en-US"/>
        </w:rPr>
        <w:t>CSI-RS for tracking</w:t>
      </w:r>
      <w:r w:rsidR="00287AE3">
        <w:rPr>
          <w:b/>
          <w:bCs/>
          <w:i/>
          <w:iCs/>
          <w:lang w:val="en-US"/>
        </w:rPr>
        <w:t xml:space="preserve"> can share the same Rel-17 DL or joint DL/UL TCI state as the PDSCH and all or a subset of CORESETs in a CC.</w:t>
      </w:r>
    </w:p>
    <w:p w14:paraId="5B055289" w14:textId="77777777" w:rsidR="006065FC" w:rsidRDefault="006065FC" w:rsidP="002B3177">
      <w:pPr>
        <w:rPr>
          <w:lang w:val="en-US"/>
        </w:rPr>
      </w:pPr>
    </w:p>
    <w:p w14:paraId="3516C95C" w14:textId="5BDE6BBA" w:rsidR="00412437" w:rsidRDefault="00D553EA" w:rsidP="002B3177">
      <w:pPr>
        <w:rPr>
          <w:lang w:val="en-US"/>
        </w:rPr>
      </w:pPr>
      <w:r>
        <w:rPr>
          <w:lang w:val="en-US"/>
        </w:rPr>
        <w:t xml:space="preserve">Similar to </w:t>
      </w:r>
      <w:r w:rsidR="005339A3">
        <w:rPr>
          <w:lang w:val="en-US"/>
        </w:rPr>
        <w:t xml:space="preserve">CSI-RS for BM with repetition ON, SRS resources for BM should also be able to share the joint DL/UL or separate UL TCI state as the PUSCH and all or subset of PUCCH resources in a CC. </w:t>
      </w:r>
    </w:p>
    <w:p w14:paraId="5DC0C0B8" w14:textId="1313DEFF" w:rsidR="00412437" w:rsidRPr="00B11D57" w:rsidRDefault="00B11D57" w:rsidP="002B3177">
      <w:pPr>
        <w:rPr>
          <w:b/>
          <w:bCs/>
          <w:i/>
          <w:iCs/>
          <w:lang w:val="en-US"/>
        </w:rPr>
      </w:pPr>
      <w:r w:rsidRPr="00B11D57">
        <w:rPr>
          <w:b/>
          <w:bCs/>
          <w:i/>
          <w:iCs/>
          <w:lang w:val="en-US"/>
        </w:rPr>
        <w:t xml:space="preserve">Proposal </w:t>
      </w:r>
      <w:r w:rsidR="00A50A9E">
        <w:rPr>
          <w:b/>
          <w:bCs/>
          <w:i/>
          <w:iCs/>
          <w:lang w:val="en-US"/>
        </w:rPr>
        <w:t>4</w:t>
      </w:r>
      <w:r w:rsidRPr="00B11D57">
        <w:rPr>
          <w:b/>
          <w:bCs/>
          <w:i/>
          <w:iCs/>
          <w:lang w:val="en-US"/>
        </w:rPr>
        <w:t xml:space="preserve">: </w:t>
      </w:r>
      <w:r w:rsidRPr="00A90840">
        <w:rPr>
          <w:rFonts w:eastAsia="Batang"/>
          <w:b/>
          <w:bCs/>
          <w:i/>
          <w:iCs/>
          <w:lang w:val="en-US"/>
        </w:rPr>
        <w:t xml:space="preserve">SRS resources or resource sets for BM can share the same indicated Rel-17 TCI state as </w:t>
      </w:r>
      <w:r w:rsidRPr="00A90840">
        <w:rPr>
          <w:rFonts w:eastAsia="Batang"/>
          <w:b/>
          <w:bCs/>
          <w:i/>
          <w:iCs/>
        </w:rPr>
        <w:t>dynamic-grant</w:t>
      </w:r>
      <w:r w:rsidR="00E67CCD">
        <w:rPr>
          <w:rFonts w:eastAsia="Batang"/>
          <w:b/>
          <w:bCs/>
          <w:i/>
          <w:iCs/>
        </w:rPr>
        <w:t xml:space="preserve"> or </w:t>
      </w:r>
      <w:r w:rsidRPr="00A90840">
        <w:rPr>
          <w:rFonts w:eastAsia="Batang"/>
          <w:b/>
          <w:bCs/>
          <w:i/>
          <w:iCs/>
        </w:rPr>
        <w:t>configured-grant based PUSCH, all or subset of dedicated PUCCH resources in a CC</w:t>
      </w:r>
    </w:p>
    <w:p w14:paraId="2E591965" w14:textId="55F04156" w:rsidR="002B3177" w:rsidRDefault="00E67CCD" w:rsidP="002B3177">
      <w:pPr>
        <w:rPr>
          <w:lang w:val="en-US"/>
        </w:rPr>
      </w:pPr>
      <w:r>
        <w:rPr>
          <w:lang w:val="en-US"/>
        </w:rPr>
        <w:t xml:space="preserve">Then for the case when some DL RSs cannot share the same indicated TCI state as DL or joint DL/UL TCI, the following proposal is being further discussed. </w:t>
      </w:r>
    </w:p>
    <w:tbl>
      <w:tblPr>
        <w:tblStyle w:val="TableGrid"/>
        <w:tblW w:w="0" w:type="auto"/>
        <w:tblLook w:val="04A0" w:firstRow="1" w:lastRow="0" w:firstColumn="1" w:lastColumn="0" w:noHBand="0" w:noVBand="1"/>
      </w:tblPr>
      <w:tblGrid>
        <w:gridCol w:w="10160"/>
      </w:tblGrid>
      <w:tr w:rsidR="002B3177" w14:paraId="2E6FB3EF" w14:textId="77777777" w:rsidTr="00836BF5">
        <w:tc>
          <w:tcPr>
            <w:tcW w:w="10160" w:type="dxa"/>
          </w:tcPr>
          <w:p w14:paraId="2B301308" w14:textId="77777777" w:rsidR="002B3177" w:rsidRDefault="002B3177" w:rsidP="00836BF5">
            <w:pPr>
              <w:snapToGrid w:val="0"/>
              <w:spacing w:before="0" w:after="0"/>
              <w:rPr>
                <w:rFonts w:eastAsia="Batang"/>
                <w:lang w:val="en-US"/>
              </w:rPr>
            </w:pPr>
            <w:r>
              <w:rPr>
                <w:rFonts w:eastAsia="Batang"/>
              </w:rPr>
              <w:t>On Rel.17 unified TCI framework, for any DL RS that does not share the same indicated Rel-17 TCI state(s) as UE-dedicated reception on PDSCH and for UE-dedicated reception on all or subset of CORESETs in a CC, but can be configured as a target DL RS of a Rel-17 DL TCI (hence the Rel-17 DL TCI state pool), discuss and down-select by RAN1#106-e (August 2021) between the following two alternatives:</w:t>
            </w:r>
          </w:p>
          <w:p w14:paraId="6E56DD7D" w14:textId="77777777" w:rsidR="002B3177" w:rsidRDefault="002B3177" w:rsidP="00836BF5">
            <w:pPr>
              <w:numPr>
                <w:ilvl w:val="0"/>
                <w:numId w:val="44"/>
              </w:numPr>
              <w:overflowPunct/>
              <w:autoSpaceDE/>
              <w:autoSpaceDN/>
              <w:adjustRightInd/>
              <w:snapToGrid w:val="0"/>
              <w:spacing w:before="0" w:after="0"/>
              <w:textAlignment w:val="auto"/>
              <w:rPr>
                <w:rFonts w:eastAsia="Batang"/>
              </w:rPr>
            </w:pPr>
            <w:r>
              <w:rPr>
                <w:rFonts w:eastAsia="Batang"/>
              </w:rPr>
              <w:t xml:space="preserve">Alt1. Rel-15/16 TCI state update signaling/configuration mechanism(s) are reused to update/configure the Rel-17 TCI state </w:t>
            </w:r>
          </w:p>
          <w:p w14:paraId="157BFE79" w14:textId="77777777" w:rsidR="002B3177" w:rsidRDefault="002B3177" w:rsidP="00836BF5">
            <w:pPr>
              <w:numPr>
                <w:ilvl w:val="0"/>
                <w:numId w:val="44"/>
              </w:numPr>
              <w:overflowPunct/>
              <w:autoSpaceDE/>
              <w:autoSpaceDN/>
              <w:adjustRightInd/>
              <w:snapToGrid w:val="0"/>
              <w:spacing w:before="0" w:after="0"/>
              <w:textAlignment w:val="auto"/>
              <w:rPr>
                <w:rFonts w:eastAsia="Batang"/>
              </w:rPr>
            </w:pPr>
            <w:r>
              <w:rPr>
                <w:rFonts w:eastAsia="Batang"/>
              </w:rPr>
              <w:t>Alt2. Rel-17 TCI state update signaling/configuration mechanism(s) are used, e.g. with Rel-17 MAC-CE/DCI-based beam indication for Rel-17 joint/separate TCI</w:t>
            </w:r>
          </w:p>
          <w:p w14:paraId="50DE1763" w14:textId="77777777" w:rsidR="002B3177" w:rsidRDefault="002B3177" w:rsidP="00836BF5">
            <w:pPr>
              <w:snapToGrid w:val="0"/>
              <w:spacing w:before="0" w:after="0"/>
              <w:rPr>
                <w:rFonts w:eastAsia="Batang"/>
              </w:rPr>
            </w:pPr>
            <w:r>
              <w:rPr>
                <w:rFonts w:eastAsia="Batang"/>
              </w:rPr>
              <w:t>Note: The DL RS includes CSI-RS and DMRS for PDSCH or PDCCH</w:t>
            </w:r>
          </w:p>
          <w:p w14:paraId="733409FA" w14:textId="77777777" w:rsidR="002B3177" w:rsidRPr="00392669" w:rsidRDefault="002B3177" w:rsidP="00836BF5">
            <w:pPr>
              <w:snapToGrid w:val="0"/>
              <w:spacing w:before="0"/>
              <w:rPr>
                <w:rFonts w:eastAsia="Batang"/>
              </w:rPr>
            </w:pPr>
            <w:r>
              <w:rPr>
                <w:rFonts w:eastAsia="Batang"/>
              </w:rPr>
              <w:lastRenderedPageBreak/>
              <w:t>Note: For some channels/signals, only one of the above two alter natives may apply (to be discussed).</w:t>
            </w:r>
          </w:p>
        </w:tc>
      </w:tr>
    </w:tbl>
    <w:p w14:paraId="2A27CF44" w14:textId="6296396A" w:rsidR="002B3177" w:rsidRDefault="002B3177" w:rsidP="002B3177">
      <w:pPr>
        <w:spacing w:before="240"/>
        <w:rPr>
          <w:lang w:val="en-US"/>
        </w:rPr>
      </w:pPr>
      <w:r>
        <w:rPr>
          <w:lang w:val="en-US"/>
        </w:rPr>
        <w:lastRenderedPageBreak/>
        <w:t xml:space="preserve">In this case, if Alt 1 is selected, then for Rel-17 </w:t>
      </w:r>
      <w:r w:rsidR="00082794">
        <w:rPr>
          <w:lang w:val="en-US"/>
        </w:rPr>
        <w:t xml:space="preserve">will have two different mechanisms for beam indication i.e., the legacy framework as well the new Rel-17 framework. Such fragmentation is not desirable especially if UL unified TCI framework is also taken into account where the spatial relation information should be replaced with UL and joint DL/UL TCI. </w:t>
      </w:r>
    </w:p>
    <w:p w14:paraId="46F5BF82" w14:textId="54F36160" w:rsidR="002B3177" w:rsidRDefault="002B3177" w:rsidP="005E7DF4">
      <w:pPr>
        <w:pStyle w:val="bullet1"/>
        <w:numPr>
          <w:ilvl w:val="0"/>
          <w:numId w:val="0"/>
        </w:numPr>
        <w:rPr>
          <w:lang w:val="en-US"/>
        </w:rPr>
      </w:pPr>
      <w:r w:rsidRPr="007D7B6F">
        <w:rPr>
          <w:b/>
          <w:bCs/>
          <w:i/>
          <w:iCs/>
          <w:lang w:val="en-US"/>
        </w:rPr>
        <w:t>Proposal</w:t>
      </w:r>
      <w:r>
        <w:rPr>
          <w:b/>
          <w:bCs/>
          <w:i/>
          <w:iCs/>
          <w:lang w:val="en-US"/>
        </w:rPr>
        <w:t xml:space="preserve"> </w:t>
      </w:r>
      <w:r w:rsidR="00A50A9E">
        <w:rPr>
          <w:b/>
          <w:bCs/>
          <w:i/>
          <w:iCs/>
          <w:lang w:val="en-US"/>
        </w:rPr>
        <w:t>5</w:t>
      </w:r>
      <w:r w:rsidRPr="007D7B6F">
        <w:rPr>
          <w:b/>
          <w:bCs/>
          <w:i/>
          <w:iCs/>
          <w:lang w:val="en-US"/>
        </w:rPr>
        <w:t>:</w:t>
      </w:r>
      <w:r>
        <w:rPr>
          <w:b/>
          <w:bCs/>
          <w:i/>
          <w:iCs/>
          <w:lang w:val="en-US"/>
        </w:rPr>
        <w:t xml:space="preserve"> </w:t>
      </w:r>
      <w:r w:rsidR="00082794">
        <w:rPr>
          <w:b/>
          <w:bCs/>
          <w:i/>
          <w:iCs/>
          <w:lang w:val="en-US"/>
        </w:rPr>
        <w:t xml:space="preserve">For DL RSs that cannot share the same indicated TCI state as </w:t>
      </w:r>
      <w:r w:rsidR="00D80226">
        <w:rPr>
          <w:b/>
          <w:bCs/>
          <w:i/>
          <w:iCs/>
          <w:lang w:val="en-US"/>
        </w:rPr>
        <w:t xml:space="preserve">the PDSCH and all or subset of CORESETs in a CC, Alt. 2 is adopted. </w:t>
      </w:r>
    </w:p>
    <w:p w14:paraId="68C6D152" w14:textId="77777777" w:rsidR="002B3177" w:rsidRDefault="002B3177" w:rsidP="005E7DF4">
      <w:pPr>
        <w:pStyle w:val="bullet1"/>
        <w:numPr>
          <w:ilvl w:val="0"/>
          <w:numId w:val="0"/>
        </w:numPr>
        <w:rPr>
          <w:lang w:val="en-US"/>
        </w:rPr>
      </w:pPr>
    </w:p>
    <w:p w14:paraId="5DD1F552" w14:textId="5CC0BAB0" w:rsidR="00D74937" w:rsidRDefault="00F90D61" w:rsidP="005E7DF4">
      <w:pPr>
        <w:pStyle w:val="bullet1"/>
        <w:numPr>
          <w:ilvl w:val="0"/>
          <w:numId w:val="0"/>
        </w:numPr>
        <w:rPr>
          <w:lang w:val="en-US"/>
        </w:rPr>
      </w:pPr>
      <w:r>
        <w:rPr>
          <w:lang w:val="en-US"/>
        </w:rPr>
        <w:t xml:space="preserve">In RAN1#104-e it was agreed that supported source/target QCL relations in Rel-16 are also valid for the Rel-17 unified TCI framework. </w:t>
      </w:r>
      <w:r w:rsidR="001C5B75">
        <w:rPr>
          <w:lang w:val="en-US"/>
        </w:rPr>
        <w:t xml:space="preserve">There was additional discussion whether SSB and SRS for beam management should be supported as additional source RS for </w:t>
      </w:r>
      <w:r w:rsidR="00D2491A">
        <w:rPr>
          <w:lang w:val="en-US"/>
        </w:rPr>
        <w:t xml:space="preserve">DL QCL Type D. On the issue of using SSB directly as a source RS for DL, </w:t>
      </w:r>
      <w:r w:rsidR="00495007">
        <w:rPr>
          <w:lang w:val="en-US"/>
        </w:rPr>
        <w:t>the technical benefits of such a configuration do not seem very clear since CSI-RS for tracking is mandatorily configured and it is quasi co-located with a</w:t>
      </w:r>
      <w:r w:rsidR="007735AE">
        <w:rPr>
          <w:lang w:val="en-US"/>
        </w:rPr>
        <w:t>n SSB. Hence configuring the TRS as a QCL source should serve the same purpose without additional support of SSB as a direct QCL source. For CA cases, the TRS can be QCL</w:t>
      </w:r>
      <w:r w:rsidR="00DE5566">
        <w:rPr>
          <w:lang w:val="en-US"/>
        </w:rPr>
        <w:t>-</w:t>
      </w:r>
      <w:r w:rsidR="007735AE">
        <w:rPr>
          <w:lang w:val="en-US"/>
        </w:rPr>
        <w:t xml:space="preserve">ed with the same SSB and </w:t>
      </w:r>
      <w:r w:rsidR="00093629">
        <w:rPr>
          <w:lang w:val="en-US"/>
        </w:rPr>
        <w:t xml:space="preserve">hence motivation to additionally support the SSB is unclear. </w:t>
      </w:r>
    </w:p>
    <w:p w14:paraId="7E4C75A5" w14:textId="564A4602" w:rsidR="00093629" w:rsidRDefault="00093629" w:rsidP="005E7DF4">
      <w:pPr>
        <w:pStyle w:val="bullet1"/>
        <w:numPr>
          <w:ilvl w:val="0"/>
          <w:numId w:val="0"/>
        </w:numPr>
        <w:rPr>
          <w:lang w:val="en-US"/>
        </w:rPr>
      </w:pPr>
    </w:p>
    <w:p w14:paraId="7A6C995C" w14:textId="41C59AD7" w:rsidR="00093629" w:rsidRPr="009166EE" w:rsidRDefault="00093629" w:rsidP="005E7DF4">
      <w:pPr>
        <w:pStyle w:val="bullet1"/>
        <w:numPr>
          <w:ilvl w:val="0"/>
          <w:numId w:val="0"/>
        </w:numPr>
        <w:rPr>
          <w:b/>
          <w:bCs/>
          <w:i/>
          <w:iCs/>
          <w:lang w:val="en-US"/>
        </w:rPr>
      </w:pPr>
      <w:r w:rsidRPr="009166EE">
        <w:rPr>
          <w:b/>
          <w:bCs/>
          <w:i/>
          <w:iCs/>
          <w:lang w:val="en-US"/>
        </w:rPr>
        <w:t>Proposal</w:t>
      </w:r>
      <w:r w:rsidR="00C70A55">
        <w:rPr>
          <w:b/>
          <w:bCs/>
          <w:i/>
          <w:iCs/>
          <w:lang w:val="en-US"/>
        </w:rPr>
        <w:t xml:space="preserve"> </w:t>
      </w:r>
      <w:r w:rsidR="00A50A9E">
        <w:rPr>
          <w:b/>
          <w:bCs/>
          <w:i/>
          <w:iCs/>
          <w:lang w:val="en-US"/>
        </w:rPr>
        <w:t>6</w:t>
      </w:r>
      <w:r w:rsidRPr="009166EE">
        <w:rPr>
          <w:b/>
          <w:bCs/>
          <w:i/>
          <w:iCs/>
          <w:lang w:val="en-US"/>
        </w:rPr>
        <w:t xml:space="preserve">: SSB is not required to be supported as an additional </w:t>
      </w:r>
      <w:r w:rsidR="009166EE" w:rsidRPr="009166EE">
        <w:rPr>
          <w:b/>
          <w:bCs/>
          <w:i/>
          <w:iCs/>
          <w:lang w:val="en-US"/>
        </w:rPr>
        <w:t xml:space="preserve">DL </w:t>
      </w:r>
      <w:r w:rsidRPr="009166EE">
        <w:rPr>
          <w:b/>
          <w:bCs/>
          <w:i/>
          <w:iCs/>
          <w:lang w:val="en-US"/>
        </w:rPr>
        <w:t xml:space="preserve">QCL </w:t>
      </w:r>
      <w:r w:rsidR="009166EE" w:rsidRPr="009166EE">
        <w:rPr>
          <w:b/>
          <w:bCs/>
          <w:i/>
          <w:iCs/>
          <w:lang w:val="en-US"/>
        </w:rPr>
        <w:t>source RS for the unified TCI framework.</w:t>
      </w:r>
    </w:p>
    <w:p w14:paraId="29495716" w14:textId="77777777" w:rsidR="00D74937" w:rsidRDefault="00D74937" w:rsidP="005E7DF4">
      <w:pPr>
        <w:pStyle w:val="bullet1"/>
        <w:numPr>
          <w:ilvl w:val="0"/>
          <w:numId w:val="0"/>
        </w:numPr>
        <w:rPr>
          <w:b/>
          <w:bCs/>
          <w:i/>
          <w:iCs/>
          <w:lang w:val="en-US"/>
        </w:rPr>
      </w:pPr>
    </w:p>
    <w:p w14:paraId="1945A122" w14:textId="5D9287FE" w:rsidR="00DC39CE" w:rsidRDefault="009166EE" w:rsidP="005E7DF4">
      <w:pPr>
        <w:pStyle w:val="bullet1"/>
        <w:numPr>
          <w:ilvl w:val="0"/>
          <w:numId w:val="0"/>
        </w:numPr>
      </w:pPr>
      <w:r w:rsidRPr="009166EE">
        <w:t>Simil</w:t>
      </w:r>
      <w:r>
        <w:t xml:space="preserve">arly, in the case of SRS for BM, it </w:t>
      </w:r>
      <w:r w:rsidR="000E2B8B">
        <w:t xml:space="preserve">is expected that a periodic DL RS is configured at least for pathloss estimation. Therefore, this periodic DL RS can be used as the QCL source without the need for configuring SRS as a QCL source and we see no benefit for such configuration. </w:t>
      </w:r>
    </w:p>
    <w:p w14:paraId="1C56D8AA" w14:textId="4AC2B831" w:rsidR="000E2B8B" w:rsidRDefault="000E2B8B" w:rsidP="005E7DF4">
      <w:pPr>
        <w:pStyle w:val="bullet1"/>
        <w:numPr>
          <w:ilvl w:val="0"/>
          <w:numId w:val="0"/>
        </w:numPr>
      </w:pPr>
    </w:p>
    <w:p w14:paraId="3CEE56AE" w14:textId="16BD7A4C" w:rsidR="000E2B8B" w:rsidRDefault="000E2B8B" w:rsidP="000E2B8B">
      <w:pPr>
        <w:pStyle w:val="bullet1"/>
        <w:numPr>
          <w:ilvl w:val="0"/>
          <w:numId w:val="0"/>
        </w:numPr>
        <w:rPr>
          <w:b/>
          <w:bCs/>
          <w:i/>
          <w:iCs/>
          <w:lang w:val="en-US"/>
        </w:rPr>
      </w:pPr>
      <w:r w:rsidRPr="000E2B8B">
        <w:rPr>
          <w:b/>
          <w:bCs/>
          <w:i/>
          <w:iCs/>
        </w:rPr>
        <w:t>Proposal</w:t>
      </w:r>
      <w:r w:rsidR="00C70A55">
        <w:rPr>
          <w:b/>
          <w:bCs/>
          <w:i/>
          <w:iCs/>
        </w:rPr>
        <w:t xml:space="preserve"> </w:t>
      </w:r>
      <w:r w:rsidR="00A50A9E">
        <w:rPr>
          <w:b/>
          <w:bCs/>
          <w:i/>
          <w:iCs/>
        </w:rPr>
        <w:t>7</w:t>
      </w:r>
      <w:r w:rsidRPr="000E2B8B">
        <w:rPr>
          <w:b/>
          <w:bCs/>
          <w:i/>
          <w:iCs/>
        </w:rPr>
        <w:t xml:space="preserve">: </w:t>
      </w:r>
      <w:r>
        <w:rPr>
          <w:b/>
          <w:bCs/>
          <w:i/>
          <w:iCs/>
        </w:rPr>
        <w:t xml:space="preserve">SRS for BM is not </w:t>
      </w:r>
      <w:r w:rsidRPr="009166EE">
        <w:rPr>
          <w:b/>
          <w:bCs/>
          <w:i/>
          <w:iCs/>
          <w:lang w:val="en-US"/>
        </w:rPr>
        <w:t>is not required to be supported as an additional DL QCL source RS for the unified TCI framework.</w:t>
      </w:r>
    </w:p>
    <w:p w14:paraId="4A7A9CE4" w14:textId="5CE1AECB" w:rsidR="00DB5836" w:rsidRDefault="00DB5836" w:rsidP="000E2B8B">
      <w:pPr>
        <w:pStyle w:val="bullet1"/>
        <w:numPr>
          <w:ilvl w:val="0"/>
          <w:numId w:val="0"/>
        </w:numPr>
        <w:rPr>
          <w:b/>
          <w:bCs/>
          <w:i/>
          <w:iCs/>
          <w:lang w:val="en-US"/>
        </w:rPr>
      </w:pPr>
    </w:p>
    <w:p w14:paraId="2B651539" w14:textId="77777777" w:rsidR="006065FC" w:rsidRPr="00412437" w:rsidRDefault="006065FC" w:rsidP="006065FC">
      <w:r w:rsidRPr="00412437">
        <w:t>SRS could be configured with usage of antenna switching for downlink precoder acquisition. The operation of SRS antenna switching is based on channel reciprocity in TDD system.</w:t>
      </w:r>
      <w:r>
        <w:t xml:space="preserve"> </w:t>
      </w:r>
      <w:r w:rsidRPr="00412437">
        <w:t xml:space="preserve">With joint DL/UL TCI state, the same beam </w:t>
      </w:r>
      <w:r>
        <w:t>is</w:t>
      </w:r>
      <w:r w:rsidRPr="00412437">
        <w:t xml:space="preserve"> </w:t>
      </w:r>
      <w:r>
        <w:t>assumed</w:t>
      </w:r>
      <w:r w:rsidRPr="00412437">
        <w:t xml:space="preserve"> for DL and UL. Therefore, the channel reciprocity could be guaranteed between DL and UL.</w:t>
      </w:r>
      <w:r>
        <w:t xml:space="preserve"> </w:t>
      </w:r>
      <w:r w:rsidRPr="00412437">
        <w:t>However, if separate DL/UL TCI state is used for the UE, different beam are used for DL and UL. If separate UL TCI state is used for SRS, then there is no channel reciprocity. In this case, for SRS antenna switching, the separate DL TCI state should be used for SRS transmission to ensure the channel reciprocity between DL and UL.</w:t>
      </w:r>
    </w:p>
    <w:p w14:paraId="5FEBEED7" w14:textId="4C3929D5" w:rsidR="006065FC" w:rsidRPr="00412437" w:rsidRDefault="006065FC" w:rsidP="006065FC">
      <w:pPr>
        <w:rPr>
          <w:b/>
          <w:bCs/>
          <w:i/>
          <w:iCs/>
        </w:rPr>
      </w:pPr>
      <w:r w:rsidRPr="00412437">
        <w:rPr>
          <w:b/>
          <w:bCs/>
          <w:i/>
          <w:iCs/>
        </w:rPr>
        <w:t>Proposal</w:t>
      </w:r>
      <w:r w:rsidR="00A50A9E">
        <w:rPr>
          <w:b/>
          <w:bCs/>
          <w:i/>
          <w:iCs/>
        </w:rPr>
        <w:t xml:space="preserve"> 8</w:t>
      </w:r>
      <w:r w:rsidRPr="00412437">
        <w:rPr>
          <w:b/>
          <w:bCs/>
          <w:i/>
          <w:iCs/>
        </w:rPr>
        <w:t>:</w:t>
      </w:r>
      <w:r>
        <w:rPr>
          <w:b/>
          <w:bCs/>
          <w:i/>
          <w:iCs/>
        </w:rPr>
        <w:t xml:space="preserve"> </w:t>
      </w:r>
      <w:r w:rsidRPr="00412437">
        <w:rPr>
          <w:b/>
          <w:bCs/>
          <w:i/>
          <w:iCs/>
        </w:rPr>
        <w:t>For SRS antenna switching, in addition to Rel-17 joint DL/UL TCI state, also support separate DL TCI state to guarantee the channel reciprocity for CSI measurement.</w:t>
      </w:r>
    </w:p>
    <w:p w14:paraId="195A14A3" w14:textId="76D8E4AB" w:rsidR="00F35F18" w:rsidRDefault="00F35F18" w:rsidP="005529D8">
      <w:pPr>
        <w:pStyle w:val="Heading2"/>
        <w:rPr>
          <w:lang w:val="en-US"/>
        </w:rPr>
      </w:pPr>
      <w:r>
        <w:rPr>
          <w:lang w:val="en-US"/>
        </w:rPr>
        <w:t>Use Case for M, N&gt;1</w:t>
      </w:r>
    </w:p>
    <w:p w14:paraId="2E686AE0" w14:textId="4D5F1A20" w:rsidR="00F35F18" w:rsidRDefault="00F35F18" w:rsidP="00F35F18">
      <w:pPr>
        <w:rPr>
          <w:lang w:val="en-US"/>
        </w:rPr>
      </w:pPr>
      <w:r>
        <w:rPr>
          <w:lang w:val="en-US"/>
        </w:rPr>
        <w:t xml:space="preserve">In Rel-17 unified TCI framework all agreements have been achieved assuming the </w:t>
      </w:r>
      <w:r w:rsidR="00AE482F">
        <w:rPr>
          <w:lang w:val="en-US"/>
        </w:rPr>
        <w:t xml:space="preserve">number of DL TCI state(s) M, and the number of UL TCI state(s) N, which provide spatial relation information </w:t>
      </w:r>
      <w:r w:rsidR="007605DA">
        <w:rPr>
          <w:lang w:val="en-US"/>
        </w:rPr>
        <w:t xml:space="preserve">is equal to 1 with the </w:t>
      </w:r>
      <w:r w:rsidR="007C5F3A">
        <w:rPr>
          <w:lang w:val="en-US"/>
        </w:rPr>
        <w:t>case for M,</w:t>
      </w:r>
      <w:r w:rsidR="004A0E98">
        <w:rPr>
          <w:lang w:val="en-US"/>
        </w:rPr>
        <w:t xml:space="preserve"> </w:t>
      </w:r>
      <w:r w:rsidR="007C5F3A">
        <w:rPr>
          <w:lang w:val="en-US"/>
        </w:rPr>
        <w:t xml:space="preserve">N &gt;1 being for further study. </w:t>
      </w:r>
      <w:r w:rsidR="004A0E98">
        <w:rPr>
          <w:lang w:val="en-US"/>
        </w:rPr>
        <w:t xml:space="preserve">While a natural use case for M, N&gt;1 stems from the multi-TRP scenarios, some companies have also advocated for the use of M, N&gt;1 for single TRP use cases. </w:t>
      </w:r>
      <w:r w:rsidR="00417435">
        <w:rPr>
          <w:lang w:val="en-US"/>
        </w:rPr>
        <w:t>In our understanding, the use case for single TRP with beam diversity is very limited. Since we have developed DCI based TCI state indication, such indication can be easily used with M=N=1 to update the beams for different CORESETs and their respective scheduled PDSCHs as required. Therefore, the effort to specify M, N&gt;1</w:t>
      </w:r>
      <w:r w:rsidR="00AE1606">
        <w:rPr>
          <w:lang w:val="en-US"/>
        </w:rPr>
        <w:t xml:space="preserve"> for single TRP is not justified given the amount of work pending already for the unified TCI framework in the current release</w:t>
      </w:r>
      <w:r w:rsidR="00594951">
        <w:rPr>
          <w:lang w:val="en-US"/>
        </w:rPr>
        <w:t xml:space="preserve"> which should be prioritized.</w:t>
      </w:r>
    </w:p>
    <w:p w14:paraId="547A2746" w14:textId="20C389BA" w:rsidR="00594951" w:rsidRDefault="00594951" w:rsidP="00F35F18">
      <w:pPr>
        <w:rPr>
          <w:lang w:val="en-US"/>
        </w:rPr>
      </w:pPr>
      <w:r>
        <w:rPr>
          <w:lang w:val="en-US"/>
        </w:rPr>
        <w:t xml:space="preserve">For the multi-TRP case, M, N =2 can be considered for the multi-DCI use case where </w:t>
      </w:r>
      <w:r w:rsidR="00285F3C">
        <w:rPr>
          <w:lang w:val="en-US"/>
        </w:rPr>
        <w:t xml:space="preserve">each TCI state can be associated with a </w:t>
      </w:r>
      <w:r w:rsidR="00285F3C" w:rsidRPr="007E70BE">
        <w:rPr>
          <w:i/>
          <w:iCs/>
          <w:lang w:val="en-US"/>
        </w:rPr>
        <w:t>CORESETPoolIndex</w:t>
      </w:r>
      <w:r w:rsidR="00285F3C">
        <w:rPr>
          <w:lang w:val="en-US"/>
        </w:rPr>
        <w:t xml:space="preserve">. For the single DCI case, it is not clear how N=2 works with joint DL/UL TCI for the uplink since single panel UE is assumed and the direction of uplink transmission is ambiguous. Furthermore, the multi-TRP </w:t>
      </w:r>
      <w:r w:rsidR="00C338F8">
        <w:rPr>
          <w:lang w:val="en-US"/>
        </w:rPr>
        <w:t xml:space="preserve">agenda item is still discussing and finalizing UL repetition schemes which need to be considered carefully for single DCI based beam management. Therefore, the </w:t>
      </w:r>
      <w:r w:rsidR="0017790D">
        <w:rPr>
          <w:lang w:val="en-US"/>
        </w:rPr>
        <w:t>single DCI use case should be handled in the next release when the details are finalized and available.</w:t>
      </w:r>
    </w:p>
    <w:p w14:paraId="08875833" w14:textId="44D95FB4" w:rsidR="0017790D" w:rsidRPr="007E70BE" w:rsidRDefault="0017790D" w:rsidP="00F35F18">
      <w:pPr>
        <w:rPr>
          <w:b/>
          <w:bCs/>
          <w:i/>
          <w:iCs/>
          <w:lang w:val="en-US"/>
        </w:rPr>
      </w:pPr>
      <w:r w:rsidRPr="007E70BE">
        <w:rPr>
          <w:b/>
          <w:bCs/>
          <w:i/>
          <w:iCs/>
          <w:lang w:val="en-US"/>
        </w:rPr>
        <w:t>Proposal</w:t>
      </w:r>
      <w:r w:rsidR="00A50A9E">
        <w:rPr>
          <w:b/>
          <w:bCs/>
          <w:i/>
          <w:iCs/>
          <w:lang w:val="en-US"/>
        </w:rPr>
        <w:t xml:space="preserve"> 9</w:t>
      </w:r>
      <w:r w:rsidRPr="007E70BE">
        <w:rPr>
          <w:b/>
          <w:bCs/>
          <w:i/>
          <w:iCs/>
          <w:lang w:val="en-US"/>
        </w:rPr>
        <w:t xml:space="preserve">: M, N&gt;1 should only be considered for multi-DCI multi-TRP where each </w:t>
      </w:r>
      <w:r w:rsidR="007E70BE" w:rsidRPr="007E70BE">
        <w:rPr>
          <w:b/>
          <w:bCs/>
          <w:i/>
          <w:iCs/>
          <w:lang w:val="en-US"/>
        </w:rPr>
        <w:t xml:space="preserve">TCI state is associated with a CORESETPoolIndex. </w:t>
      </w:r>
    </w:p>
    <w:p w14:paraId="17B94D35" w14:textId="77777777" w:rsidR="004A0E98" w:rsidRPr="00F35F18" w:rsidRDefault="004A0E98" w:rsidP="00F35F18">
      <w:pPr>
        <w:rPr>
          <w:lang w:val="en-US"/>
        </w:rPr>
      </w:pPr>
    </w:p>
    <w:p w14:paraId="4CCC0563" w14:textId="375D823C" w:rsidR="00A71B0A" w:rsidRDefault="00451C1F" w:rsidP="005529D8">
      <w:pPr>
        <w:pStyle w:val="Heading2"/>
        <w:rPr>
          <w:lang w:val="en-US"/>
        </w:rPr>
      </w:pPr>
      <w:r>
        <w:rPr>
          <w:lang w:val="en-US"/>
        </w:rPr>
        <w:t>T</w:t>
      </w:r>
      <w:r w:rsidR="00A71B0A">
        <w:rPr>
          <w:lang w:val="en-US"/>
        </w:rPr>
        <w:t>CI State Pool</w:t>
      </w:r>
      <w:r>
        <w:rPr>
          <w:lang w:val="en-US"/>
        </w:rPr>
        <w:t xml:space="preserve"> Design</w:t>
      </w:r>
      <w:r w:rsidR="00F90A89">
        <w:rPr>
          <w:lang w:val="en-US"/>
        </w:rPr>
        <w:t xml:space="preserve"> </w:t>
      </w:r>
    </w:p>
    <w:p w14:paraId="33D5C07E" w14:textId="5B668CD5" w:rsidR="001025A2" w:rsidRDefault="001025A2" w:rsidP="001025A2">
      <w:pPr>
        <w:pStyle w:val="Heading3"/>
      </w:pPr>
      <w:r>
        <w:t>TCI State Pool</w:t>
      </w:r>
    </w:p>
    <w:p w14:paraId="7C198070" w14:textId="40E8638C" w:rsidR="00BE1703" w:rsidRDefault="00D62101" w:rsidP="00591E71">
      <w:r>
        <w:t>Joint DL/UL TCI states for common DL/UL beam update</w:t>
      </w:r>
      <w:r w:rsidR="006822AF">
        <w:t>,</w:t>
      </w:r>
      <w:r>
        <w:t xml:space="preserve"> as well UL TCI state</w:t>
      </w:r>
      <w:r w:rsidR="006822AF">
        <w:t xml:space="preserve"> for separate UL beam update have been agreed. However, how these TCI states are configured to the UE is still under discussion. </w:t>
      </w:r>
      <w:r w:rsidR="000716DB">
        <w:t>Currently, the configuration and indication of TCI state for DL works via MAC-CE which activates up to 8 TCI states</w:t>
      </w:r>
      <w:r w:rsidR="00BE1703">
        <w:t xml:space="preserve">, one of which can be activated by the DL scheduling DCI. Similar operation is envisioned for Rel-17 beam indication </w:t>
      </w:r>
      <w:r w:rsidR="00ED75C2">
        <w:t xml:space="preserve">and therefore to simplify operation and reduce overhead of configuration, UL TCI states for separate beam indication should share the same TCI state </w:t>
      </w:r>
      <w:r w:rsidR="00F90A89">
        <w:t>pool along with</w:t>
      </w:r>
      <w:r w:rsidR="00ED75C2">
        <w:t xml:space="preserve"> DL TCI state</w:t>
      </w:r>
      <w:r w:rsidR="001C222D">
        <w:t>s</w:t>
      </w:r>
      <w:r w:rsidR="00ED75C2">
        <w:t xml:space="preserve">. If separate TCI state pools are chosen, then UE will need to be configured with two separate </w:t>
      </w:r>
      <w:r w:rsidR="00953C4F">
        <w:t xml:space="preserve">activated TCI state lists by different MAC-CEs leading to higher DL overhead while the benefits for such </w:t>
      </w:r>
      <w:r w:rsidR="00794B96">
        <w:t xml:space="preserve">configuration is unclear. </w:t>
      </w:r>
      <w:r w:rsidR="00BD6BB1">
        <w:t xml:space="preserve">Additionally, as agreed in RAN1-105e, the configuration of joint vs. separate DL/UL TCI is RRC based therefore, using a single TCI state pool would be much better in terms of configuration. </w:t>
      </w:r>
    </w:p>
    <w:p w14:paraId="7A518335" w14:textId="1D5FF7CA" w:rsidR="005E7DF4" w:rsidRDefault="005E7DF4" w:rsidP="005E7DF4">
      <w:pPr>
        <w:pStyle w:val="bullet1"/>
        <w:numPr>
          <w:ilvl w:val="0"/>
          <w:numId w:val="0"/>
        </w:numPr>
        <w:rPr>
          <w:b/>
          <w:bCs/>
          <w:i/>
          <w:iCs/>
        </w:rPr>
      </w:pPr>
      <w:r w:rsidRPr="00DA4406">
        <w:rPr>
          <w:b/>
          <w:bCs/>
          <w:i/>
          <w:iCs/>
        </w:rPr>
        <w:t>Proposal</w:t>
      </w:r>
      <w:r w:rsidR="00D71392">
        <w:rPr>
          <w:b/>
          <w:bCs/>
          <w:i/>
          <w:iCs/>
        </w:rPr>
        <w:t xml:space="preserve"> </w:t>
      </w:r>
      <w:r w:rsidR="00A50A9E">
        <w:rPr>
          <w:b/>
          <w:bCs/>
          <w:i/>
          <w:iCs/>
        </w:rPr>
        <w:t>10</w:t>
      </w:r>
      <w:r w:rsidRPr="00DA4406">
        <w:rPr>
          <w:b/>
          <w:bCs/>
          <w:i/>
          <w:iCs/>
        </w:rPr>
        <w:t xml:space="preserve">: </w:t>
      </w:r>
      <w:r w:rsidR="00752A4B">
        <w:rPr>
          <w:b/>
          <w:bCs/>
          <w:i/>
          <w:iCs/>
        </w:rPr>
        <w:t>Separate</w:t>
      </w:r>
      <w:r w:rsidRPr="00DA4406">
        <w:rPr>
          <w:b/>
          <w:bCs/>
          <w:i/>
          <w:iCs/>
        </w:rPr>
        <w:t xml:space="preserve"> UL TCI states</w:t>
      </w:r>
      <w:r w:rsidR="00752A4B">
        <w:rPr>
          <w:b/>
          <w:bCs/>
          <w:i/>
          <w:iCs/>
        </w:rPr>
        <w:t xml:space="preserve"> and joint DL/UL TCI states</w:t>
      </w:r>
      <w:r w:rsidRPr="00DA4406">
        <w:rPr>
          <w:b/>
          <w:bCs/>
          <w:i/>
          <w:iCs/>
        </w:rPr>
        <w:t xml:space="preserve"> will share the </w:t>
      </w:r>
      <w:r w:rsidR="001025A2">
        <w:rPr>
          <w:b/>
          <w:bCs/>
          <w:i/>
          <w:iCs/>
        </w:rPr>
        <w:t xml:space="preserve">same TCI state pool as </w:t>
      </w:r>
      <w:r w:rsidRPr="00DA4406">
        <w:rPr>
          <w:b/>
          <w:bCs/>
          <w:i/>
          <w:iCs/>
        </w:rPr>
        <w:t>DL TCI states.</w:t>
      </w:r>
    </w:p>
    <w:p w14:paraId="6F3D6886" w14:textId="74BFCC1C" w:rsidR="001025A2" w:rsidRDefault="001025A2" w:rsidP="005E7DF4">
      <w:pPr>
        <w:pStyle w:val="bullet1"/>
        <w:numPr>
          <w:ilvl w:val="0"/>
          <w:numId w:val="0"/>
        </w:numPr>
        <w:rPr>
          <w:b/>
          <w:bCs/>
          <w:lang w:val="en-US"/>
        </w:rPr>
      </w:pPr>
    </w:p>
    <w:p w14:paraId="7D064D19" w14:textId="32EF04FF" w:rsidR="007D6877" w:rsidRPr="007D6877" w:rsidRDefault="007D6877" w:rsidP="005E7DF4">
      <w:pPr>
        <w:pStyle w:val="bullet1"/>
        <w:numPr>
          <w:ilvl w:val="0"/>
          <w:numId w:val="0"/>
        </w:numPr>
        <w:rPr>
          <w:lang w:val="en-US"/>
        </w:rPr>
      </w:pPr>
      <w:r w:rsidRPr="007D6877">
        <w:rPr>
          <w:lang w:val="en-US"/>
        </w:rPr>
        <w:t xml:space="preserve">For </w:t>
      </w:r>
      <w:r>
        <w:rPr>
          <w:lang w:val="en-US"/>
        </w:rPr>
        <w:t xml:space="preserve">common TCI state pool design, certain fields in the TCI state IE can be </w:t>
      </w:r>
      <w:r w:rsidR="0038415A">
        <w:rPr>
          <w:lang w:val="en-US"/>
        </w:rPr>
        <w:t xml:space="preserve">optional for different types of TCI states i.e., UL power control related parameters are omitted from DL TCI states. </w:t>
      </w:r>
    </w:p>
    <w:p w14:paraId="294BAACE" w14:textId="5EF3D6E5" w:rsidR="00094FCB" w:rsidRDefault="00BB35FB" w:rsidP="001025A2">
      <w:pPr>
        <w:pStyle w:val="Heading3"/>
        <w:rPr>
          <w:lang w:val="en-US"/>
        </w:rPr>
      </w:pPr>
      <w:r>
        <w:rPr>
          <w:lang w:val="en-US"/>
        </w:rPr>
        <w:t>TCI State Configuration and Usage Indication</w:t>
      </w:r>
    </w:p>
    <w:p w14:paraId="2D066075" w14:textId="169756EF" w:rsidR="001E6FB8" w:rsidRDefault="00BB35FB" w:rsidP="00BB35FB">
      <w:pPr>
        <w:rPr>
          <w:lang w:eastAsia="ko-KR"/>
        </w:rPr>
      </w:pPr>
      <w:r>
        <w:rPr>
          <w:lang w:val="en-US"/>
        </w:rPr>
        <w:t xml:space="preserve">The Rel-17 unified TCI framework </w:t>
      </w:r>
      <w:r w:rsidR="008C1106">
        <w:rPr>
          <w:lang w:val="en-US"/>
        </w:rPr>
        <w:t xml:space="preserve">is envisioned to be a flexible framework enabling fast beam switching across a </w:t>
      </w:r>
      <w:r w:rsidR="00635EE6">
        <w:rPr>
          <w:lang w:val="en-US"/>
        </w:rPr>
        <w:t xml:space="preserve">multitude of scenarios. </w:t>
      </w:r>
      <w:r w:rsidR="00C93226">
        <w:rPr>
          <w:lang w:val="en-US"/>
        </w:rPr>
        <w:t>For the case when RRC configures the use of separate DL/UL TCI states, it was agreed that each TCI codepoint can map to either a single DL TCI, single UL TCI or a pair of DL and UL TCI states.</w:t>
      </w:r>
      <w:r w:rsidR="0018322F">
        <w:rPr>
          <w:lang w:val="en-US"/>
        </w:rPr>
        <w:t xml:space="preserve"> </w:t>
      </w:r>
      <w:r w:rsidR="00635EE6">
        <w:rPr>
          <w:lang w:val="en-US"/>
        </w:rPr>
        <w:t xml:space="preserve">Since the framework now includes three different types of TCI </w:t>
      </w:r>
      <w:r w:rsidR="00C93226">
        <w:rPr>
          <w:lang w:val="en-US"/>
        </w:rPr>
        <w:t>codepoints</w:t>
      </w:r>
      <w:r w:rsidR="00635EE6">
        <w:rPr>
          <w:lang w:val="en-US"/>
        </w:rPr>
        <w:t xml:space="preserve">, </w:t>
      </w:r>
      <w:r w:rsidR="00B52BC3">
        <w:rPr>
          <w:lang w:val="en-US"/>
        </w:rPr>
        <w:t xml:space="preserve">a UE should </w:t>
      </w:r>
      <w:r w:rsidR="00834137">
        <w:rPr>
          <w:lang w:val="en-US"/>
        </w:rPr>
        <w:t>be indicated with the usage type of each mapped TCI codepoint.</w:t>
      </w:r>
      <w:r w:rsidR="00A95491">
        <w:rPr>
          <w:lang w:val="en-US"/>
        </w:rPr>
        <w:t xml:space="preserve"> </w:t>
      </w:r>
      <w:r w:rsidR="00F76793">
        <w:rPr>
          <w:lang w:eastAsia="ko-KR"/>
        </w:rPr>
        <w:t>T</w:t>
      </w:r>
      <w:r w:rsidR="006D4DCD">
        <w:rPr>
          <w:lang w:eastAsia="ko-KR"/>
        </w:rPr>
        <w:t xml:space="preserve">he MAC-CE </w:t>
      </w:r>
      <w:r w:rsidR="00F76793">
        <w:rPr>
          <w:lang w:eastAsia="ko-KR"/>
        </w:rPr>
        <w:t>for updating TCI codepoints can</w:t>
      </w:r>
      <w:r w:rsidR="006D4DCD">
        <w:rPr>
          <w:lang w:eastAsia="ko-KR"/>
        </w:rPr>
        <w:t xml:space="preserve"> additionally configure TCI usage per codepoint such that the UE knows </w:t>
      </w:r>
      <w:r w:rsidR="00B502AF">
        <w:rPr>
          <w:lang w:eastAsia="ko-KR"/>
        </w:rPr>
        <w:t xml:space="preserve">the type of TCI state when indicated with a DCI codepoint. </w:t>
      </w:r>
    </w:p>
    <w:p w14:paraId="606DCC7B" w14:textId="6BB1D675" w:rsidR="00F81E55" w:rsidRDefault="002A570C" w:rsidP="00BB35FB">
      <w:pPr>
        <w:rPr>
          <w:lang w:eastAsia="ko-KR"/>
        </w:rPr>
      </w:pPr>
      <w:r>
        <w:rPr>
          <w:noProof/>
        </w:rPr>
        <w:drawing>
          <wp:anchor distT="0" distB="0" distL="114300" distR="114300" simplePos="0" relativeHeight="251659264" behindDoc="0" locked="0" layoutInCell="1" allowOverlap="1" wp14:anchorId="29B0764B" wp14:editId="66D9BBEA">
            <wp:simplePos x="0" y="0"/>
            <wp:positionH relativeFrom="column">
              <wp:posOffset>1619250</wp:posOffset>
            </wp:positionH>
            <wp:positionV relativeFrom="paragraph">
              <wp:posOffset>208915</wp:posOffset>
            </wp:positionV>
            <wp:extent cx="2901315" cy="2031365"/>
            <wp:effectExtent l="0" t="0" r="0" b="6985"/>
            <wp:wrapTopAndBottom/>
            <wp:docPr id="12"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901315" cy="20313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anchor>
        </w:drawing>
      </w:r>
    </w:p>
    <w:p w14:paraId="7F462C51" w14:textId="1906A564" w:rsidR="00F81E55" w:rsidRPr="008A2444" w:rsidRDefault="00F81E55" w:rsidP="00F81E55">
      <w:pPr>
        <w:pStyle w:val="Caption"/>
        <w:jc w:val="center"/>
        <w:rPr>
          <w:bCs w:val="0"/>
          <w:sz w:val="22"/>
        </w:rPr>
      </w:pPr>
      <w:bookmarkStart w:id="0" w:name="_Ref62471865"/>
      <w:r w:rsidRPr="008A2444">
        <w:t xml:space="preserve">Figure </w:t>
      </w:r>
      <w:r w:rsidRPr="008A2444">
        <w:fldChar w:fldCharType="begin"/>
      </w:r>
      <w:r w:rsidRPr="008A2444">
        <w:instrText xml:space="preserve"> SEQ Figure \* ARABIC </w:instrText>
      </w:r>
      <w:r w:rsidRPr="008A2444">
        <w:fldChar w:fldCharType="separate"/>
      </w:r>
      <w:r w:rsidR="00D71083">
        <w:rPr>
          <w:noProof/>
        </w:rPr>
        <w:t>1</w:t>
      </w:r>
      <w:r w:rsidRPr="008A2444">
        <w:fldChar w:fldCharType="end"/>
      </w:r>
      <w:bookmarkEnd w:id="0"/>
      <w:r w:rsidRPr="008A2444">
        <w:t>: Enhanced TCI States Activation/Deactivation for UE-specific PDSCH MAC CE</w:t>
      </w:r>
    </w:p>
    <w:p w14:paraId="52DBFF5E" w14:textId="77777777" w:rsidR="002A570C" w:rsidRDefault="002A570C" w:rsidP="00BB35FB">
      <w:pPr>
        <w:rPr>
          <w:lang w:eastAsia="ko-KR"/>
        </w:rPr>
      </w:pPr>
    </w:p>
    <w:p w14:paraId="18FE60CE" w14:textId="1ED45560" w:rsidR="00F81E55" w:rsidRDefault="00374916" w:rsidP="00BB35FB">
      <w:pPr>
        <w:rPr>
          <w:lang w:eastAsia="ko-KR"/>
        </w:rPr>
      </w:pPr>
      <w:r>
        <w:rPr>
          <w:lang w:eastAsia="ko-KR"/>
        </w:rPr>
        <w:t xml:space="preserve">For example, we can consider the enhanced TCI activation MAC-CE. </w:t>
      </w:r>
      <w:r w:rsidRPr="00374916">
        <w:rPr>
          <w:bCs/>
          <w:lang w:val="en-US" w:eastAsia="zh-CN" w:bidi="hi-IN"/>
        </w:rPr>
        <w:t xml:space="preserve">The Reserve field can be used for </w:t>
      </w:r>
      <w:r w:rsidR="00E13CF3">
        <w:rPr>
          <w:bCs/>
          <w:lang w:val="en-US" w:eastAsia="zh-CN" w:bidi="hi-IN"/>
        </w:rPr>
        <w:t>TCI usage</w:t>
      </w:r>
      <w:r w:rsidRPr="00374916">
        <w:rPr>
          <w:bCs/>
          <w:lang w:val="en-US" w:eastAsia="zh-CN" w:bidi="hi-IN"/>
        </w:rPr>
        <w:t xml:space="preserve"> indication and the combination of the </w:t>
      </w:r>
      <w:r w:rsidRPr="00374916">
        <w:rPr>
          <w:bCs/>
          <w:i/>
          <w:iCs/>
          <w:lang w:val="en-US" w:eastAsia="zh-CN" w:bidi="hi-IN"/>
        </w:rPr>
        <w:t>C</w:t>
      </w:r>
      <w:r w:rsidRPr="00374916">
        <w:rPr>
          <w:bCs/>
          <w:i/>
          <w:iCs/>
          <w:vertAlign w:val="subscript"/>
          <w:lang w:val="en-US" w:eastAsia="zh-CN" w:bidi="hi-IN"/>
        </w:rPr>
        <w:t xml:space="preserve">i </w:t>
      </w:r>
      <w:r w:rsidRPr="00374916">
        <w:rPr>
          <w:bCs/>
          <w:lang w:val="en-US" w:eastAsia="zh-CN" w:bidi="hi-IN"/>
        </w:rPr>
        <w:t xml:space="preserve">bit and R bit can be </w:t>
      </w:r>
      <w:r w:rsidR="00DC0FC3">
        <w:rPr>
          <w:bCs/>
          <w:lang w:val="en-US" w:eastAsia="zh-CN" w:bidi="hi-IN"/>
        </w:rPr>
        <w:t>reinterpreted for TCI state usage indication.</w:t>
      </w:r>
    </w:p>
    <w:p w14:paraId="1130B4DA" w14:textId="610ECF3F" w:rsidR="007D6877" w:rsidRPr="007D6877" w:rsidRDefault="00014A2C" w:rsidP="00BB35FB">
      <w:pPr>
        <w:rPr>
          <w:b/>
          <w:bCs/>
          <w:i/>
          <w:iCs/>
          <w:lang w:eastAsia="ko-KR"/>
        </w:rPr>
      </w:pPr>
      <w:r w:rsidRPr="006C688A">
        <w:rPr>
          <w:b/>
          <w:bCs/>
          <w:i/>
          <w:iCs/>
          <w:lang w:eastAsia="ko-KR"/>
        </w:rPr>
        <w:t>Proposal</w:t>
      </w:r>
      <w:r w:rsidR="0089076E">
        <w:rPr>
          <w:b/>
          <w:bCs/>
          <w:i/>
          <w:iCs/>
          <w:lang w:eastAsia="ko-KR"/>
        </w:rPr>
        <w:t xml:space="preserve"> </w:t>
      </w:r>
      <w:r w:rsidR="00A50A9E">
        <w:rPr>
          <w:b/>
          <w:bCs/>
          <w:i/>
          <w:iCs/>
          <w:lang w:eastAsia="ko-KR"/>
        </w:rPr>
        <w:t>11</w:t>
      </w:r>
      <w:r w:rsidRPr="006C688A">
        <w:rPr>
          <w:b/>
          <w:bCs/>
          <w:i/>
          <w:iCs/>
          <w:lang w:eastAsia="ko-KR"/>
        </w:rPr>
        <w:t xml:space="preserve">: TCI state usage </w:t>
      </w:r>
      <w:r w:rsidR="00AA06C0" w:rsidRPr="006C688A">
        <w:rPr>
          <w:b/>
          <w:bCs/>
          <w:i/>
          <w:iCs/>
          <w:lang w:eastAsia="ko-KR"/>
        </w:rPr>
        <w:t>can be configured via MAC-CE where the type of TCI state configured to each codepoint is separately configure</w:t>
      </w:r>
      <w:r w:rsidR="006C688A" w:rsidRPr="006C688A">
        <w:rPr>
          <w:b/>
          <w:bCs/>
          <w:i/>
          <w:iCs/>
          <w:lang w:eastAsia="ko-KR"/>
        </w:rPr>
        <w:t xml:space="preserve">d. </w:t>
      </w:r>
      <w:r w:rsidR="006C688A">
        <w:rPr>
          <w:b/>
          <w:bCs/>
          <w:i/>
          <w:iCs/>
          <w:lang w:eastAsia="ko-KR"/>
        </w:rPr>
        <w:t>The UE when indicated with a TCI codepoint</w:t>
      </w:r>
      <w:r w:rsidR="00480497">
        <w:rPr>
          <w:b/>
          <w:bCs/>
          <w:i/>
          <w:iCs/>
          <w:lang w:eastAsia="ko-KR"/>
        </w:rPr>
        <w:t xml:space="preserve"> associates the codepoint </w:t>
      </w:r>
      <w:r w:rsidR="0018322F">
        <w:rPr>
          <w:b/>
          <w:bCs/>
          <w:i/>
          <w:iCs/>
          <w:lang w:eastAsia="ko-KR"/>
        </w:rPr>
        <w:t xml:space="preserve">with </w:t>
      </w:r>
      <w:r w:rsidR="00480497">
        <w:rPr>
          <w:b/>
          <w:bCs/>
          <w:i/>
          <w:iCs/>
          <w:lang w:eastAsia="ko-KR"/>
        </w:rPr>
        <w:t>separate DL</w:t>
      </w:r>
      <w:r w:rsidR="0018322F">
        <w:rPr>
          <w:b/>
          <w:bCs/>
          <w:i/>
          <w:iCs/>
          <w:lang w:eastAsia="ko-KR"/>
        </w:rPr>
        <w:t xml:space="preserve">, separate </w:t>
      </w:r>
      <w:r w:rsidR="00480497">
        <w:rPr>
          <w:b/>
          <w:bCs/>
          <w:i/>
          <w:iCs/>
          <w:lang w:eastAsia="ko-KR"/>
        </w:rPr>
        <w:t>UL</w:t>
      </w:r>
      <w:r w:rsidR="00D02685">
        <w:rPr>
          <w:b/>
          <w:bCs/>
          <w:i/>
          <w:iCs/>
          <w:lang w:eastAsia="ko-KR"/>
        </w:rPr>
        <w:t>, or a separate DL and UL</w:t>
      </w:r>
      <w:r w:rsidR="00480497">
        <w:rPr>
          <w:b/>
          <w:bCs/>
          <w:i/>
          <w:iCs/>
          <w:lang w:eastAsia="ko-KR"/>
        </w:rPr>
        <w:t xml:space="preserve"> TCI state based on </w:t>
      </w:r>
      <w:r w:rsidR="00DC0FC3">
        <w:rPr>
          <w:b/>
          <w:bCs/>
          <w:i/>
          <w:iCs/>
          <w:lang w:eastAsia="ko-KR"/>
        </w:rPr>
        <w:t xml:space="preserve">the </w:t>
      </w:r>
      <w:r w:rsidR="00480497">
        <w:rPr>
          <w:b/>
          <w:bCs/>
          <w:i/>
          <w:iCs/>
          <w:lang w:eastAsia="ko-KR"/>
        </w:rPr>
        <w:t>MAC-CE configuration</w:t>
      </w:r>
      <w:r w:rsidR="00DC0FC3">
        <w:rPr>
          <w:b/>
          <w:bCs/>
          <w:i/>
          <w:iCs/>
          <w:lang w:eastAsia="ko-KR"/>
        </w:rPr>
        <w:t xml:space="preserve"> for the indicated codepoint</w:t>
      </w:r>
      <w:r w:rsidR="00480497">
        <w:rPr>
          <w:b/>
          <w:bCs/>
          <w:i/>
          <w:iCs/>
          <w:lang w:eastAsia="ko-KR"/>
        </w:rPr>
        <w:t xml:space="preserve">. </w:t>
      </w:r>
    </w:p>
    <w:p w14:paraId="05B056D0" w14:textId="305AFC77" w:rsidR="003714B4" w:rsidRDefault="00D81EB1" w:rsidP="003714B4">
      <w:pPr>
        <w:pStyle w:val="Heading1"/>
        <w:pBdr>
          <w:top w:val="single" w:sz="12" w:space="4" w:color="auto"/>
        </w:pBdr>
        <w:rPr>
          <w:rFonts w:cs="Arial"/>
          <w:sz w:val="32"/>
          <w:szCs w:val="18"/>
          <w:lang w:val="en-US"/>
        </w:rPr>
      </w:pPr>
      <w:bookmarkStart w:id="1" w:name="_Hlk47732020"/>
      <w:r>
        <w:rPr>
          <w:rFonts w:cs="Arial"/>
          <w:sz w:val="32"/>
          <w:szCs w:val="18"/>
          <w:lang w:val="en-US"/>
        </w:rPr>
        <w:lastRenderedPageBreak/>
        <w:t xml:space="preserve">Issue 2: </w:t>
      </w:r>
      <w:r w:rsidR="004B0971">
        <w:rPr>
          <w:rFonts w:cs="Arial"/>
          <w:sz w:val="32"/>
          <w:szCs w:val="18"/>
          <w:lang w:val="en-US"/>
        </w:rPr>
        <w:t xml:space="preserve">L1/L2 based </w:t>
      </w:r>
      <w:r w:rsidR="003714B4">
        <w:rPr>
          <w:rFonts w:cs="Arial"/>
          <w:sz w:val="32"/>
          <w:szCs w:val="18"/>
          <w:lang w:val="en-US"/>
        </w:rPr>
        <w:t>Inter Cell Mobility</w:t>
      </w:r>
    </w:p>
    <w:p w14:paraId="37FD8F56" w14:textId="166DB19E" w:rsidR="00C834A3" w:rsidRDefault="0029466E" w:rsidP="00C834A3">
      <w:pPr>
        <w:rPr>
          <w:lang w:val="en-US"/>
        </w:rPr>
      </w:pPr>
      <w:r>
        <w:rPr>
          <w:lang w:val="en-US"/>
        </w:rPr>
        <w:t xml:space="preserve">In the update WID for MIMO </w:t>
      </w:r>
      <w:r>
        <w:rPr>
          <w:lang w:val="en-US"/>
        </w:rPr>
        <w:fldChar w:fldCharType="begin"/>
      </w:r>
      <w:r>
        <w:rPr>
          <w:lang w:val="en-US"/>
        </w:rPr>
        <w:instrText xml:space="preserve"> REF _Ref79150108 \r \h </w:instrText>
      </w:r>
      <w:r>
        <w:rPr>
          <w:lang w:val="en-US"/>
        </w:rPr>
      </w:r>
      <w:r>
        <w:rPr>
          <w:lang w:val="en-US"/>
        </w:rPr>
        <w:fldChar w:fldCharType="separate"/>
      </w:r>
      <w:r>
        <w:rPr>
          <w:lang w:val="en-US"/>
        </w:rPr>
        <w:t>[2]</w:t>
      </w:r>
      <w:r>
        <w:rPr>
          <w:lang w:val="en-US"/>
        </w:rPr>
        <w:fldChar w:fldCharType="end"/>
      </w:r>
      <w:r>
        <w:rPr>
          <w:lang w:val="en-US"/>
        </w:rPr>
        <w:t xml:space="preserve">, it was clarified that in Rel-17 L1/L2 centric mobility will only assume </w:t>
      </w:r>
      <w:r w:rsidR="00E957B8">
        <w:rPr>
          <w:lang w:val="en-US"/>
        </w:rPr>
        <w:t xml:space="preserve">cases where there is no change in serving cell. This </w:t>
      </w:r>
      <w:r w:rsidR="00A633F7">
        <w:rPr>
          <w:lang w:val="en-US"/>
        </w:rPr>
        <w:t xml:space="preserve">implies a multi-TRP type operation </w:t>
      </w:r>
      <w:r w:rsidR="006A6700">
        <w:rPr>
          <w:lang w:val="en-US"/>
        </w:rPr>
        <w:t>where the UE measures on beams from non-serving cell TRPs and can be switched to those TCI states based on L1 measurement</w:t>
      </w:r>
      <w:r w:rsidR="00383F1F">
        <w:rPr>
          <w:lang w:val="en-US"/>
        </w:rPr>
        <w:t>, while still maintaining connection with the serving cell. Since more than on</w:t>
      </w:r>
      <w:r w:rsidR="0055348F">
        <w:rPr>
          <w:lang w:val="en-US"/>
        </w:rPr>
        <w:t xml:space="preserve">e non-serving cell TRP can be monitored by the UE, </w:t>
      </w:r>
      <w:r w:rsidR="00C44416">
        <w:rPr>
          <w:lang w:val="en-US"/>
        </w:rPr>
        <w:t xml:space="preserve">we further discuss some relevant issues for L1/L2 centric mobility under the updated assumptions. </w:t>
      </w:r>
    </w:p>
    <w:p w14:paraId="3B6BA484" w14:textId="47CA06A7" w:rsidR="00960DDC" w:rsidRDefault="00960DDC" w:rsidP="004B0971">
      <w:pPr>
        <w:pStyle w:val="Heading2"/>
        <w:rPr>
          <w:sz w:val="28"/>
          <w:szCs w:val="18"/>
          <w:lang w:val="en-US"/>
        </w:rPr>
      </w:pPr>
      <w:r>
        <w:rPr>
          <w:sz w:val="28"/>
          <w:szCs w:val="18"/>
          <w:lang w:val="en-US"/>
        </w:rPr>
        <w:t>Timing Advance for Uplink in L1/L2 Mobility</w:t>
      </w:r>
    </w:p>
    <w:p w14:paraId="2C6E0884" w14:textId="7E982242" w:rsidR="00A96F4A" w:rsidRPr="00A96F4A" w:rsidRDefault="00A96F4A" w:rsidP="00A96F4A">
      <w:pPr>
        <w:rPr>
          <w:lang w:val="en-US"/>
        </w:rPr>
      </w:pPr>
      <w:r>
        <w:rPr>
          <w:lang w:val="en-US"/>
        </w:rPr>
        <w:t xml:space="preserve">In RAN1#104-e meeting, it was agreed that </w:t>
      </w:r>
      <w:r w:rsidR="004A7805">
        <w:rPr>
          <w:lang w:val="en-US"/>
        </w:rPr>
        <w:t>beam reporting from non-serving cells for up to K beams will be supported</w:t>
      </w:r>
      <w:r w:rsidR="00B768B5">
        <w:rPr>
          <w:lang w:val="en-US"/>
        </w:rPr>
        <w:t xml:space="preserve">. A UE which reports measurements from </w:t>
      </w:r>
      <w:r w:rsidR="00964B7F">
        <w:rPr>
          <w:lang w:val="en-US"/>
        </w:rPr>
        <w:t>a</w:t>
      </w:r>
      <w:r w:rsidR="009B5A07">
        <w:rPr>
          <w:lang w:val="en-US"/>
        </w:rPr>
        <w:t>n</w:t>
      </w:r>
      <w:r w:rsidR="00964B7F">
        <w:rPr>
          <w:lang w:val="en-US"/>
        </w:rPr>
        <w:t xml:space="preserve"> </w:t>
      </w:r>
      <w:r w:rsidR="005D379C">
        <w:rPr>
          <w:lang w:val="en-US"/>
        </w:rPr>
        <w:t>SSB,</w:t>
      </w:r>
      <w:r w:rsidR="00A27C01">
        <w:rPr>
          <w:lang w:val="en-US"/>
        </w:rPr>
        <w:t xml:space="preserve"> or potentially other RSs</w:t>
      </w:r>
      <w:r w:rsidR="00EB113E">
        <w:rPr>
          <w:lang w:val="en-US"/>
        </w:rPr>
        <w:t xml:space="preserve"> associated with non-serving cell </w:t>
      </w:r>
      <w:r w:rsidR="00A27C01">
        <w:rPr>
          <w:lang w:val="en-US"/>
        </w:rPr>
        <w:t xml:space="preserve">may be configured with a TCI state (joint DL/UL or separate UL) </w:t>
      </w:r>
      <w:r w:rsidR="00233BB1">
        <w:rPr>
          <w:lang w:val="en-US"/>
        </w:rPr>
        <w:t>corresponding to the non-serving cell. While measurement and reporting have been discuss</w:t>
      </w:r>
      <w:r w:rsidR="00E56897">
        <w:rPr>
          <w:lang w:val="en-US"/>
        </w:rPr>
        <w:t>ed</w:t>
      </w:r>
      <w:r w:rsidR="00233BB1">
        <w:rPr>
          <w:lang w:val="en-US"/>
        </w:rPr>
        <w:t xml:space="preserve"> thus far, uplink transmission has not been discussed in detail. Specifically</w:t>
      </w:r>
      <w:r w:rsidR="000F60BF">
        <w:rPr>
          <w:lang w:val="en-US"/>
        </w:rPr>
        <w:t xml:space="preserve">, in case the UE is switched to a new cell using only L1 measurements, the UE may also need to update its TA in the uplink assuming </w:t>
      </w:r>
      <w:r w:rsidR="00E56897">
        <w:rPr>
          <w:lang w:val="en-US"/>
        </w:rPr>
        <w:t xml:space="preserve">a synchronous network and within CP uplink reception in the new cell. In this case, if additional signaling is needed following TCI state indication i.e., RRC reconfiguration of TA groups (TAG) and additional MAC-CE signaling of TA </w:t>
      </w:r>
      <w:r w:rsidR="00FE417B">
        <w:rPr>
          <w:lang w:val="en-US"/>
        </w:rPr>
        <w:t xml:space="preserve">for the new cell, it may lead to added latency. </w:t>
      </w:r>
    </w:p>
    <w:p w14:paraId="0DC4982F" w14:textId="77777777" w:rsidR="00FE417B" w:rsidRDefault="003C0B22" w:rsidP="00FE417B">
      <w:pPr>
        <w:keepNext/>
        <w:jc w:val="center"/>
      </w:pPr>
      <w:r>
        <w:object w:dxaOrig="9781" w:dyaOrig="5461" w14:anchorId="4CF4C1A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95.5pt;height:165.75pt" o:ole="">
            <v:imagedata r:id="rId13" o:title=""/>
          </v:shape>
          <o:OLEObject Type="Embed" ProgID="Visio.Drawing.15" ShapeID="_x0000_i1025" DrawAspect="Content" ObjectID="_1689775798" r:id="rId14"/>
        </w:object>
      </w:r>
    </w:p>
    <w:p w14:paraId="5CDA2BDA" w14:textId="110DFB6D" w:rsidR="0083168E" w:rsidRDefault="00FE417B" w:rsidP="00FE417B">
      <w:pPr>
        <w:pStyle w:val="Caption"/>
        <w:jc w:val="center"/>
      </w:pPr>
      <w:bookmarkStart w:id="2" w:name="_Ref68612199"/>
      <w:r>
        <w:t xml:space="preserve">Figure </w:t>
      </w:r>
      <w:r>
        <w:fldChar w:fldCharType="begin"/>
      </w:r>
      <w:r>
        <w:instrText xml:space="preserve"> SEQ Figure \* ARABIC </w:instrText>
      </w:r>
      <w:r>
        <w:fldChar w:fldCharType="separate"/>
      </w:r>
      <w:r w:rsidR="00D71083">
        <w:rPr>
          <w:noProof/>
        </w:rPr>
        <w:t>2</w:t>
      </w:r>
      <w:r>
        <w:fldChar w:fldCharType="end"/>
      </w:r>
      <w:bookmarkEnd w:id="2"/>
      <w:r>
        <w:t>: Timing Advance update for L1/L2 centric inter-cell mobility</w:t>
      </w:r>
    </w:p>
    <w:p w14:paraId="5585F62E" w14:textId="0943C2C8" w:rsidR="00FE417B" w:rsidRDefault="00336D35" w:rsidP="00FE417B">
      <w:pPr>
        <w:rPr>
          <w:lang w:val="en-US"/>
        </w:rPr>
      </w:pPr>
      <w:r>
        <w:rPr>
          <w:lang w:val="en-US"/>
        </w:rPr>
        <w:fldChar w:fldCharType="begin"/>
      </w:r>
      <w:r>
        <w:rPr>
          <w:lang w:val="en-US"/>
        </w:rPr>
        <w:instrText xml:space="preserve"> REF _Ref68612199 \h </w:instrText>
      </w:r>
      <w:r>
        <w:rPr>
          <w:lang w:val="en-US"/>
        </w:rPr>
      </w:r>
      <w:r>
        <w:rPr>
          <w:lang w:val="en-US"/>
        </w:rPr>
        <w:fldChar w:fldCharType="separate"/>
      </w:r>
      <w:r>
        <w:t xml:space="preserve">Figure </w:t>
      </w:r>
      <w:r>
        <w:rPr>
          <w:noProof/>
        </w:rPr>
        <w:t>1</w:t>
      </w:r>
      <w:r>
        <w:rPr>
          <w:lang w:val="en-US"/>
        </w:rPr>
        <w:fldChar w:fldCharType="end"/>
      </w:r>
      <w:r>
        <w:rPr>
          <w:lang w:val="en-US"/>
        </w:rPr>
        <w:t xml:space="preserve"> shows the scenario where the UE may be misaligned with respect to uplink timing if the TA is not updated for TCI states corresponding to a non-serving cell. In this case an option would be to </w:t>
      </w:r>
      <w:r w:rsidR="00F329BF">
        <w:rPr>
          <w:lang w:val="en-US"/>
        </w:rPr>
        <w:t>pre-configure TAGs with some association to the PCID of the serving and non-serving cells</w:t>
      </w:r>
      <w:r w:rsidR="007B2975">
        <w:rPr>
          <w:lang w:val="en-US"/>
        </w:rPr>
        <w:t>. When a UE is indicated with a TCI state associated with a particular PCID, the UE may be able to update the TA according to the preconfigured TAG</w:t>
      </w:r>
      <w:r w:rsidR="00736647">
        <w:rPr>
          <w:lang w:val="en-US"/>
        </w:rPr>
        <w:t xml:space="preserve"> whose associated PCID matches the TCI state. Alternately, the groups of TCI states can be associated with </w:t>
      </w:r>
      <w:r w:rsidR="00D83F49">
        <w:rPr>
          <w:lang w:val="en-US"/>
        </w:rPr>
        <w:t xml:space="preserve">a </w:t>
      </w:r>
      <w:r w:rsidR="00736647">
        <w:rPr>
          <w:lang w:val="en-US"/>
        </w:rPr>
        <w:t>particular TAG</w:t>
      </w:r>
      <w:r w:rsidR="00D83F49">
        <w:rPr>
          <w:lang w:val="en-US"/>
        </w:rPr>
        <w:t>-ID</w:t>
      </w:r>
      <w:r w:rsidR="00736647">
        <w:rPr>
          <w:lang w:val="en-US"/>
        </w:rPr>
        <w:t xml:space="preserve"> such that </w:t>
      </w:r>
      <w:r w:rsidR="00D83F49">
        <w:rPr>
          <w:lang w:val="en-US"/>
        </w:rPr>
        <w:t>the UE, when indicated with a non-serving cell TCI state can implicitly associate the correct TA value with the TCI state.</w:t>
      </w:r>
    </w:p>
    <w:p w14:paraId="2DE3837E" w14:textId="73A80EEF" w:rsidR="00D83F49" w:rsidRPr="00AC33C9" w:rsidRDefault="00D83F49" w:rsidP="00FE417B">
      <w:pPr>
        <w:rPr>
          <w:b/>
          <w:bCs/>
          <w:i/>
          <w:iCs/>
          <w:lang w:val="en-US"/>
        </w:rPr>
      </w:pPr>
      <w:r w:rsidRPr="00AC33C9">
        <w:rPr>
          <w:b/>
          <w:bCs/>
          <w:i/>
          <w:iCs/>
          <w:lang w:val="en-US"/>
        </w:rPr>
        <w:t>Proposal</w:t>
      </w:r>
      <w:r w:rsidR="0089076E">
        <w:rPr>
          <w:b/>
          <w:bCs/>
          <w:i/>
          <w:iCs/>
          <w:lang w:val="en-US"/>
        </w:rPr>
        <w:t xml:space="preserve"> </w:t>
      </w:r>
      <w:r w:rsidR="009D4477">
        <w:rPr>
          <w:b/>
          <w:bCs/>
          <w:i/>
          <w:iCs/>
          <w:lang w:val="en-US"/>
        </w:rPr>
        <w:t>1</w:t>
      </w:r>
      <w:r w:rsidR="005B5A4A">
        <w:rPr>
          <w:b/>
          <w:bCs/>
          <w:i/>
          <w:iCs/>
          <w:lang w:val="en-US"/>
        </w:rPr>
        <w:t>2</w:t>
      </w:r>
      <w:r w:rsidRPr="00AC33C9">
        <w:rPr>
          <w:b/>
          <w:bCs/>
          <w:i/>
          <w:iCs/>
          <w:lang w:val="en-US"/>
        </w:rPr>
        <w:t xml:space="preserve">: </w:t>
      </w:r>
      <w:r w:rsidR="00823A11" w:rsidRPr="00AC33C9">
        <w:rPr>
          <w:b/>
          <w:bCs/>
          <w:i/>
          <w:iCs/>
          <w:lang w:val="en-US"/>
        </w:rPr>
        <w:t xml:space="preserve">For DCI based TCI state indication associated with a non-serving cell for L1/L2 centric inter cell mobility, </w:t>
      </w:r>
      <w:r w:rsidR="00EF60E0" w:rsidRPr="00AC33C9">
        <w:rPr>
          <w:b/>
          <w:bCs/>
          <w:i/>
          <w:iCs/>
          <w:lang w:val="en-US"/>
        </w:rPr>
        <w:t>TA should be adjusted for UL transmission where the TAG</w:t>
      </w:r>
      <w:r w:rsidR="00AC33C9" w:rsidRPr="00AC33C9">
        <w:rPr>
          <w:b/>
          <w:bCs/>
          <w:i/>
          <w:iCs/>
          <w:lang w:val="en-US"/>
        </w:rPr>
        <w:t xml:space="preserve"> could be associated with a PCID or a group of TCI states corresponding to a PCID. </w:t>
      </w:r>
    </w:p>
    <w:p w14:paraId="0692DC73" w14:textId="0A5B7157" w:rsidR="004903B5" w:rsidRPr="0076460D" w:rsidRDefault="004903B5" w:rsidP="00783DB9">
      <w:pPr>
        <w:pStyle w:val="Heading2"/>
        <w:rPr>
          <w:lang w:val="en-US"/>
        </w:rPr>
      </w:pPr>
      <w:r>
        <w:rPr>
          <w:lang w:val="en-US"/>
        </w:rPr>
        <w:t xml:space="preserve">L1 Measurement and Reporting </w:t>
      </w:r>
    </w:p>
    <w:p w14:paraId="4809C4E0" w14:textId="58EE93DE" w:rsidR="006D4345" w:rsidRDefault="009E1D56" w:rsidP="00D02E71">
      <w:pPr>
        <w:spacing w:before="240"/>
      </w:pPr>
      <w:r w:rsidRPr="009E1D56">
        <w:t>For</w:t>
      </w:r>
      <w:r>
        <w:t xml:space="preserve"> L1-RSRP measurements for </w:t>
      </w:r>
      <w:r w:rsidR="00EB0376">
        <w:t>L1/L2 centric mobility</w:t>
      </w:r>
      <w:r w:rsidR="00F03791">
        <w:t xml:space="preserve">, in RAN1#105e, we had the </w:t>
      </w:r>
      <w:r w:rsidR="002F09A5">
        <w:t xml:space="preserve">following options for L1-RSRP measurement RSs in addition to SSB: </w:t>
      </w:r>
    </w:p>
    <w:tbl>
      <w:tblPr>
        <w:tblStyle w:val="TableGrid"/>
        <w:tblW w:w="0" w:type="auto"/>
        <w:tblLook w:val="04A0" w:firstRow="1" w:lastRow="0" w:firstColumn="1" w:lastColumn="0" w:noHBand="0" w:noVBand="1"/>
      </w:tblPr>
      <w:tblGrid>
        <w:gridCol w:w="10160"/>
      </w:tblGrid>
      <w:tr w:rsidR="002F09A5" w14:paraId="6A972E82" w14:textId="77777777" w:rsidTr="002F09A5">
        <w:tc>
          <w:tcPr>
            <w:tcW w:w="10160" w:type="dxa"/>
          </w:tcPr>
          <w:p w14:paraId="0E5A89C1" w14:textId="77777777" w:rsidR="002F09A5" w:rsidRPr="00BA3B52" w:rsidRDefault="002F09A5" w:rsidP="002F09A5">
            <w:pPr>
              <w:snapToGrid w:val="0"/>
              <w:spacing w:before="0" w:after="0" w:line="240" w:lineRule="auto"/>
              <w:rPr>
                <w:rFonts w:eastAsia="Batang"/>
                <w:szCs w:val="24"/>
              </w:rPr>
            </w:pPr>
            <w:r w:rsidRPr="00BA3B52">
              <w:rPr>
                <w:rFonts w:eastAsia="Batang"/>
                <w:szCs w:val="24"/>
              </w:rPr>
              <w:t>On Rel.17 L1-RSRP multi-beam measurement/reporting enhancements for L1/L2-centric inter-cell mobility and inter-cell mTRP, decide by RAN1#106-e whether to support the following RS types as measurement RS or not:</w:t>
            </w:r>
          </w:p>
          <w:p w14:paraId="42636051" w14:textId="77777777" w:rsidR="002F09A5" w:rsidRPr="00BA3B52" w:rsidRDefault="002F09A5" w:rsidP="002F09A5">
            <w:pPr>
              <w:numPr>
                <w:ilvl w:val="0"/>
                <w:numId w:val="46"/>
              </w:numPr>
              <w:overflowPunct/>
              <w:autoSpaceDE/>
              <w:autoSpaceDN/>
              <w:adjustRightInd/>
              <w:snapToGrid w:val="0"/>
              <w:spacing w:before="0" w:after="0" w:line="240" w:lineRule="auto"/>
              <w:textAlignment w:val="auto"/>
              <w:rPr>
                <w:rFonts w:cs="Times"/>
                <w:sz w:val="22"/>
                <w:szCs w:val="24"/>
                <w:lang w:eastAsia="x-none"/>
              </w:rPr>
            </w:pPr>
            <w:r w:rsidRPr="00BA3B52">
              <w:rPr>
                <w:rFonts w:cs="Times"/>
                <w:sz w:val="22"/>
                <w:szCs w:val="24"/>
                <w:lang w:eastAsia="x-none"/>
              </w:rPr>
              <w:t xml:space="preserve">CSI-RS for mobility/RRM associated with a non-serving cell  </w:t>
            </w:r>
          </w:p>
          <w:p w14:paraId="7972EDE5" w14:textId="77777777" w:rsidR="002F09A5" w:rsidRPr="00BA3B52" w:rsidRDefault="002F09A5" w:rsidP="002F09A5">
            <w:pPr>
              <w:numPr>
                <w:ilvl w:val="0"/>
                <w:numId w:val="46"/>
              </w:numPr>
              <w:overflowPunct/>
              <w:autoSpaceDE/>
              <w:autoSpaceDN/>
              <w:adjustRightInd/>
              <w:snapToGrid w:val="0"/>
              <w:spacing w:before="0" w:after="0" w:line="240" w:lineRule="auto"/>
              <w:textAlignment w:val="auto"/>
              <w:rPr>
                <w:rFonts w:cs="Times"/>
                <w:sz w:val="22"/>
                <w:szCs w:val="24"/>
                <w:lang w:eastAsia="x-none"/>
              </w:rPr>
            </w:pPr>
            <w:r w:rsidRPr="00BA3B52">
              <w:rPr>
                <w:rFonts w:cs="Times"/>
                <w:sz w:val="22"/>
                <w:szCs w:val="24"/>
                <w:lang w:eastAsia="x-none"/>
              </w:rPr>
              <w:t xml:space="preserve">CSI-RS for BM associated with a non-serving cell  </w:t>
            </w:r>
          </w:p>
          <w:p w14:paraId="39D63AB6" w14:textId="2CCDE2BF" w:rsidR="002F09A5" w:rsidRPr="002F09A5" w:rsidRDefault="002F09A5" w:rsidP="002F09A5">
            <w:pPr>
              <w:numPr>
                <w:ilvl w:val="0"/>
                <w:numId w:val="46"/>
              </w:numPr>
              <w:overflowPunct/>
              <w:autoSpaceDE/>
              <w:autoSpaceDN/>
              <w:adjustRightInd/>
              <w:snapToGrid w:val="0"/>
              <w:spacing w:before="0" w:line="240" w:lineRule="auto"/>
              <w:textAlignment w:val="auto"/>
              <w:rPr>
                <w:rFonts w:cs="Times"/>
                <w:sz w:val="22"/>
                <w:szCs w:val="24"/>
                <w:lang w:eastAsia="x-none"/>
              </w:rPr>
            </w:pPr>
            <w:r w:rsidRPr="00BA3B52">
              <w:rPr>
                <w:rFonts w:cs="Times"/>
                <w:sz w:val="22"/>
                <w:szCs w:val="24"/>
                <w:lang w:eastAsia="x-none"/>
              </w:rPr>
              <w:lastRenderedPageBreak/>
              <w:t xml:space="preserve">CSI-RS for tracking associated with a non-serving cell  </w:t>
            </w:r>
          </w:p>
        </w:tc>
      </w:tr>
    </w:tbl>
    <w:p w14:paraId="53ABA1A9" w14:textId="1EF710B6" w:rsidR="002F09A5" w:rsidRDefault="00921C78" w:rsidP="00D02E71">
      <w:pPr>
        <w:spacing w:before="240"/>
      </w:pPr>
      <w:r>
        <w:lastRenderedPageBreak/>
        <w:t xml:space="preserve">First, CSI-RS for mobility is usually used for RRM measurements and for L3-RSRP measurements. </w:t>
      </w:r>
      <w:r w:rsidR="00FE19FD">
        <w:t xml:space="preserve">Therefore, there may be additional specification impact to enable the use of CSI-RS for mobility for the measurement of L1-RSRP. </w:t>
      </w:r>
      <w:r w:rsidR="00E93251">
        <w:t xml:space="preserve">Additionally, since SSB from non-serving cell is already supported for measurement, additionally supporting CSI-RS for BM associated with non-serving cell seems </w:t>
      </w:r>
      <w:r w:rsidR="0038365A">
        <w:t xml:space="preserve">adequate for the purpose of L1-RSRP measurement and reporting. </w:t>
      </w:r>
      <w:r w:rsidR="00E93251">
        <w:t xml:space="preserve"> </w:t>
      </w:r>
    </w:p>
    <w:p w14:paraId="2E6EAC91" w14:textId="17A4D4B4" w:rsidR="002F09A5" w:rsidRDefault="00A835F0" w:rsidP="00D02E71">
      <w:pPr>
        <w:spacing w:before="240"/>
        <w:rPr>
          <w:b/>
          <w:bCs/>
          <w:i/>
          <w:iCs/>
        </w:rPr>
      </w:pPr>
      <w:r w:rsidRPr="00A835F0">
        <w:rPr>
          <w:b/>
          <w:bCs/>
          <w:i/>
          <w:iCs/>
        </w:rPr>
        <w:t>Proposal</w:t>
      </w:r>
      <w:r w:rsidR="00A50A9E">
        <w:rPr>
          <w:b/>
          <w:bCs/>
          <w:i/>
          <w:iCs/>
        </w:rPr>
        <w:t xml:space="preserve"> 13</w:t>
      </w:r>
      <w:r w:rsidRPr="00A835F0">
        <w:rPr>
          <w:b/>
          <w:bCs/>
          <w:i/>
          <w:iCs/>
        </w:rPr>
        <w:t>: SSB and CSI-RS for BM associated with non-serving cell are sufficient for L1-RSRP measurement for L1/L2 based in</w:t>
      </w:r>
      <w:r>
        <w:rPr>
          <w:b/>
          <w:bCs/>
          <w:i/>
          <w:iCs/>
        </w:rPr>
        <w:t>t</w:t>
      </w:r>
      <w:r w:rsidRPr="00A835F0">
        <w:rPr>
          <w:b/>
          <w:bCs/>
          <w:i/>
          <w:iCs/>
        </w:rPr>
        <w:t>er-cell mobility</w:t>
      </w:r>
    </w:p>
    <w:p w14:paraId="08D42DFE" w14:textId="48173297" w:rsidR="008F1219" w:rsidRDefault="008E4152" w:rsidP="00D02E71">
      <w:pPr>
        <w:spacing w:before="240"/>
      </w:pPr>
      <w:r>
        <w:t>In RAN1#10</w:t>
      </w:r>
      <w:r w:rsidR="00050191">
        <w:t>5e the following WA was agreed:</w:t>
      </w:r>
    </w:p>
    <w:tbl>
      <w:tblPr>
        <w:tblStyle w:val="TableGrid"/>
        <w:tblW w:w="0" w:type="auto"/>
        <w:tblLook w:val="04A0" w:firstRow="1" w:lastRow="0" w:firstColumn="1" w:lastColumn="0" w:noHBand="0" w:noVBand="1"/>
      </w:tblPr>
      <w:tblGrid>
        <w:gridCol w:w="10160"/>
      </w:tblGrid>
      <w:tr w:rsidR="00050191" w14:paraId="06A11B06" w14:textId="77777777" w:rsidTr="00050191">
        <w:tc>
          <w:tcPr>
            <w:tcW w:w="10160" w:type="dxa"/>
          </w:tcPr>
          <w:p w14:paraId="76717AF4" w14:textId="77777777" w:rsidR="00D72A67" w:rsidRPr="0013326F" w:rsidRDefault="00D72A67" w:rsidP="00D72A67">
            <w:pPr>
              <w:snapToGrid w:val="0"/>
              <w:spacing w:before="0" w:after="0" w:line="240" w:lineRule="auto"/>
              <w:rPr>
                <w:rFonts w:eastAsia="Malgun Gothic"/>
                <w:b/>
                <w:bCs/>
                <w:szCs w:val="24"/>
                <w:highlight w:val="darkYellow"/>
              </w:rPr>
            </w:pPr>
            <w:r w:rsidRPr="0013326F">
              <w:rPr>
                <w:b/>
                <w:bCs/>
                <w:szCs w:val="24"/>
                <w:highlight w:val="darkYellow"/>
              </w:rPr>
              <w:t>Working Assumption</w:t>
            </w:r>
          </w:p>
          <w:p w14:paraId="7A86D6DA" w14:textId="77777777" w:rsidR="00D72A67" w:rsidRPr="0013326F" w:rsidRDefault="00D72A67" w:rsidP="00D72A67">
            <w:pPr>
              <w:snapToGrid w:val="0"/>
              <w:spacing w:before="0" w:after="0" w:line="240" w:lineRule="auto"/>
              <w:rPr>
                <w:rFonts w:eastAsia="Malgun Gothic"/>
                <w:szCs w:val="24"/>
              </w:rPr>
            </w:pPr>
            <w:r w:rsidRPr="0013326F">
              <w:rPr>
                <w:rFonts w:eastAsia="Malgun Gothic"/>
                <w:szCs w:val="24"/>
              </w:rPr>
              <w:t xml:space="preserve">On Rel.17 beam indication enhancements </w:t>
            </w:r>
            <w:r w:rsidRPr="0013326F">
              <w:rPr>
                <w:rFonts w:eastAsia="Malgun Gothic"/>
                <w:color w:val="000000"/>
                <w:szCs w:val="24"/>
              </w:rPr>
              <w:t>for L1/L2-centric inter-cell mobility</w:t>
            </w:r>
            <w:r w:rsidRPr="0013326F">
              <w:rPr>
                <w:rFonts w:eastAsia="Malgun Gothic"/>
                <w:szCs w:val="24"/>
              </w:rPr>
              <w:t>, support the following:</w:t>
            </w:r>
          </w:p>
          <w:p w14:paraId="21ED5EE9" w14:textId="77777777" w:rsidR="00D72A67" w:rsidRPr="0013326F" w:rsidRDefault="00D72A67" w:rsidP="00D72A67">
            <w:pPr>
              <w:numPr>
                <w:ilvl w:val="0"/>
                <w:numId w:val="34"/>
              </w:numPr>
              <w:overflowPunct/>
              <w:autoSpaceDE/>
              <w:autoSpaceDN/>
              <w:adjustRightInd/>
              <w:snapToGrid w:val="0"/>
              <w:spacing w:before="0" w:after="0" w:line="240" w:lineRule="auto"/>
              <w:textAlignment w:val="auto"/>
              <w:rPr>
                <w:szCs w:val="24"/>
              </w:rPr>
            </w:pPr>
            <w:r w:rsidRPr="0013326F">
              <w:rPr>
                <w:szCs w:val="24"/>
              </w:rPr>
              <w:t xml:space="preserve">Rel-17 MAC-CE-based and/or DCI-based beam indication (at least using DCI formats 1_1/1_2 with and without DL assignment including the associated MAC-CE-based TCI state activation) </w:t>
            </w:r>
          </w:p>
          <w:p w14:paraId="2A5ED1E9" w14:textId="77777777" w:rsidR="00D72A67" w:rsidRPr="0013326F" w:rsidRDefault="00D72A67" w:rsidP="00D72A67">
            <w:pPr>
              <w:numPr>
                <w:ilvl w:val="1"/>
                <w:numId w:val="34"/>
              </w:numPr>
              <w:overflowPunct/>
              <w:autoSpaceDE/>
              <w:autoSpaceDN/>
              <w:adjustRightInd/>
              <w:snapToGrid w:val="0"/>
              <w:spacing w:before="0" w:after="0" w:line="240" w:lineRule="auto"/>
              <w:textAlignment w:val="auto"/>
              <w:rPr>
                <w:szCs w:val="24"/>
              </w:rPr>
            </w:pPr>
            <w:r w:rsidRPr="0013326F">
              <w:rPr>
                <w:szCs w:val="24"/>
              </w:rPr>
              <w:t xml:space="preserve">FFS (to be decided in RAN1#106-e): Whether this also applies to </w:t>
            </w:r>
            <w:r w:rsidRPr="0013326F">
              <w:rPr>
                <w:rFonts w:eastAsia="Times New Roman"/>
                <w:szCs w:val="24"/>
              </w:rPr>
              <w:t xml:space="preserve">PDSCH/PUSCH associated with UE-dedicated CORESETs only or additional target channels (e.g. UE-dedicated PDCCH/PUCCH) </w:t>
            </w:r>
          </w:p>
          <w:p w14:paraId="12A79324" w14:textId="77777777" w:rsidR="00D72A67" w:rsidRPr="0013326F" w:rsidRDefault="00D72A67" w:rsidP="00D72A67">
            <w:pPr>
              <w:numPr>
                <w:ilvl w:val="1"/>
                <w:numId w:val="34"/>
              </w:numPr>
              <w:overflowPunct/>
              <w:autoSpaceDE/>
              <w:autoSpaceDN/>
              <w:adjustRightInd/>
              <w:snapToGrid w:val="0"/>
              <w:spacing w:before="0" w:after="0" w:line="240" w:lineRule="auto"/>
              <w:textAlignment w:val="auto"/>
              <w:rPr>
                <w:szCs w:val="24"/>
              </w:rPr>
            </w:pPr>
            <w:r w:rsidRPr="0013326F">
              <w:rPr>
                <w:szCs w:val="24"/>
              </w:rPr>
              <w:t xml:space="preserve">FFS: Whether the above is supported only for joint TCI, or both joint TCI and separate DL/UL TCI (including that, if separate DL/UL TCI is supported, the DL TCI and UL TCI associated with a same cell) </w:t>
            </w:r>
          </w:p>
          <w:p w14:paraId="41C48819" w14:textId="77777777" w:rsidR="00D72A67" w:rsidRPr="0013326F" w:rsidRDefault="00D72A67" w:rsidP="00D72A67">
            <w:pPr>
              <w:numPr>
                <w:ilvl w:val="1"/>
                <w:numId w:val="34"/>
              </w:numPr>
              <w:overflowPunct/>
              <w:autoSpaceDE/>
              <w:autoSpaceDN/>
              <w:adjustRightInd/>
              <w:snapToGrid w:val="0"/>
              <w:spacing w:before="0" w:after="0" w:line="240" w:lineRule="auto"/>
              <w:textAlignment w:val="auto"/>
              <w:rPr>
                <w:szCs w:val="24"/>
              </w:rPr>
            </w:pPr>
            <w:r w:rsidRPr="0013326F">
              <w:rPr>
                <w:szCs w:val="24"/>
              </w:rPr>
              <w:t>FFS: Whether to support activation of TCI states for more than one cells simultaneously</w:t>
            </w:r>
          </w:p>
          <w:p w14:paraId="2BA5ED84" w14:textId="77777777" w:rsidR="00D72A67" w:rsidRPr="0013326F" w:rsidRDefault="00D72A67" w:rsidP="00D72A67">
            <w:pPr>
              <w:numPr>
                <w:ilvl w:val="1"/>
                <w:numId w:val="34"/>
              </w:numPr>
              <w:overflowPunct/>
              <w:autoSpaceDE/>
              <w:autoSpaceDN/>
              <w:adjustRightInd/>
              <w:snapToGrid w:val="0"/>
              <w:spacing w:before="0" w:after="0" w:line="240" w:lineRule="auto"/>
              <w:textAlignment w:val="auto"/>
              <w:rPr>
                <w:szCs w:val="24"/>
              </w:rPr>
            </w:pPr>
            <w:r w:rsidRPr="0013326F">
              <w:rPr>
                <w:szCs w:val="24"/>
              </w:rPr>
              <w:t>FFS: Whether down-selection between MAC-CE only based and MAC-CE+DCI-based beam indication scheme is necessary</w:t>
            </w:r>
          </w:p>
          <w:p w14:paraId="1795B0E8" w14:textId="77777777" w:rsidR="00D72A67" w:rsidRPr="0013326F" w:rsidRDefault="00D72A67" w:rsidP="00D72A67">
            <w:pPr>
              <w:numPr>
                <w:ilvl w:val="0"/>
                <w:numId w:val="34"/>
              </w:numPr>
              <w:overflowPunct/>
              <w:autoSpaceDE/>
              <w:autoSpaceDN/>
              <w:adjustRightInd/>
              <w:snapToGrid w:val="0"/>
              <w:spacing w:before="0" w:after="0" w:line="240" w:lineRule="auto"/>
              <w:textAlignment w:val="auto"/>
              <w:rPr>
                <w:szCs w:val="24"/>
              </w:rPr>
            </w:pPr>
            <w:r w:rsidRPr="0013326F">
              <w:rPr>
                <w:szCs w:val="24"/>
              </w:rPr>
              <w:t xml:space="preserve">The DL QCL and UL spatial relation rules already agreed for intra-cell scenario </w:t>
            </w:r>
          </w:p>
          <w:p w14:paraId="64B0607D" w14:textId="77777777" w:rsidR="00D72A67" w:rsidRPr="0013326F" w:rsidRDefault="00D72A67" w:rsidP="00D72A67">
            <w:pPr>
              <w:numPr>
                <w:ilvl w:val="0"/>
                <w:numId w:val="34"/>
              </w:numPr>
              <w:overflowPunct/>
              <w:autoSpaceDE/>
              <w:autoSpaceDN/>
              <w:adjustRightInd/>
              <w:snapToGrid w:val="0"/>
              <w:spacing w:before="0" w:after="0" w:line="240" w:lineRule="auto"/>
              <w:textAlignment w:val="auto"/>
              <w:rPr>
                <w:szCs w:val="24"/>
              </w:rPr>
            </w:pPr>
            <w:r w:rsidRPr="0013326F">
              <w:rPr>
                <w:szCs w:val="24"/>
              </w:rPr>
              <w:t xml:space="preserve">FFS: The use of SSB associated with a physical cell ID different from that of the serving cell as an indirect QCL reference for UE-dedicated PDSCH </w:t>
            </w:r>
          </w:p>
          <w:p w14:paraId="5D727BB1" w14:textId="77777777" w:rsidR="00D72A67" w:rsidRPr="0013326F" w:rsidRDefault="00D72A67" w:rsidP="00D72A67">
            <w:pPr>
              <w:numPr>
                <w:ilvl w:val="1"/>
                <w:numId w:val="34"/>
              </w:numPr>
              <w:overflowPunct/>
              <w:autoSpaceDE/>
              <w:autoSpaceDN/>
              <w:adjustRightInd/>
              <w:snapToGrid w:val="0"/>
              <w:spacing w:before="0" w:after="0" w:line="240" w:lineRule="auto"/>
              <w:textAlignment w:val="auto"/>
              <w:rPr>
                <w:szCs w:val="24"/>
              </w:rPr>
            </w:pPr>
            <w:r w:rsidRPr="0013326F">
              <w:rPr>
                <w:szCs w:val="24"/>
              </w:rPr>
              <w:t xml:space="preserve">FFS (to be decided in RAN1#106-e): Whether this also applies to UE-dedicated PDCCH </w:t>
            </w:r>
          </w:p>
          <w:p w14:paraId="0C001ECE" w14:textId="77777777" w:rsidR="00D72A67" w:rsidRPr="0013326F" w:rsidRDefault="00D72A67" w:rsidP="00D72A67">
            <w:pPr>
              <w:numPr>
                <w:ilvl w:val="1"/>
                <w:numId w:val="34"/>
              </w:numPr>
              <w:overflowPunct/>
              <w:autoSpaceDE/>
              <w:autoSpaceDN/>
              <w:adjustRightInd/>
              <w:snapToGrid w:val="0"/>
              <w:spacing w:before="0" w:after="0" w:line="240" w:lineRule="auto"/>
              <w:textAlignment w:val="auto"/>
              <w:rPr>
                <w:szCs w:val="24"/>
              </w:rPr>
            </w:pPr>
            <w:r w:rsidRPr="0013326F">
              <w:rPr>
                <w:szCs w:val="24"/>
              </w:rPr>
              <w:t>Note: When RS X is an indirect QCL reference of a target channel, there exists at least one other source signal on the QCL chain between RS X and the target channel</w:t>
            </w:r>
          </w:p>
          <w:p w14:paraId="5DE3C8F4" w14:textId="5AC1DD35" w:rsidR="00050191" w:rsidRPr="00D72A67" w:rsidRDefault="00D72A67" w:rsidP="00D72A67">
            <w:pPr>
              <w:numPr>
                <w:ilvl w:val="1"/>
                <w:numId w:val="34"/>
              </w:numPr>
              <w:overflowPunct/>
              <w:autoSpaceDE/>
              <w:autoSpaceDN/>
              <w:adjustRightInd/>
              <w:snapToGrid w:val="0"/>
              <w:spacing w:before="0" w:line="240" w:lineRule="auto"/>
              <w:textAlignment w:val="auto"/>
              <w:rPr>
                <w:szCs w:val="24"/>
              </w:rPr>
            </w:pPr>
            <w:r w:rsidRPr="0013326F">
              <w:rPr>
                <w:szCs w:val="24"/>
              </w:rPr>
              <w:t>FFS (to be decided in RAN1#106-e): Whether SSB associated with a physical cell ID different from that of the serving cell can also be used as a direct QCL reference (source RS) for UE-dedicated PDCCH/PDSCH</w:t>
            </w:r>
          </w:p>
        </w:tc>
      </w:tr>
    </w:tbl>
    <w:p w14:paraId="3CFCAA51" w14:textId="0D81CF2A" w:rsidR="00050191" w:rsidRDefault="002E56B2" w:rsidP="00D02E71">
      <w:pPr>
        <w:spacing w:before="240"/>
      </w:pPr>
      <w:r>
        <w:t xml:space="preserve">First, beam indication should be supported for both joint and separate DL/UL TCI </w:t>
      </w:r>
      <w:r w:rsidR="00A223BC">
        <w:t>states where the DL and UL TCI states can be independently switched depending on L1 measurements and cell load</w:t>
      </w:r>
      <w:r w:rsidR="007F0C6E">
        <w:t xml:space="preserve">. Additionally, since MAC-CE+DCI based indication </w:t>
      </w:r>
      <w:r w:rsidR="00B10C31">
        <w:t xml:space="preserve">has been agreed in Rel-17, restriction of DCI based indication is </w:t>
      </w:r>
      <w:r w:rsidR="003723C6">
        <w:t>not justified especially since reducing latency of beam switching is major use case for L1/L2 centric mobility</w:t>
      </w:r>
      <w:r w:rsidR="00121F72">
        <w:t>.</w:t>
      </w:r>
    </w:p>
    <w:p w14:paraId="59C8E9E2" w14:textId="7CACEEBE" w:rsidR="00A223BC" w:rsidRDefault="00A223BC" w:rsidP="00D02E71">
      <w:pPr>
        <w:spacing w:before="240"/>
        <w:rPr>
          <w:b/>
          <w:bCs/>
          <w:i/>
          <w:iCs/>
        </w:rPr>
      </w:pPr>
      <w:r w:rsidRPr="00552C4A">
        <w:rPr>
          <w:b/>
          <w:bCs/>
          <w:i/>
          <w:iCs/>
        </w:rPr>
        <w:t>Proposal</w:t>
      </w:r>
      <w:r w:rsidR="00A50A9E">
        <w:rPr>
          <w:b/>
          <w:bCs/>
          <w:i/>
          <w:iCs/>
        </w:rPr>
        <w:t xml:space="preserve"> 14</w:t>
      </w:r>
      <w:r w:rsidRPr="00552C4A">
        <w:rPr>
          <w:b/>
          <w:bCs/>
          <w:i/>
          <w:iCs/>
        </w:rPr>
        <w:t xml:space="preserve">: </w:t>
      </w:r>
      <w:r w:rsidR="00552C4A" w:rsidRPr="00552C4A">
        <w:rPr>
          <w:b/>
          <w:bCs/>
          <w:i/>
          <w:iCs/>
        </w:rPr>
        <w:t>Both joint and separate TCI states are supported for</w:t>
      </w:r>
      <w:r w:rsidR="00121F72">
        <w:rPr>
          <w:b/>
          <w:bCs/>
          <w:i/>
          <w:iCs/>
        </w:rPr>
        <w:t xml:space="preserve"> MAC-CE+DCI based</w:t>
      </w:r>
      <w:r w:rsidR="00552C4A" w:rsidRPr="00552C4A">
        <w:rPr>
          <w:b/>
          <w:bCs/>
          <w:i/>
          <w:iCs/>
        </w:rPr>
        <w:t xml:space="preserve"> beam indication in the case of Rel-17 L1/L2 centric mobility.</w:t>
      </w:r>
    </w:p>
    <w:p w14:paraId="1863BE6E" w14:textId="353332F3" w:rsidR="00552C4A" w:rsidRDefault="007034FC" w:rsidP="00D02E71">
      <w:pPr>
        <w:spacing w:before="240"/>
      </w:pPr>
      <w:r>
        <w:t xml:space="preserve">Additionally, to make the QCL chain simpler, SSB may be used as a direct QCL source </w:t>
      </w:r>
      <w:r w:rsidR="00894D3B">
        <w:t>for a non-serving cell without having to always link through a TRS.</w:t>
      </w:r>
    </w:p>
    <w:p w14:paraId="0CD915CF" w14:textId="329811BD" w:rsidR="00894D3B" w:rsidRPr="0076460D" w:rsidRDefault="00894D3B" w:rsidP="00894D3B">
      <w:pPr>
        <w:pStyle w:val="Heading2"/>
        <w:rPr>
          <w:lang w:val="en-US"/>
        </w:rPr>
      </w:pPr>
      <w:r>
        <w:rPr>
          <w:lang w:val="en-US"/>
        </w:rPr>
        <w:t>Event Triggered L1/L2 Mobility</w:t>
      </w:r>
    </w:p>
    <w:p w14:paraId="240990DB" w14:textId="37B60A09" w:rsidR="005B030E" w:rsidRDefault="00A142D9" w:rsidP="00D02E71">
      <w:pPr>
        <w:spacing w:before="240"/>
      </w:pPr>
      <w:r>
        <w:t xml:space="preserve">An </w:t>
      </w:r>
      <w:r w:rsidR="00466409">
        <w:t xml:space="preserve">event triggered L1/L2 centric mobility approach has been discussed in RAN1, however details on the specific events and </w:t>
      </w:r>
      <w:r w:rsidR="008C6C72">
        <w:t xml:space="preserve">mechanism have not been finalized. In the light of the updated WID which mandates a multi-TRP or CoMP type operation, </w:t>
      </w:r>
      <w:r w:rsidR="00B660B7">
        <w:t xml:space="preserve">it may be efficient to specify a UE triggered L1-RSRP report to enable TCI state switch to a non-serving cell. An example of such a methodology is provided in </w:t>
      </w:r>
      <w:r w:rsidR="00D71083">
        <w:fldChar w:fldCharType="begin"/>
      </w:r>
      <w:r w:rsidR="00D71083">
        <w:instrText xml:space="preserve"> REF _Ref79158811 \h </w:instrText>
      </w:r>
      <w:r w:rsidR="00D71083">
        <w:fldChar w:fldCharType="separate"/>
      </w:r>
      <w:r w:rsidR="00D71083">
        <w:t xml:space="preserve">Figure </w:t>
      </w:r>
      <w:r w:rsidR="00D71083">
        <w:rPr>
          <w:noProof/>
        </w:rPr>
        <w:t>3</w:t>
      </w:r>
      <w:r w:rsidR="00D71083">
        <w:fldChar w:fldCharType="end"/>
      </w:r>
      <w:r w:rsidR="00D71083">
        <w:t>.</w:t>
      </w:r>
    </w:p>
    <w:p w14:paraId="2B0E69B0" w14:textId="77777777" w:rsidR="00D71083" w:rsidRDefault="00D71083" w:rsidP="00D71083">
      <w:pPr>
        <w:keepNext/>
        <w:spacing w:before="240"/>
        <w:jc w:val="center"/>
      </w:pPr>
      <w:r>
        <w:object w:dxaOrig="10051" w:dyaOrig="8655" w14:anchorId="5489B65B">
          <v:shape id="_x0000_i1052" type="#_x0000_t75" style="width:402.75pt;height:347.25pt" o:ole="">
            <v:imagedata r:id="rId15" o:title=""/>
          </v:shape>
          <o:OLEObject Type="Embed" ProgID="Visio.Drawing.15" ShapeID="_x0000_i1052" DrawAspect="Content" ObjectID="_1689775799" r:id="rId16"/>
        </w:object>
      </w:r>
    </w:p>
    <w:p w14:paraId="08366FEB" w14:textId="45570B06" w:rsidR="00894D3B" w:rsidRDefault="00D71083" w:rsidP="00D71083">
      <w:pPr>
        <w:pStyle w:val="Caption"/>
        <w:jc w:val="center"/>
      </w:pPr>
      <w:bookmarkStart w:id="3" w:name="_Ref79158811"/>
      <w:r>
        <w:t xml:space="preserve">Figure </w:t>
      </w:r>
      <w:r>
        <w:fldChar w:fldCharType="begin"/>
      </w:r>
      <w:r>
        <w:instrText xml:space="preserve"> SEQ Figure \* ARABIC </w:instrText>
      </w:r>
      <w:r>
        <w:fldChar w:fldCharType="separate"/>
      </w:r>
      <w:r>
        <w:rPr>
          <w:noProof/>
        </w:rPr>
        <w:t>3</w:t>
      </w:r>
      <w:r>
        <w:fldChar w:fldCharType="end"/>
      </w:r>
      <w:bookmarkEnd w:id="3"/>
      <w:r>
        <w:t>: UE Event Triggered L1/L2 Mobility</w:t>
      </w:r>
    </w:p>
    <w:p w14:paraId="374EBBDF" w14:textId="5DABD987" w:rsidR="00D71083" w:rsidRDefault="00D71083" w:rsidP="00D71083"/>
    <w:p w14:paraId="24C4FD37" w14:textId="11EDB1EE" w:rsidR="00D71083" w:rsidRDefault="00A41CD0" w:rsidP="00D71083">
      <w:r>
        <w:t>T</w:t>
      </w:r>
      <w:r w:rsidR="000B754B">
        <w:t xml:space="preserve">o enable the UE to trigger an event, the gNB may configure a L1/L2 mobility specific </w:t>
      </w:r>
      <w:r w:rsidR="001013DF">
        <w:t xml:space="preserve">periodic </w:t>
      </w:r>
      <w:r w:rsidR="000B754B">
        <w:t>PUCCH resource for the UE</w:t>
      </w:r>
      <w:r w:rsidR="001013DF">
        <w:t xml:space="preserve">. Using this PUCCH, the UE can transmit an SR like UCI which indicates to gNB that the UE has </w:t>
      </w:r>
      <w:r w:rsidR="00A51D17">
        <w:t xml:space="preserve">an L1-RSRP report related to non-serving cell beams which it wants to transmit. In response, the gNB can then trigger an aperiodic L1-RSRP report where the UE reports the measured RS index and the corresponding L1-RSRP for </w:t>
      </w:r>
      <w:r w:rsidR="000C1B48">
        <w:t xml:space="preserve">up to K non-serving cell beams. The event that triggers the PUCCH SR transmission could be the case when at least one of the periodically measured non-serving cell beams has an L1-RSRP which is higher than </w:t>
      </w:r>
      <w:r w:rsidR="0062788D">
        <w:t xml:space="preserve">the current serving cell beam or any of the other tracked serving cell beams. The threshold of RSRP difference after which the UE triggers the PUCCH SR </w:t>
      </w:r>
      <w:r>
        <w:t xml:space="preserve">may be configured or pre-defined or up to UE implementation. </w:t>
      </w:r>
    </w:p>
    <w:p w14:paraId="308336DB" w14:textId="4CA3BD30" w:rsidR="002C62B2" w:rsidRPr="00095191" w:rsidRDefault="00A41CD0" w:rsidP="002C62B2">
      <w:pPr>
        <w:spacing w:after="0"/>
        <w:rPr>
          <w:b/>
          <w:bCs/>
          <w:i/>
          <w:iCs/>
        </w:rPr>
      </w:pPr>
      <w:r w:rsidRPr="00095191">
        <w:rPr>
          <w:b/>
          <w:bCs/>
          <w:i/>
          <w:iCs/>
        </w:rPr>
        <w:t>Proposal</w:t>
      </w:r>
      <w:r w:rsidR="00A50A9E">
        <w:rPr>
          <w:b/>
          <w:bCs/>
          <w:i/>
          <w:iCs/>
        </w:rPr>
        <w:t xml:space="preserve"> 15</w:t>
      </w:r>
      <w:r w:rsidRPr="00095191">
        <w:rPr>
          <w:b/>
          <w:bCs/>
          <w:i/>
          <w:iCs/>
        </w:rPr>
        <w:t>: For</w:t>
      </w:r>
      <w:r w:rsidR="00416583" w:rsidRPr="00095191">
        <w:rPr>
          <w:b/>
          <w:bCs/>
          <w:i/>
          <w:iCs/>
        </w:rPr>
        <w:t xml:space="preserve"> </w:t>
      </w:r>
      <w:r w:rsidRPr="00095191">
        <w:rPr>
          <w:b/>
          <w:bCs/>
          <w:i/>
          <w:iCs/>
        </w:rPr>
        <w:t xml:space="preserve">UE event driven </w:t>
      </w:r>
      <w:r w:rsidR="00534C99" w:rsidRPr="00095191">
        <w:rPr>
          <w:b/>
          <w:bCs/>
          <w:i/>
          <w:iCs/>
        </w:rPr>
        <w:t xml:space="preserve">L1/L2 </w:t>
      </w:r>
      <w:r w:rsidR="002C62B2" w:rsidRPr="00095191">
        <w:rPr>
          <w:b/>
          <w:bCs/>
          <w:i/>
          <w:iCs/>
        </w:rPr>
        <w:t xml:space="preserve">centric </w:t>
      </w:r>
      <w:r w:rsidR="00534C99" w:rsidRPr="00095191">
        <w:rPr>
          <w:b/>
          <w:bCs/>
          <w:i/>
          <w:iCs/>
        </w:rPr>
        <w:t>mobility</w:t>
      </w:r>
    </w:p>
    <w:p w14:paraId="33AC479C" w14:textId="5D80388D" w:rsidR="002C62B2" w:rsidRPr="00095191" w:rsidRDefault="00642A78" w:rsidP="00416583">
      <w:pPr>
        <w:pStyle w:val="ListParagraph"/>
        <w:numPr>
          <w:ilvl w:val="0"/>
          <w:numId w:val="48"/>
        </w:numPr>
        <w:ind w:left="1170" w:hanging="270"/>
        <w:rPr>
          <w:b/>
          <w:bCs/>
        </w:rPr>
      </w:pPr>
      <w:r w:rsidRPr="00095191">
        <w:rPr>
          <w:b/>
          <w:bCs/>
        </w:rPr>
        <w:t xml:space="preserve">Dedicated PUCCH resource can be configured where UE transmits an SR when </w:t>
      </w:r>
      <w:r w:rsidR="00095191" w:rsidRPr="00095191">
        <w:rPr>
          <w:b/>
          <w:bCs/>
        </w:rPr>
        <w:t>L1-RSRP of at least one of the non-serving cell beams exceeds that of the serving cell beam(s) by a threshold</w:t>
      </w:r>
    </w:p>
    <w:p w14:paraId="1B065516" w14:textId="2271BDE1" w:rsidR="00095191" w:rsidRDefault="00095191" w:rsidP="00416583">
      <w:pPr>
        <w:pStyle w:val="ListParagraph"/>
        <w:numPr>
          <w:ilvl w:val="0"/>
          <w:numId w:val="48"/>
        </w:numPr>
        <w:ind w:left="1170" w:hanging="270"/>
        <w:rPr>
          <w:b/>
          <w:bCs/>
        </w:rPr>
      </w:pPr>
      <w:r w:rsidRPr="00095191">
        <w:rPr>
          <w:b/>
          <w:bCs/>
        </w:rPr>
        <w:t>On reception of PUCCH SR for mobility, gNB can trigger an aperiodic L1-RSRP report where the UE reports the RS index and the corresponding L1-RSRP for up to K non-serving cell beams</w:t>
      </w:r>
    </w:p>
    <w:p w14:paraId="008E2620" w14:textId="5FAE058E" w:rsidR="00845055" w:rsidRDefault="00845055" w:rsidP="00845055">
      <w:pPr>
        <w:rPr>
          <w:b/>
          <w:bCs/>
        </w:rPr>
      </w:pPr>
    </w:p>
    <w:p w14:paraId="3217F712" w14:textId="5C6E4940" w:rsidR="00845055" w:rsidRDefault="00845055" w:rsidP="00845055">
      <w:pPr>
        <w:rPr>
          <w:b/>
          <w:bCs/>
        </w:rPr>
      </w:pPr>
    </w:p>
    <w:p w14:paraId="0DFD02AE" w14:textId="77777777" w:rsidR="00845055" w:rsidRPr="00845055" w:rsidRDefault="00845055" w:rsidP="00845055">
      <w:pPr>
        <w:rPr>
          <w:b/>
          <w:bCs/>
        </w:rPr>
      </w:pPr>
    </w:p>
    <w:p w14:paraId="138AD8F3" w14:textId="2E9491C8" w:rsidR="005E7DF4" w:rsidRDefault="005E7DF4" w:rsidP="005E7DF4">
      <w:pPr>
        <w:pStyle w:val="Heading1"/>
        <w:pBdr>
          <w:top w:val="single" w:sz="12" w:space="4" w:color="auto"/>
        </w:pBdr>
        <w:rPr>
          <w:rFonts w:cs="Arial"/>
          <w:sz w:val="32"/>
          <w:szCs w:val="18"/>
          <w:lang w:val="en-US"/>
        </w:rPr>
      </w:pPr>
      <w:r>
        <w:rPr>
          <w:rFonts w:cs="Arial"/>
          <w:sz w:val="32"/>
          <w:szCs w:val="18"/>
          <w:lang w:val="en-US"/>
        </w:rPr>
        <w:t>Issue 3: Dynamic TCI State Update Indication</w:t>
      </w:r>
    </w:p>
    <w:p w14:paraId="14A96785" w14:textId="4169E9DA" w:rsidR="00C834A3" w:rsidRDefault="00C834A3" w:rsidP="00C834A3">
      <w:pPr>
        <w:rPr>
          <w:lang w:val="en-US"/>
        </w:rPr>
      </w:pPr>
    </w:p>
    <w:p w14:paraId="2100E741" w14:textId="2233B9D1" w:rsidR="006750F2" w:rsidRDefault="006750F2" w:rsidP="006750F2">
      <w:pPr>
        <w:pStyle w:val="Heading2"/>
        <w:rPr>
          <w:sz w:val="28"/>
          <w:szCs w:val="18"/>
          <w:lang w:val="en-US"/>
        </w:rPr>
      </w:pPr>
      <w:r>
        <w:rPr>
          <w:sz w:val="28"/>
          <w:szCs w:val="18"/>
          <w:lang w:val="en-US"/>
        </w:rPr>
        <w:lastRenderedPageBreak/>
        <w:t>DCI Formats for Dynamic Beam Indication</w:t>
      </w:r>
    </w:p>
    <w:p w14:paraId="417C298B" w14:textId="2ECAF19D" w:rsidR="004E340C" w:rsidRDefault="004E340C" w:rsidP="004E340C">
      <w:pPr>
        <w:pStyle w:val="Heading3"/>
        <w:rPr>
          <w:sz w:val="24"/>
          <w:szCs w:val="18"/>
          <w:lang w:val="en-US"/>
        </w:rPr>
      </w:pPr>
      <w:r>
        <w:rPr>
          <w:sz w:val="24"/>
          <w:szCs w:val="18"/>
          <w:lang w:val="en-US"/>
        </w:rPr>
        <w:t>Re-using Current DCI Formats</w:t>
      </w:r>
    </w:p>
    <w:p w14:paraId="2F2D0AAB" w14:textId="2F0E5FB9" w:rsidR="0046063D" w:rsidRDefault="007A2E12" w:rsidP="00C06FFC">
      <w:pPr>
        <w:rPr>
          <w:rFonts w:ascii="Arial" w:hAnsi="Arial" w:cs="Arial"/>
          <w:sz w:val="22"/>
          <w:szCs w:val="22"/>
          <w:lang w:val="en-US"/>
        </w:rPr>
      </w:pPr>
      <w:r>
        <w:rPr>
          <w:rFonts w:ascii="Arial" w:hAnsi="Arial" w:cs="Arial"/>
          <w:sz w:val="22"/>
          <w:szCs w:val="22"/>
          <w:lang w:val="en-US"/>
        </w:rPr>
        <w:t>DL DCI formats without DL Grant for joint DL/UL or</w:t>
      </w:r>
      <w:r w:rsidR="0047034D">
        <w:rPr>
          <w:rFonts w:ascii="Arial" w:hAnsi="Arial" w:cs="Arial"/>
          <w:sz w:val="22"/>
          <w:szCs w:val="22"/>
          <w:lang w:val="en-US"/>
        </w:rPr>
        <w:t xml:space="preserve"> Separate DL/UL Beam Indication</w:t>
      </w:r>
    </w:p>
    <w:p w14:paraId="536D9F50" w14:textId="0F9BA1A9" w:rsidR="00F71C65" w:rsidRDefault="00F66844" w:rsidP="00C06FFC">
      <w:pPr>
        <w:rPr>
          <w:lang w:val="en-US"/>
        </w:rPr>
      </w:pPr>
      <w:r>
        <w:rPr>
          <w:lang w:val="en-US"/>
        </w:rPr>
        <w:t>In the previous meeting DCI</w:t>
      </w:r>
      <w:r w:rsidR="00275AD8">
        <w:rPr>
          <w:lang w:val="en-US"/>
        </w:rPr>
        <w:t xml:space="preserve"> 1_1/1_2 without DL assignment was agreed to be supported for beam indication with its own HARQ-ACK feedback</w:t>
      </w:r>
      <w:r w:rsidR="009C4683">
        <w:rPr>
          <w:lang w:val="en-US"/>
        </w:rPr>
        <w:t>. Since this HARQ feedback is very important for common understanding between UE and gNB on current beam pair link as well for counting the beam application time</w:t>
      </w:r>
      <w:r w:rsidR="003B5134">
        <w:rPr>
          <w:lang w:val="en-US"/>
        </w:rPr>
        <w:t>, the PUCCH resource carrying this HARQ feedback should be mapped to</w:t>
      </w:r>
      <w:r w:rsidR="002761BF">
        <w:rPr>
          <w:lang w:val="en-US"/>
        </w:rPr>
        <w:t xml:space="preserve"> the high priority HARQ/ACK codebook i.e., to the PUCCH resources associated with</w:t>
      </w:r>
      <w:r w:rsidR="003B5134">
        <w:rPr>
          <w:lang w:val="en-US"/>
        </w:rPr>
        <w:t xml:space="preserve"> priority index 1 when the UE is configured with two priority indexes. </w:t>
      </w:r>
      <w:r w:rsidR="00B31667">
        <w:rPr>
          <w:lang w:val="en-US"/>
        </w:rPr>
        <w:t xml:space="preserve">In case the UE is configured with a single priority index, the </w:t>
      </w:r>
      <w:r w:rsidR="00EA3A0E">
        <w:rPr>
          <w:lang w:val="en-US"/>
        </w:rPr>
        <w:t xml:space="preserve">UCI for the HARQ feedback for beam indication DCI should be prioritized over other UCI </w:t>
      </w:r>
      <w:r w:rsidR="005C59BA">
        <w:rPr>
          <w:lang w:val="en-US"/>
        </w:rPr>
        <w:t>or multiplexed.</w:t>
      </w:r>
    </w:p>
    <w:p w14:paraId="016EF840" w14:textId="5F35663B" w:rsidR="00F71C65" w:rsidRDefault="00F71C65" w:rsidP="008A0734">
      <w:pPr>
        <w:rPr>
          <w:b/>
          <w:bCs/>
          <w:i/>
          <w:iCs/>
          <w:lang w:val="en-US"/>
        </w:rPr>
      </w:pPr>
      <w:r w:rsidRPr="004576F3">
        <w:rPr>
          <w:b/>
          <w:bCs/>
          <w:i/>
          <w:iCs/>
          <w:lang w:val="en-US"/>
        </w:rPr>
        <w:t>Proposal</w:t>
      </w:r>
      <w:r w:rsidR="00494722">
        <w:rPr>
          <w:b/>
          <w:bCs/>
          <w:i/>
          <w:iCs/>
          <w:lang w:val="en-US"/>
        </w:rPr>
        <w:t xml:space="preserve"> 1</w:t>
      </w:r>
      <w:r w:rsidR="009D4477">
        <w:rPr>
          <w:b/>
          <w:bCs/>
          <w:i/>
          <w:iCs/>
          <w:lang w:val="en-US"/>
        </w:rPr>
        <w:t>6</w:t>
      </w:r>
      <w:r w:rsidRPr="004576F3">
        <w:rPr>
          <w:b/>
          <w:bCs/>
          <w:i/>
          <w:iCs/>
          <w:lang w:val="en-US"/>
        </w:rPr>
        <w:t xml:space="preserve">: </w:t>
      </w:r>
      <w:r w:rsidR="005C59BA">
        <w:rPr>
          <w:b/>
          <w:bCs/>
          <w:i/>
          <w:iCs/>
          <w:lang w:val="en-US"/>
        </w:rPr>
        <w:t xml:space="preserve">For </w:t>
      </w:r>
      <w:r w:rsidR="008A0734" w:rsidRPr="004576F3">
        <w:rPr>
          <w:b/>
          <w:bCs/>
          <w:i/>
          <w:iCs/>
          <w:lang w:val="en-US"/>
        </w:rPr>
        <w:t>DCI formats 1_1 and 1_2 without DL assignment</w:t>
      </w:r>
      <w:r w:rsidR="005C59BA">
        <w:rPr>
          <w:b/>
          <w:bCs/>
          <w:i/>
          <w:iCs/>
          <w:lang w:val="en-US"/>
        </w:rPr>
        <w:t>, the UCI carrying the HARQ feedback should be mapped to</w:t>
      </w:r>
      <w:r w:rsidR="002761BF">
        <w:rPr>
          <w:b/>
          <w:bCs/>
          <w:i/>
          <w:iCs/>
          <w:lang w:val="en-US"/>
        </w:rPr>
        <w:t xml:space="preserve"> high priority HARQ codebook</w:t>
      </w:r>
      <w:r w:rsidR="00816756">
        <w:rPr>
          <w:b/>
          <w:bCs/>
          <w:i/>
          <w:iCs/>
          <w:lang w:val="en-US"/>
        </w:rPr>
        <w:t xml:space="preserve"> and</w:t>
      </w:r>
      <w:r w:rsidR="005C59BA">
        <w:rPr>
          <w:b/>
          <w:bCs/>
          <w:i/>
          <w:iCs/>
          <w:lang w:val="en-US"/>
        </w:rPr>
        <w:t xml:space="preserve"> PUCCH resources </w:t>
      </w:r>
      <w:r w:rsidR="00816756">
        <w:rPr>
          <w:b/>
          <w:bCs/>
          <w:i/>
          <w:iCs/>
          <w:lang w:val="en-US"/>
        </w:rPr>
        <w:t xml:space="preserve">associated with </w:t>
      </w:r>
      <w:r w:rsidR="005C59BA">
        <w:rPr>
          <w:b/>
          <w:bCs/>
          <w:i/>
          <w:iCs/>
          <w:lang w:val="en-US"/>
        </w:rPr>
        <w:t>priority index 1</w:t>
      </w:r>
      <w:r w:rsidR="00816756">
        <w:rPr>
          <w:b/>
          <w:bCs/>
          <w:i/>
          <w:iCs/>
          <w:lang w:val="en-US"/>
        </w:rPr>
        <w:t xml:space="preserve"> when the UE is configured with two priority indexes. If UE is configured with single priority index, the UCI carrying the HARQ feedback for beam indication should be</w:t>
      </w:r>
      <w:r w:rsidR="002E38D8">
        <w:rPr>
          <w:b/>
          <w:bCs/>
          <w:i/>
          <w:iCs/>
          <w:lang w:val="en-US"/>
        </w:rPr>
        <w:t xml:space="preserve"> prioritized over other UCI. </w:t>
      </w:r>
    </w:p>
    <w:p w14:paraId="3DAB67C4" w14:textId="684B2341" w:rsidR="00964632" w:rsidRDefault="00964632" w:rsidP="008A0734">
      <w:pPr>
        <w:rPr>
          <w:lang w:val="en-US"/>
        </w:rPr>
      </w:pPr>
      <w:r>
        <w:rPr>
          <w:lang w:val="en-US"/>
        </w:rPr>
        <w:t>In the last meeting, the following FFS point was proposed and debated:</w:t>
      </w:r>
    </w:p>
    <w:p w14:paraId="497ADCCF" w14:textId="77777777" w:rsidR="00964632" w:rsidRPr="006E0BE8" w:rsidRDefault="00964632" w:rsidP="00780B71">
      <w:pPr>
        <w:numPr>
          <w:ilvl w:val="0"/>
          <w:numId w:val="36"/>
        </w:numPr>
        <w:overflowPunct/>
        <w:autoSpaceDE/>
        <w:adjustRightInd/>
        <w:spacing w:after="0"/>
        <w:textAlignment w:val="auto"/>
        <w:rPr>
          <w:rFonts w:eastAsia="Times New Roman"/>
          <w:color w:val="000000"/>
          <w:lang w:eastAsia="x-none"/>
        </w:rPr>
      </w:pPr>
      <w:r w:rsidRPr="006E0BE8">
        <w:rPr>
          <w:rFonts w:eastAsia="Times New Roman"/>
          <w:color w:val="000000"/>
          <w:lang w:eastAsia="x-none"/>
        </w:rPr>
        <w:t>FFS: When more than one TCI codepoints are activated by MAC CE, the activated TCI state(s) for the lowest codepoint is/are applied</w:t>
      </w:r>
      <w:r w:rsidRPr="006E0BE8">
        <w:rPr>
          <w:rFonts w:eastAsia="Times New Roman"/>
          <w:color w:val="000000"/>
          <w:lang w:eastAsia="zh-CN"/>
        </w:rPr>
        <w:t xml:space="preserve"> </w:t>
      </w:r>
    </w:p>
    <w:p w14:paraId="0975BBE8" w14:textId="77777777" w:rsidR="00964632" w:rsidRPr="006E0BE8" w:rsidRDefault="00964632" w:rsidP="00780B71">
      <w:pPr>
        <w:numPr>
          <w:ilvl w:val="1"/>
          <w:numId w:val="36"/>
        </w:numPr>
        <w:overflowPunct/>
        <w:autoSpaceDE/>
        <w:adjustRightInd/>
        <w:spacing w:after="0"/>
        <w:textAlignment w:val="auto"/>
        <w:rPr>
          <w:rFonts w:eastAsia="Times New Roman"/>
          <w:color w:val="000000"/>
          <w:lang w:eastAsia="x-none"/>
        </w:rPr>
      </w:pPr>
      <w:r w:rsidRPr="006E0BE8">
        <w:rPr>
          <w:rFonts w:eastAsia="Times New Roman"/>
          <w:color w:val="000000"/>
          <w:lang w:eastAsia="x-none"/>
        </w:rPr>
        <w:t>Support of this feature is UE optional</w:t>
      </w:r>
    </w:p>
    <w:p w14:paraId="04B66A6F" w14:textId="77777777" w:rsidR="00964632" w:rsidRPr="006E0BE8" w:rsidRDefault="00964632" w:rsidP="00780B71">
      <w:pPr>
        <w:numPr>
          <w:ilvl w:val="1"/>
          <w:numId w:val="36"/>
        </w:numPr>
        <w:overflowPunct/>
        <w:autoSpaceDE/>
        <w:adjustRightInd/>
        <w:spacing w:after="0"/>
        <w:textAlignment w:val="auto"/>
        <w:rPr>
          <w:rFonts w:eastAsia="Times New Roman"/>
          <w:color w:val="000000"/>
          <w:lang w:eastAsia="x-none"/>
        </w:rPr>
      </w:pPr>
      <w:r w:rsidRPr="006E0BE8">
        <w:rPr>
          <w:rFonts w:eastAsia="Times New Roman"/>
          <w:color w:val="000000"/>
          <w:lang w:eastAsia="x-none"/>
        </w:rPr>
        <w:t>The “lowest codepoint” function can be configured on or off.</w:t>
      </w:r>
    </w:p>
    <w:p w14:paraId="651DCBCF" w14:textId="77777777" w:rsidR="00964632" w:rsidRPr="006E0BE8" w:rsidRDefault="00964632" w:rsidP="00780B71">
      <w:pPr>
        <w:numPr>
          <w:ilvl w:val="1"/>
          <w:numId w:val="36"/>
        </w:numPr>
        <w:overflowPunct/>
        <w:autoSpaceDE/>
        <w:adjustRightInd/>
        <w:spacing w:after="0"/>
        <w:textAlignment w:val="auto"/>
        <w:rPr>
          <w:rFonts w:eastAsia="Times New Roman"/>
          <w:color w:val="000000"/>
          <w:lang w:eastAsia="x-none"/>
        </w:rPr>
      </w:pPr>
      <w:r w:rsidRPr="006E0BE8">
        <w:rPr>
          <w:rFonts w:eastAsia="Times New Roman"/>
          <w:color w:val="000000"/>
          <w:lang w:eastAsia="x-none"/>
        </w:rPr>
        <w:t>FFS: Interaction with the DCI based beam update if needed, whether/how to support the case with M or N &gt; 1 if supported</w:t>
      </w:r>
    </w:p>
    <w:p w14:paraId="25946887" w14:textId="54051C78" w:rsidR="00964632" w:rsidRPr="00964632" w:rsidRDefault="00964632" w:rsidP="008E7284">
      <w:pPr>
        <w:spacing w:before="240"/>
        <w:rPr>
          <w:lang w:val="en-US"/>
        </w:rPr>
      </w:pPr>
      <w:r>
        <w:rPr>
          <w:lang w:val="en-US"/>
        </w:rPr>
        <w:t>With respect to above, the current main bullet seems incomplete</w:t>
      </w:r>
      <w:r w:rsidR="00B05E47">
        <w:rPr>
          <w:lang w:val="en-US"/>
        </w:rPr>
        <w:t xml:space="preserve"> i.e., it seems to apply whenever MAC-CE configures more than one TCI codepoint. Needless to say the implication from this statement cannot be accepted as the true intention and </w:t>
      </w:r>
      <w:r w:rsidR="00367730">
        <w:rPr>
          <w:lang w:val="en-US"/>
        </w:rPr>
        <w:t>n reality this applies only for the case when MAC-CE configures a set of TCI codepoints and the UE has not yet been indicated with a TCI state to apply i.e., before the UE receives a DCI based TCI activation.</w:t>
      </w:r>
      <w:r w:rsidR="00D60700">
        <w:rPr>
          <w:lang w:val="en-US"/>
        </w:rPr>
        <w:t xml:space="preserve"> This should be clarified in the main bullet. Furthermore, this is only applicable before the UE receives the first beam indication or if the gNB reconfigures the TCI codepoints which does not include the current active TCI state. In this latter case, it is unclear why the UE should not keep the current active TCI state till it receives an indication to swit</w:t>
      </w:r>
      <w:r w:rsidR="008E7284">
        <w:rPr>
          <w:lang w:val="en-US"/>
        </w:rPr>
        <w:t xml:space="preserve">ch to one of the newly activated TCI codepoints. Therefore, even during reconfiguration, the applicability of this FFS may be limited. Therefore, further wording update and clarification of use-case is required for this FFS point. </w:t>
      </w:r>
    </w:p>
    <w:p w14:paraId="3AA3E2DC" w14:textId="25E168C9" w:rsidR="00C06FFC" w:rsidRPr="00B27B29" w:rsidRDefault="00830501" w:rsidP="00C06FFC">
      <w:pPr>
        <w:rPr>
          <w:rFonts w:ascii="Arial" w:hAnsi="Arial" w:cs="Arial"/>
          <w:sz w:val="22"/>
          <w:szCs w:val="22"/>
          <w:lang w:val="en-US"/>
        </w:rPr>
      </w:pPr>
      <w:r w:rsidRPr="00B27B29">
        <w:rPr>
          <w:rFonts w:ascii="Arial" w:hAnsi="Arial" w:cs="Arial"/>
          <w:sz w:val="22"/>
          <w:szCs w:val="22"/>
          <w:lang w:val="en-US"/>
        </w:rPr>
        <w:t xml:space="preserve">DCI Formats </w:t>
      </w:r>
      <w:r w:rsidR="00C06FFC" w:rsidRPr="00B27B29">
        <w:rPr>
          <w:rFonts w:ascii="Arial" w:hAnsi="Arial" w:cs="Arial"/>
          <w:sz w:val="22"/>
          <w:szCs w:val="22"/>
          <w:lang w:val="en-US"/>
        </w:rPr>
        <w:t>UL Beam Indication</w:t>
      </w:r>
    </w:p>
    <w:p w14:paraId="2D1BC2E8" w14:textId="608D401C" w:rsidR="004E340C" w:rsidRDefault="00C06FFC" w:rsidP="004E340C">
      <w:pPr>
        <w:rPr>
          <w:lang w:val="en-US"/>
        </w:rPr>
      </w:pPr>
      <w:r>
        <w:rPr>
          <w:lang w:val="en-US"/>
        </w:rPr>
        <w:t>For the case of UL only beam indication</w:t>
      </w:r>
      <w:r w:rsidR="00397F7C">
        <w:rPr>
          <w:lang w:val="en-US"/>
        </w:rPr>
        <w:t xml:space="preserve"> or for the case of joint TCI state update when there is only UL data</w:t>
      </w:r>
      <w:r>
        <w:rPr>
          <w:lang w:val="en-US"/>
        </w:rPr>
        <w:t>, DCI</w:t>
      </w:r>
      <w:r w:rsidR="00996F99">
        <w:rPr>
          <w:lang w:val="en-US"/>
        </w:rPr>
        <w:t xml:space="preserve"> format 0_1, 0_2 can be used with the SRI field being re-interpreted as the TCI indication field similar to the TCI field in DL DCI formats.</w:t>
      </w:r>
      <w:r w:rsidR="000C1051">
        <w:rPr>
          <w:lang w:val="en-US"/>
        </w:rPr>
        <w:t xml:space="preserve"> Based on the UL DCI format the UE </w:t>
      </w:r>
      <w:r w:rsidR="00964632">
        <w:rPr>
          <w:lang w:val="en-US"/>
        </w:rPr>
        <w:t>can</w:t>
      </w:r>
      <w:r w:rsidR="00700F2D">
        <w:rPr>
          <w:lang w:val="en-US"/>
        </w:rPr>
        <w:t xml:space="preserve"> apply the beam update to all UL channels and signals e.g., PUCCH, PUSCH and SRS.</w:t>
      </w:r>
      <w:r w:rsidR="003834A2">
        <w:rPr>
          <w:lang w:val="en-US"/>
        </w:rPr>
        <w:t xml:space="preserve"> The SRI field mapping to UL power control parameters can be configured by MAC-CE. </w:t>
      </w:r>
    </w:p>
    <w:p w14:paraId="6AC4DDED" w14:textId="43020D24" w:rsidR="00700F2D" w:rsidRDefault="00DB3F63" w:rsidP="004E340C">
      <w:pPr>
        <w:rPr>
          <w:lang w:val="en-US"/>
        </w:rPr>
      </w:pPr>
      <w:r>
        <w:rPr>
          <w:lang w:val="en-US"/>
        </w:rPr>
        <w:t>DL DCI formats 1_1, 1_2 can also be used to indicate UL TCI state</w:t>
      </w:r>
      <w:r w:rsidR="001E6A26">
        <w:rPr>
          <w:lang w:val="en-US"/>
        </w:rPr>
        <w:t xml:space="preserve"> (both with and without a DL grant)</w:t>
      </w:r>
      <w:r>
        <w:rPr>
          <w:lang w:val="en-US"/>
        </w:rPr>
        <w:t xml:space="preserve">. When the UL TCI state shares the same TCI state pool with DL and joint TCI states, the UE is able to differentiate the UL TCI state based on the indicated </w:t>
      </w:r>
      <w:r w:rsidR="002323FC">
        <w:rPr>
          <w:lang w:val="en-US"/>
        </w:rPr>
        <w:t xml:space="preserve">codepoint i.e., the UE is able to map the codepoints to types of TCI states based on </w:t>
      </w:r>
      <w:r w:rsidR="00AF5235">
        <w:rPr>
          <w:lang w:val="en-US"/>
        </w:rPr>
        <w:t xml:space="preserve">MAC-CE </w:t>
      </w:r>
      <w:r w:rsidR="002323FC">
        <w:rPr>
          <w:lang w:val="en-US"/>
        </w:rPr>
        <w:t>configuration</w:t>
      </w:r>
      <w:r w:rsidR="00AF5235">
        <w:rPr>
          <w:lang w:val="en-US"/>
        </w:rPr>
        <w:t xml:space="preserve"> as discussed in Section 2.3.2</w:t>
      </w:r>
      <w:r w:rsidR="002323FC">
        <w:rPr>
          <w:lang w:val="en-US"/>
        </w:rPr>
        <w:t xml:space="preserve">. </w:t>
      </w:r>
    </w:p>
    <w:p w14:paraId="7A9FDE39" w14:textId="3EAFC710" w:rsidR="006906D8" w:rsidRPr="007C5077" w:rsidRDefault="006906D8" w:rsidP="006906D8">
      <w:pPr>
        <w:spacing w:after="0"/>
        <w:rPr>
          <w:b/>
          <w:bCs/>
          <w:i/>
          <w:iCs/>
          <w:lang w:val="en-US"/>
        </w:rPr>
      </w:pPr>
      <w:r w:rsidRPr="007C5077">
        <w:rPr>
          <w:b/>
          <w:bCs/>
          <w:i/>
          <w:iCs/>
          <w:lang w:val="en-US"/>
        </w:rPr>
        <w:t>Proposal</w:t>
      </w:r>
      <w:r w:rsidR="00AE268B">
        <w:rPr>
          <w:b/>
          <w:bCs/>
          <w:i/>
          <w:iCs/>
          <w:lang w:val="en-US"/>
        </w:rPr>
        <w:t xml:space="preserve"> </w:t>
      </w:r>
      <w:r w:rsidR="00494722">
        <w:rPr>
          <w:b/>
          <w:bCs/>
          <w:i/>
          <w:iCs/>
          <w:lang w:val="en-US"/>
        </w:rPr>
        <w:t>1</w:t>
      </w:r>
      <w:r w:rsidR="009D4477">
        <w:rPr>
          <w:b/>
          <w:bCs/>
          <w:i/>
          <w:iCs/>
          <w:lang w:val="en-US"/>
        </w:rPr>
        <w:t>7</w:t>
      </w:r>
      <w:r w:rsidRPr="007C5077">
        <w:rPr>
          <w:b/>
          <w:bCs/>
          <w:i/>
          <w:iCs/>
          <w:lang w:val="en-US"/>
        </w:rPr>
        <w:t>: For separate UL beam indication using UL TCI state</w:t>
      </w:r>
    </w:p>
    <w:p w14:paraId="5442A25A" w14:textId="25ACA6D8" w:rsidR="00AD604F" w:rsidRPr="007C5077" w:rsidRDefault="00AD604F" w:rsidP="00AC33C9">
      <w:pPr>
        <w:pStyle w:val="ListParagraph"/>
        <w:numPr>
          <w:ilvl w:val="0"/>
          <w:numId w:val="21"/>
        </w:numPr>
        <w:rPr>
          <w:b/>
          <w:bCs/>
        </w:rPr>
      </w:pPr>
      <w:r w:rsidRPr="007C5077">
        <w:rPr>
          <w:b/>
          <w:bCs/>
        </w:rPr>
        <w:t>When current DCI formats are re-used, the TCI state is applicable to all UL signals and channels</w:t>
      </w:r>
    </w:p>
    <w:p w14:paraId="0F431DB7" w14:textId="083ADF4E" w:rsidR="006906D8" w:rsidRPr="007C5077" w:rsidRDefault="002F35D0" w:rsidP="00AC33C9">
      <w:pPr>
        <w:pStyle w:val="ListParagraph"/>
        <w:numPr>
          <w:ilvl w:val="0"/>
          <w:numId w:val="20"/>
        </w:numPr>
        <w:rPr>
          <w:b/>
          <w:bCs/>
        </w:rPr>
      </w:pPr>
      <w:r w:rsidRPr="007C5077">
        <w:rPr>
          <w:b/>
          <w:bCs/>
        </w:rPr>
        <w:t>UL DCI formats 0_1, 0_2 can be used with SRI field being reinterpreted as the TCI codepoint in DCI</w:t>
      </w:r>
      <w:r w:rsidR="00964632">
        <w:rPr>
          <w:b/>
          <w:bCs/>
        </w:rPr>
        <w:t xml:space="preserve"> for the case when separate UL TCI is indicated or when there is only UL data to be scheduled</w:t>
      </w:r>
      <w:r w:rsidR="00AD604F" w:rsidRPr="007C5077">
        <w:rPr>
          <w:b/>
          <w:bCs/>
        </w:rPr>
        <w:t>.</w:t>
      </w:r>
    </w:p>
    <w:p w14:paraId="2F99198B" w14:textId="4A7E5890" w:rsidR="00C153DD" w:rsidRPr="00F4559E" w:rsidRDefault="00AD604F" w:rsidP="006149B2">
      <w:pPr>
        <w:pStyle w:val="ListParagraph"/>
        <w:numPr>
          <w:ilvl w:val="0"/>
          <w:numId w:val="20"/>
        </w:numPr>
        <w:rPr>
          <w:b/>
          <w:bCs/>
        </w:rPr>
      </w:pPr>
      <w:r w:rsidRPr="00F4559E">
        <w:rPr>
          <w:b/>
          <w:bCs/>
        </w:rPr>
        <w:t xml:space="preserve">DL DCI formats 1_1,1_2 can be used </w:t>
      </w:r>
      <w:r w:rsidR="006149B2">
        <w:rPr>
          <w:b/>
          <w:bCs/>
        </w:rPr>
        <w:t>with i</w:t>
      </w:r>
      <w:r w:rsidR="00C153DD" w:rsidRPr="00F4559E">
        <w:rPr>
          <w:b/>
          <w:bCs/>
        </w:rPr>
        <w:t xml:space="preserve">mplicit indication of UL TCI using TCI in DCI field where UE </w:t>
      </w:r>
      <w:r w:rsidR="006E5266" w:rsidRPr="00F4559E">
        <w:rPr>
          <w:b/>
          <w:bCs/>
        </w:rPr>
        <w:t>maps the indicated codepoints to UL TCI states based on the MAC-CE activation of TCI states in DCI codepoints</w:t>
      </w:r>
    </w:p>
    <w:p w14:paraId="22234E25" w14:textId="632202A1" w:rsidR="004E340C" w:rsidRDefault="004E340C" w:rsidP="004E340C">
      <w:pPr>
        <w:rPr>
          <w:lang w:val="en-US"/>
        </w:rPr>
      </w:pPr>
    </w:p>
    <w:p w14:paraId="2ACBCEEE" w14:textId="77777777" w:rsidR="008E7284" w:rsidRDefault="008E7284" w:rsidP="004E340C">
      <w:pPr>
        <w:rPr>
          <w:lang w:val="en-US"/>
        </w:rPr>
      </w:pPr>
    </w:p>
    <w:p w14:paraId="464D847E" w14:textId="3FB4A984" w:rsidR="00FE11F5" w:rsidRPr="00B27B29" w:rsidRDefault="00FE11F5" w:rsidP="00FE11F5">
      <w:pPr>
        <w:rPr>
          <w:rFonts w:ascii="Arial" w:hAnsi="Arial" w:cs="Arial"/>
          <w:sz w:val="22"/>
          <w:szCs w:val="22"/>
          <w:lang w:val="en-US"/>
        </w:rPr>
      </w:pPr>
      <w:r>
        <w:rPr>
          <w:rFonts w:ascii="Arial" w:hAnsi="Arial" w:cs="Arial"/>
          <w:sz w:val="22"/>
          <w:szCs w:val="22"/>
          <w:lang w:val="en-US"/>
        </w:rPr>
        <w:lastRenderedPageBreak/>
        <w:t xml:space="preserve">Group-Common </w:t>
      </w:r>
      <w:r w:rsidRPr="00B27B29">
        <w:rPr>
          <w:rFonts w:ascii="Arial" w:hAnsi="Arial" w:cs="Arial"/>
          <w:sz w:val="22"/>
          <w:szCs w:val="22"/>
          <w:lang w:val="en-US"/>
        </w:rPr>
        <w:t>Beam Indication DCI</w:t>
      </w:r>
    </w:p>
    <w:p w14:paraId="6D2BB319" w14:textId="004070E0" w:rsidR="004E340C" w:rsidRDefault="004E340C" w:rsidP="004E340C">
      <w:pPr>
        <w:rPr>
          <w:lang w:val="en-US"/>
        </w:rPr>
      </w:pPr>
      <w:r w:rsidRPr="00023D63">
        <w:rPr>
          <w:lang w:val="en-US"/>
        </w:rPr>
        <w:t xml:space="preserve">For </w:t>
      </w:r>
      <w:r>
        <w:rPr>
          <w:lang w:val="en-US"/>
        </w:rPr>
        <w:t>the case of using DCI based indication for TCI state activation of a group of UEs, a design based on dependent DCI is not desirable since if the first DCI is missed, it may severely degrade system performance. Instead, a group-common PDCCH based approach leveraging the NR MBS framework can be further considered.</w:t>
      </w:r>
      <w:r w:rsidR="005D69E8">
        <w:rPr>
          <w:lang w:val="en-US"/>
        </w:rPr>
        <w:t xml:space="preserve"> The aforementioned beam indication RNTI can be used to address this set of UEs and the CRC of group-common PDCCH can be scrambled by this RNTI</w:t>
      </w:r>
      <w:r w:rsidR="00900FA1">
        <w:rPr>
          <w:lang w:val="en-US"/>
        </w:rPr>
        <w:t xml:space="preserve">. </w:t>
      </w:r>
    </w:p>
    <w:p w14:paraId="31B610CC" w14:textId="2C34009B" w:rsidR="00511CAC" w:rsidRPr="00E13ADE" w:rsidRDefault="004E340C" w:rsidP="004E340C">
      <w:pPr>
        <w:rPr>
          <w:b/>
          <w:bCs/>
          <w:i/>
          <w:iCs/>
          <w:lang w:val="en-US"/>
        </w:rPr>
      </w:pPr>
      <w:r w:rsidRPr="00E13ADE">
        <w:rPr>
          <w:b/>
          <w:bCs/>
          <w:i/>
          <w:iCs/>
          <w:lang w:val="en-US"/>
        </w:rPr>
        <w:t>Proposal</w:t>
      </w:r>
      <w:r w:rsidR="00AE268B">
        <w:rPr>
          <w:b/>
          <w:bCs/>
          <w:i/>
          <w:iCs/>
          <w:lang w:val="en-US"/>
        </w:rPr>
        <w:t xml:space="preserve"> 1</w:t>
      </w:r>
      <w:r w:rsidR="009D4477">
        <w:rPr>
          <w:b/>
          <w:bCs/>
          <w:i/>
          <w:iCs/>
          <w:lang w:val="en-US"/>
        </w:rPr>
        <w:t>8</w:t>
      </w:r>
      <w:r w:rsidRPr="00E13ADE">
        <w:rPr>
          <w:b/>
          <w:bCs/>
          <w:i/>
          <w:iCs/>
          <w:lang w:val="en-US"/>
        </w:rPr>
        <w:t>: Consider NR MBS framework for group-common DCI transmission to a UE group for joint TCI state activation</w:t>
      </w:r>
      <w:r w:rsidR="00900FA1" w:rsidRPr="00E13ADE">
        <w:rPr>
          <w:b/>
          <w:bCs/>
          <w:i/>
          <w:iCs/>
          <w:lang w:val="en-US"/>
        </w:rPr>
        <w:t xml:space="preserve"> using a new beam indication RNTI for scrambling the CRC of the group-common DCI</w:t>
      </w:r>
      <w:r w:rsidRPr="00E13ADE">
        <w:rPr>
          <w:b/>
          <w:bCs/>
          <w:i/>
          <w:iCs/>
          <w:lang w:val="en-US"/>
        </w:rPr>
        <w:t xml:space="preserve">. </w:t>
      </w:r>
    </w:p>
    <w:p w14:paraId="68E7D2E4" w14:textId="41363BEE" w:rsidR="003714B4" w:rsidRDefault="00D81EB1" w:rsidP="003714B4">
      <w:pPr>
        <w:pStyle w:val="Heading1"/>
        <w:pBdr>
          <w:top w:val="single" w:sz="12" w:space="4" w:color="auto"/>
        </w:pBdr>
        <w:rPr>
          <w:rFonts w:cs="Arial"/>
          <w:sz w:val="32"/>
          <w:szCs w:val="18"/>
          <w:lang w:val="en-US"/>
        </w:rPr>
      </w:pPr>
      <w:r>
        <w:rPr>
          <w:rFonts w:cs="Arial"/>
          <w:sz w:val="32"/>
          <w:szCs w:val="18"/>
          <w:lang w:val="en-US"/>
        </w:rPr>
        <w:t xml:space="preserve">Issue </w:t>
      </w:r>
      <w:r w:rsidR="005E7DF4">
        <w:rPr>
          <w:rFonts w:cs="Arial"/>
          <w:sz w:val="32"/>
          <w:szCs w:val="18"/>
          <w:lang w:val="en-US"/>
        </w:rPr>
        <w:t xml:space="preserve">4: </w:t>
      </w:r>
      <w:r w:rsidR="00997BC0">
        <w:rPr>
          <w:rFonts w:cs="Arial"/>
          <w:sz w:val="32"/>
          <w:szCs w:val="18"/>
          <w:lang w:val="en-US"/>
        </w:rPr>
        <w:t xml:space="preserve">UE Panel Selection </w:t>
      </w:r>
    </w:p>
    <w:tbl>
      <w:tblPr>
        <w:tblStyle w:val="TableGrid"/>
        <w:tblW w:w="0" w:type="auto"/>
        <w:tblLook w:val="04A0" w:firstRow="1" w:lastRow="0" w:firstColumn="1" w:lastColumn="0" w:noHBand="0" w:noVBand="1"/>
      </w:tblPr>
      <w:tblGrid>
        <w:gridCol w:w="10160"/>
      </w:tblGrid>
      <w:tr w:rsidR="00C834A3" w14:paraId="2159D54B" w14:textId="77777777" w:rsidTr="00411245">
        <w:tc>
          <w:tcPr>
            <w:tcW w:w="10160" w:type="dxa"/>
          </w:tcPr>
          <w:p w14:paraId="53C5D47F" w14:textId="77777777" w:rsidR="0058564A" w:rsidRDefault="00C834A3" w:rsidP="00FE49BD">
            <w:pPr>
              <w:spacing w:before="0"/>
              <w:rPr>
                <w:b/>
                <w:bCs/>
                <w:lang w:val="en-US"/>
              </w:rPr>
            </w:pPr>
            <w:r w:rsidRPr="00C834A3">
              <w:rPr>
                <w:b/>
                <w:bCs/>
                <w:lang w:val="en-US"/>
              </w:rPr>
              <w:t>Agreements from RAN1#10</w:t>
            </w:r>
            <w:r w:rsidR="00B17475">
              <w:rPr>
                <w:b/>
                <w:bCs/>
                <w:lang w:val="en-US"/>
              </w:rPr>
              <w:t>4</w:t>
            </w:r>
            <w:r w:rsidR="001F5D0D">
              <w:rPr>
                <w:b/>
                <w:bCs/>
                <w:lang w:val="en-US"/>
              </w:rPr>
              <w:t>bis</w:t>
            </w:r>
            <w:r w:rsidRPr="00C834A3">
              <w:rPr>
                <w:b/>
                <w:bCs/>
                <w:lang w:val="en-US"/>
              </w:rPr>
              <w:t>-e</w:t>
            </w:r>
            <w:r>
              <w:rPr>
                <w:b/>
                <w:bCs/>
                <w:lang w:val="en-US"/>
              </w:rPr>
              <w:t>:</w:t>
            </w:r>
          </w:p>
          <w:p w14:paraId="6775E274" w14:textId="77777777" w:rsidR="001F5D0D" w:rsidRPr="001F5D0D" w:rsidRDefault="001F5D0D" w:rsidP="001F5D0D">
            <w:pPr>
              <w:spacing w:before="0" w:after="0" w:line="240" w:lineRule="auto"/>
              <w:rPr>
                <w:rFonts w:eastAsia="Batang"/>
                <w:b/>
                <w:bCs/>
              </w:rPr>
            </w:pPr>
            <w:r w:rsidRPr="001F5D0D">
              <w:rPr>
                <w:rFonts w:eastAsia="Batang"/>
                <w:b/>
                <w:bCs/>
                <w:highlight w:val="green"/>
              </w:rPr>
              <w:t>Agreement</w:t>
            </w:r>
          </w:p>
          <w:p w14:paraId="307D5F92" w14:textId="77777777" w:rsidR="001F5D0D" w:rsidRPr="001F5D0D" w:rsidRDefault="001F5D0D" w:rsidP="001F5D0D">
            <w:pPr>
              <w:snapToGrid w:val="0"/>
              <w:spacing w:before="0" w:after="0" w:line="240" w:lineRule="auto"/>
              <w:rPr>
                <w:rFonts w:eastAsia="Batang"/>
              </w:rPr>
            </w:pPr>
            <w:r w:rsidRPr="001F5D0D">
              <w:rPr>
                <w:rFonts w:eastAsia="Batang"/>
              </w:rPr>
              <w:t>On Rel.17 enhancements to facilitate UE-initiated panel activation and selection, for CSI/beam measurement/reporting, down select and/or modify from the following candidates:</w:t>
            </w:r>
          </w:p>
          <w:p w14:paraId="54C83F4D" w14:textId="77777777" w:rsidR="001F5D0D" w:rsidRPr="001F5D0D" w:rsidRDefault="001F5D0D" w:rsidP="00780B71">
            <w:pPr>
              <w:numPr>
                <w:ilvl w:val="0"/>
                <w:numId w:val="37"/>
              </w:numPr>
              <w:overflowPunct/>
              <w:autoSpaceDE/>
              <w:autoSpaceDN/>
              <w:adjustRightInd/>
              <w:snapToGrid w:val="0"/>
              <w:spacing w:before="0" w:after="0" w:line="240" w:lineRule="auto"/>
              <w:textAlignment w:val="auto"/>
              <w:rPr>
                <w:lang w:eastAsia="x-none"/>
              </w:rPr>
            </w:pPr>
            <w:r w:rsidRPr="001F5D0D">
              <w:rPr>
                <w:lang w:eastAsia="x-none"/>
              </w:rPr>
              <w:t>Opt1-1: A panel entity corresponds to a reported CSI-RS and/or SSB resource index in a beam reporting instance</w:t>
            </w:r>
          </w:p>
          <w:p w14:paraId="21314FF5" w14:textId="77777777" w:rsidR="001F5D0D" w:rsidRPr="001F5D0D" w:rsidRDefault="001F5D0D" w:rsidP="00780B71">
            <w:pPr>
              <w:numPr>
                <w:ilvl w:val="1"/>
                <w:numId w:val="37"/>
              </w:numPr>
              <w:overflowPunct/>
              <w:autoSpaceDE/>
              <w:autoSpaceDN/>
              <w:adjustRightInd/>
              <w:snapToGrid w:val="0"/>
              <w:spacing w:before="0" w:after="0" w:line="240" w:lineRule="auto"/>
              <w:textAlignment w:val="auto"/>
              <w:rPr>
                <w:lang w:eastAsia="x-none"/>
              </w:rPr>
            </w:pPr>
            <w:r w:rsidRPr="001F5D0D">
              <w:rPr>
                <w:lang w:eastAsia="x-none"/>
              </w:rPr>
              <w:t>The correspondence between a panel entity and a reported CSI-RS and/or SSB resource index is informed to NW</w:t>
            </w:r>
          </w:p>
          <w:p w14:paraId="7BD51B74" w14:textId="77777777" w:rsidR="001F5D0D" w:rsidRPr="001F5D0D" w:rsidRDefault="001F5D0D" w:rsidP="00780B71">
            <w:pPr>
              <w:numPr>
                <w:ilvl w:val="2"/>
                <w:numId w:val="37"/>
              </w:numPr>
              <w:overflowPunct/>
              <w:autoSpaceDE/>
              <w:autoSpaceDN/>
              <w:adjustRightInd/>
              <w:snapToGrid w:val="0"/>
              <w:spacing w:before="0" w:after="0" w:line="240" w:lineRule="auto"/>
              <w:textAlignment w:val="auto"/>
              <w:rPr>
                <w:lang w:eastAsia="x-none"/>
              </w:rPr>
            </w:pPr>
            <w:r w:rsidRPr="001F5D0D">
              <w:rPr>
                <w:lang w:eastAsia="x-none"/>
              </w:rPr>
              <w:t>FFS: How to inform through CSI/beam reporting framework</w:t>
            </w:r>
          </w:p>
          <w:p w14:paraId="398B2CD9" w14:textId="77777777" w:rsidR="001F5D0D" w:rsidRPr="001F5D0D" w:rsidRDefault="001F5D0D" w:rsidP="00780B71">
            <w:pPr>
              <w:numPr>
                <w:ilvl w:val="1"/>
                <w:numId w:val="37"/>
              </w:numPr>
              <w:overflowPunct/>
              <w:autoSpaceDE/>
              <w:autoSpaceDN/>
              <w:adjustRightInd/>
              <w:snapToGrid w:val="0"/>
              <w:spacing w:before="0" w:after="0" w:line="240" w:lineRule="auto"/>
              <w:textAlignment w:val="auto"/>
              <w:rPr>
                <w:lang w:eastAsia="x-none"/>
              </w:rPr>
            </w:pPr>
            <w:r w:rsidRPr="001F5D0D">
              <w:rPr>
                <w:lang w:eastAsia="x-none"/>
              </w:rPr>
              <w:t xml:space="preserve">FFS: Detailed design of the correspondence including the conveyed information </w:t>
            </w:r>
          </w:p>
          <w:p w14:paraId="2B44567A" w14:textId="77777777" w:rsidR="001F5D0D" w:rsidRPr="001F5D0D" w:rsidRDefault="001F5D0D" w:rsidP="00780B71">
            <w:pPr>
              <w:numPr>
                <w:ilvl w:val="1"/>
                <w:numId w:val="37"/>
              </w:numPr>
              <w:overflowPunct/>
              <w:autoSpaceDE/>
              <w:autoSpaceDN/>
              <w:adjustRightInd/>
              <w:snapToGrid w:val="0"/>
              <w:spacing w:before="0" w:after="0" w:line="240" w:lineRule="auto"/>
              <w:textAlignment w:val="auto"/>
              <w:rPr>
                <w:lang w:eastAsia="x-none"/>
              </w:rPr>
            </w:pPr>
            <w:r w:rsidRPr="001F5D0D">
              <w:rPr>
                <w:lang w:eastAsia="x-none"/>
              </w:rPr>
              <w:t>Note: the correspondence between a CSI-RS and/or SSB resource index and a panel entity is determined by the UE (analogous to Rel-15/16)</w:t>
            </w:r>
          </w:p>
          <w:p w14:paraId="77B65165" w14:textId="77777777" w:rsidR="001F5D0D" w:rsidRPr="001F5D0D" w:rsidRDefault="001F5D0D" w:rsidP="00780B71">
            <w:pPr>
              <w:numPr>
                <w:ilvl w:val="0"/>
                <w:numId w:val="37"/>
              </w:numPr>
              <w:overflowPunct/>
              <w:autoSpaceDE/>
              <w:autoSpaceDN/>
              <w:adjustRightInd/>
              <w:snapToGrid w:val="0"/>
              <w:spacing w:before="0" w:after="0" w:line="240" w:lineRule="auto"/>
              <w:textAlignment w:val="auto"/>
              <w:rPr>
                <w:lang w:eastAsia="x-none"/>
              </w:rPr>
            </w:pPr>
            <w:r w:rsidRPr="001F5D0D">
              <w:rPr>
                <w:lang w:eastAsia="x-none"/>
              </w:rPr>
              <w:t>Opt1-2: A panel entity is referring to a new panel ID within CSI/beam reports</w:t>
            </w:r>
          </w:p>
          <w:p w14:paraId="285D900C" w14:textId="77777777" w:rsidR="001F5D0D" w:rsidRPr="001F5D0D" w:rsidRDefault="001F5D0D" w:rsidP="00780B71">
            <w:pPr>
              <w:numPr>
                <w:ilvl w:val="1"/>
                <w:numId w:val="37"/>
              </w:numPr>
              <w:overflowPunct/>
              <w:autoSpaceDE/>
              <w:autoSpaceDN/>
              <w:adjustRightInd/>
              <w:snapToGrid w:val="0"/>
              <w:spacing w:before="0" w:after="0" w:line="240" w:lineRule="auto"/>
              <w:textAlignment w:val="auto"/>
              <w:rPr>
                <w:lang w:eastAsia="x-none"/>
              </w:rPr>
            </w:pPr>
            <w:r w:rsidRPr="001F5D0D">
              <w:rPr>
                <w:lang w:eastAsia="x-none"/>
              </w:rPr>
              <w:t>FFS: Detailed design of the new panel ID including the information conveyed by the new panel ID</w:t>
            </w:r>
          </w:p>
          <w:p w14:paraId="286BD5AE" w14:textId="77777777" w:rsidR="001F5D0D" w:rsidRPr="001F5D0D" w:rsidRDefault="001F5D0D" w:rsidP="00780B71">
            <w:pPr>
              <w:numPr>
                <w:ilvl w:val="1"/>
                <w:numId w:val="37"/>
              </w:numPr>
              <w:overflowPunct/>
              <w:autoSpaceDE/>
              <w:autoSpaceDN/>
              <w:adjustRightInd/>
              <w:snapToGrid w:val="0"/>
              <w:spacing w:before="0" w:after="0" w:line="240" w:lineRule="auto"/>
              <w:textAlignment w:val="auto"/>
              <w:rPr>
                <w:lang w:eastAsia="x-none"/>
              </w:rPr>
            </w:pPr>
            <w:r w:rsidRPr="001F5D0D">
              <w:rPr>
                <w:lang w:eastAsia="x-none"/>
              </w:rPr>
              <w:t>Note: The association between the new panel ID and the panel entity is determined by the UE</w:t>
            </w:r>
          </w:p>
          <w:p w14:paraId="4BF14C54" w14:textId="77777777" w:rsidR="001F5D0D" w:rsidRPr="001F5D0D" w:rsidRDefault="001F5D0D" w:rsidP="00780B71">
            <w:pPr>
              <w:numPr>
                <w:ilvl w:val="0"/>
                <w:numId w:val="37"/>
              </w:numPr>
              <w:overflowPunct/>
              <w:autoSpaceDE/>
              <w:autoSpaceDN/>
              <w:adjustRightInd/>
              <w:snapToGrid w:val="0"/>
              <w:spacing w:before="0" w:after="0" w:line="240" w:lineRule="auto"/>
              <w:textAlignment w:val="auto"/>
              <w:rPr>
                <w:lang w:eastAsia="x-none"/>
              </w:rPr>
            </w:pPr>
            <w:r w:rsidRPr="001F5D0D">
              <w:rPr>
                <w:lang w:eastAsia="x-none"/>
              </w:rPr>
              <w:t>Opt1-3: No additional specification support</w:t>
            </w:r>
          </w:p>
          <w:p w14:paraId="0309FD5F" w14:textId="77777777" w:rsidR="001F5D0D" w:rsidRPr="001F5D0D" w:rsidRDefault="001F5D0D" w:rsidP="00780B71">
            <w:pPr>
              <w:numPr>
                <w:ilvl w:val="0"/>
                <w:numId w:val="37"/>
              </w:numPr>
              <w:overflowPunct/>
              <w:autoSpaceDE/>
              <w:autoSpaceDN/>
              <w:adjustRightInd/>
              <w:snapToGrid w:val="0"/>
              <w:spacing w:before="0" w:after="0" w:line="240" w:lineRule="auto"/>
              <w:textAlignment w:val="auto"/>
              <w:rPr>
                <w:lang w:eastAsia="x-none"/>
              </w:rPr>
            </w:pPr>
            <w:r w:rsidRPr="001F5D0D">
              <w:rPr>
                <w:lang w:eastAsia="x-none"/>
              </w:rPr>
              <w:t>The duration in which the above panel entity reference is valid and the respective setting are FFS</w:t>
            </w:r>
          </w:p>
          <w:p w14:paraId="3149EA99" w14:textId="77777777" w:rsidR="001F5D0D" w:rsidRPr="001F5D0D" w:rsidRDefault="001F5D0D" w:rsidP="001F5D0D">
            <w:pPr>
              <w:snapToGrid w:val="0"/>
              <w:spacing w:before="0" w:after="0" w:line="240" w:lineRule="auto"/>
              <w:rPr>
                <w:rFonts w:eastAsia="Batang"/>
              </w:rPr>
            </w:pPr>
            <w:r w:rsidRPr="001F5D0D">
              <w:rPr>
                <w:rFonts w:eastAsia="Batang"/>
              </w:rPr>
              <w:t>Note: “panel entity” is only used for discussion purpose</w:t>
            </w:r>
          </w:p>
          <w:p w14:paraId="7BB9B530" w14:textId="77777777" w:rsidR="001F5D0D" w:rsidRPr="001F5D0D" w:rsidRDefault="001F5D0D" w:rsidP="001F5D0D">
            <w:pPr>
              <w:spacing w:before="0" w:after="0"/>
            </w:pPr>
          </w:p>
          <w:p w14:paraId="1E68FFD4" w14:textId="77777777" w:rsidR="001F5D0D" w:rsidRPr="001F5D0D" w:rsidRDefault="001F5D0D" w:rsidP="001F5D0D">
            <w:pPr>
              <w:snapToGrid w:val="0"/>
              <w:spacing w:before="0" w:after="0" w:line="240" w:lineRule="auto"/>
              <w:rPr>
                <w:rFonts w:eastAsia="Malgun Gothic"/>
                <w:bCs/>
                <w:highlight w:val="green"/>
              </w:rPr>
            </w:pPr>
            <w:r w:rsidRPr="001F5D0D">
              <w:rPr>
                <w:rFonts w:eastAsia="Malgun Gothic"/>
                <w:b/>
                <w:bCs/>
                <w:highlight w:val="green"/>
              </w:rPr>
              <w:t>Agreement</w:t>
            </w:r>
          </w:p>
          <w:p w14:paraId="3D2B3890" w14:textId="77777777" w:rsidR="001F5D0D" w:rsidRPr="001F5D0D" w:rsidRDefault="001F5D0D" w:rsidP="001F5D0D">
            <w:pPr>
              <w:snapToGrid w:val="0"/>
              <w:spacing w:before="0" w:after="0" w:line="240" w:lineRule="auto"/>
              <w:rPr>
                <w:rFonts w:eastAsia="Malgun Gothic"/>
                <w:bCs/>
              </w:rPr>
            </w:pPr>
            <w:r w:rsidRPr="001F5D0D">
              <w:rPr>
                <w:rFonts w:eastAsia="Batang"/>
              </w:rPr>
              <w:t xml:space="preserve">On Rel.17 enhancements for MPUE, </w:t>
            </w:r>
            <w:r w:rsidRPr="001F5D0D">
              <w:rPr>
                <w:rFonts w:eastAsia="Malgun Gothic"/>
                <w:bCs/>
              </w:rPr>
              <w:t xml:space="preserve">investigate and, </w:t>
            </w:r>
            <w:r w:rsidRPr="001F5D0D">
              <w:rPr>
                <w:rFonts w:eastAsia="Malgun Gothic"/>
                <w:b/>
                <w:u w:val="single"/>
              </w:rPr>
              <w:t>if needed</w:t>
            </w:r>
            <w:r w:rsidRPr="001F5D0D">
              <w:rPr>
                <w:rFonts w:eastAsia="Malgun Gothic"/>
                <w:bCs/>
              </w:rPr>
              <w:t>, specify the following:</w:t>
            </w:r>
          </w:p>
          <w:p w14:paraId="3E25D044" w14:textId="77777777" w:rsidR="001F5D0D" w:rsidRPr="001F5D0D" w:rsidRDefault="001F5D0D" w:rsidP="00780B71">
            <w:pPr>
              <w:numPr>
                <w:ilvl w:val="0"/>
                <w:numId w:val="38"/>
              </w:numPr>
              <w:overflowPunct/>
              <w:adjustRightInd/>
              <w:snapToGrid w:val="0"/>
              <w:spacing w:before="0" w:after="0" w:line="240" w:lineRule="auto"/>
              <w:textAlignment w:val="auto"/>
              <w:rPr>
                <w:rFonts w:eastAsia="Malgun Gothic"/>
                <w:bCs/>
                <w:lang w:eastAsia="x-none"/>
              </w:rPr>
            </w:pPr>
            <w:r w:rsidRPr="001F5D0D">
              <w:rPr>
                <w:rFonts w:eastAsia="Malgun Gothic"/>
                <w:bCs/>
                <w:lang w:eastAsia="x-none"/>
              </w:rPr>
              <w:t>UE reporting of panel-specific information as a UE capability, for example:</w:t>
            </w:r>
          </w:p>
          <w:p w14:paraId="4BB3A661" w14:textId="77777777" w:rsidR="001F5D0D" w:rsidRPr="001F5D0D" w:rsidRDefault="001F5D0D" w:rsidP="00780B71">
            <w:pPr>
              <w:numPr>
                <w:ilvl w:val="1"/>
                <w:numId w:val="38"/>
              </w:numPr>
              <w:overflowPunct/>
              <w:adjustRightInd/>
              <w:snapToGrid w:val="0"/>
              <w:spacing w:before="0" w:after="0" w:line="240" w:lineRule="auto"/>
              <w:textAlignment w:val="auto"/>
              <w:rPr>
                <w:rFonts w:eastAsia="Malgun Gothic"/>
                <w:bCs/>
                <w:lang w:eastAsia="x-none"/>
              </w:rPr>
            </w:pPr>
            <w:r w:rsidRPr="001F5D0D">
              <w:rPr>
                <w:rFonts w:eastAsia="Malgun Gothic"/>
                <w:bCs/>
                <w:lang w:eastAsia="ko-KR"/>
              </w:rPr>
              <w:t>Information related to the total number of DL/UL panel entities</w:t>
            </w:r>
          </w:p>
          <w:p w14:paraId="4602C3BC" w14:textId="77777777" w:rsidR="001F5D0D" w:rsidRPr="001F5D0D" w:rsidRDefault="001F5D0D" w:rsidP="00780B71">
            <w:pPr>
              <w:numPr>
                <w:ilvl w:val="1"/>
                <w:numId w:val="38"/>
              </w:numPr>
              <w:overflowPunct/>
              <w:adjustRightInd/>
              <w:snapToGrid w:val="0"/>
              <w:spacing w:before="0" w:after="0" w:line="240" w:lineRule="auto"/>
              <w:textAlignment w:val="auto"/>
              <w:rPr>
                <w:rFonts w:eastAsia="Malgun Gothic"/>
                <w:bCs/>
                <w:lang w:eastAsia="x-none"/>
              </w:rPr>
            </w:pPr>
            <w:r w:rsidRPr="001F5D0D">
              <w:rPr>
                <w:rFonts w:eastAsia="Malgun Gothic"/>
                <w:bCs/>
                <w:lang w:eastAsia="ko-KR"/>
              </w:rPr>
              <w:t>Information related to the number of (max) antenna ports/layers per panel entity</w:t>
            </w:r>
          </w:p>
          <w:p w14:paraId="731BDDBC" w14:textId="77777777" w:rsidR="001F5D0D" w:rsidRPr="001F5D0D" w:rsidRDefault="001F5D0D" w:rsidP="00780B71">
            <w:pPr>
              <w:numPr>
                <w:ilvl w:val="1"/>
                <w:numId w:val="38"/>
              </w:numPr>
              <w:overflowPunct/>
              <w:adjustRightInd/>
              <w:snapToGrid w:val="0"/>
              <w:spacing w:before="0" w:after="0" w:line="240" w:lineRule="auto"/>
              <w:textAlignment w:val="auto"/>
              <w:rPr>
                <w:rFonts w:eastAsia="Malgun Gothic"/>
                <w:bCs/>
                <w:lang w:eastAsia="x-none"/>
              </w:rPr>
            </w:pPr>
            <w:r w:rsidRPr="001F5D0D">
              <w:rPr>
                <w:rFonts w:eastAsia="Malgun Gothic"/>
                <w:bCs/>
                <w:lang w:eastAsia="ko-KR"/>
              </w:rPr>
              <w:t>Information related to the maximum number of resources per panel entity for SRS BM</w:t>
            </w:r>
          </w:p>
          <w:p w14:paraId="0F16585B" w14:textId="77777777" w:rsidR="001F5D0D" w:rsidRPr="001F5D0D" w:rsidRDefault="001F5D0D" w:rsidP="00780B71">
            <w:pPr>
              <w:numPr>
                <w:ilvl w:val="1"/>
                <w:numId w:val="38"/>
              </w:numPr>
              <w:overflowPunct/>
              <w:adjustRightInd/>
              <w:snapToGrid w:val="0"/>
              <w:spacing w:before="0" w:after="0" w:line="240" w:lineRule="auto"/>
              <w:textAlignment w:val="auto"/>
              <w:rPr>
                <w:rFonts w:eastAsia="Malgun Gothic"/>
                <w:bCs/>
                <w:lang w:eastAsia="x-none"/>
              </w:rPr>
            </w:pPr>
            <w:r w:rsidRPr="001F5D0D">
              <w:rPr>
                <w:rFonts w:eastAsia="Malgun Gothic"/>
                <w:bCs/>
                <w:lang w:eastAsia="ko-KR"/>
              </w:rPr>
              <w:t xml:space="preserve">Information related to panel </w:t>
            </w:r>
            <w:r w:rsidRPr="001F5D0D">
              <w:rPr>
                <w:lang w:eastAsia="x-none"/>
              </w:rPr>
              <w:t xml:space="preserve">selection </w:t>
            </w:r>
            <w:r w:rsidRPr="001F5D0D">
              <w:rPr>
                <w:rFonts w:eastAsia="Malgun Gothic"/>
                <w:bCs/>
                <w:lang w:eastAsia="ko-KR"/>
              </w:rPr>
              <w:t>delay</w:t>
            </w:r>
          </w:p>
          <w:p w14:paraId="674853A1" w14:textId="77777777" w:rsidR="001F5D0D" w:rsidRPr="001F5D0D" w:rsidRDefault="001F5D0D" w:rsidP="00780B71">
            <w:pPr>
              <w:numPr>
                <w:ilvl w:val="1"/>
                <w:numId w:val="38"/>
              </w:numPr>
              <w:overflowPunct/>
              <w:adjustRightInd/>
              <w:snapToGrid w:val="0"/>
              <w:spacing w:before="0" w:after="0" w:line="240" w:lineRule="auto"/>
              <w:textAlignment w:val="auto"/>
              <w:rPr>
                <w:rFonts w:eastAsia="Malgun Gothic"/>
                <w:bCs/>
                <w:lang w:eastAsia="x-none"/>
              </w:rPr>
            </w:pPr>
            <w:r w:rsidRPr="001F5D0D">
              <w:rPr>
                <w:rFonts w:eastAsia="Malgun Gothic"/>
                <w:bCs/>
                <w:lang w:eastAsia="ko-KR"/>
              </w:rPr>
              <w:t xml:space="preserve">Information related to panel activation delay </w:t>
            </w:r>
          </w:p>
          <w:p w14:paraId="5CBD26A5" w14:textId="77777777" w:rsidR="001F5D0D" w:rsidRPr="001F5D0D" w:rsidRDefault="001F5D0D" w:rsidP="00780B71">
            <w:pPr>
              <w:numPr>
                <w:ilvl w:val="0"/>
                <w:numId w:val="38"/>
              </w:numPr>
              <w:overflowPunct/>
              <w:adjustRightInd/>
              <w:snapToGrid w:val="0"/>
              <w:spacing w:before="0" w:after="0" w:line="240" w:lineRule="auto"/>
              <w:textAlignment w:val="auto"/>
              <w:rPr>
                <w:rFonts w:eastAsia="Malgun Gothic"/>
                <w:bCs/>
                <w:lang w:eastAsia="x-none"/>
              </w:rPr>
            </w:pPr>
            <w:r w:rsidRPr="001F5D0D">
              <w:rPr>
                <w:rFonts w:eastAsia="Malgun Gothic"/>
                <w:bCs/>
                <w:lang w:eastAsia="x-none"/>
              </w:rPr>
              <w:t xml:space="preserve">UE reporting information related to minimal </w:t>
            </w:r>
            <w:r w:rsidRPr="001F5D0D">
              <w:rPr>
                <w:rFonts w:eastAsia="Malgun Gothic"/>
                <w:bCs/>
                <w:lang w:eastAsia="ko-KR"/>
              </w:rPr>
              <w:t>activation/</w:t>
            </w:r>
            <w:r w:rsidRPr="001F5D0D">
              <w:rPr>
                <w:lang w:eastAsia="x-none"/>
              </w:rPr>
              <w:t xml:space="preserve">selection </w:t>
            </w:r>
            <w:r w:rsidRPr="001F5D0D">
              <w:rPr>
                <w:rFonts w:eastAsia="Malgun Gothic"/>
                <w:bCs/>
                <w:lang w:eastAsia="x-none"/>
              </w:rPr>
              <w:t>delay for a panel based on L1 or L2 signaling</w:t>
            </w:r>
          </w:p>
          <w:p w14:paraId="5F807C01" w14:textId="77777777" w:rsidR="001F5D0D" w:rsidRPr="001F5D0D" w:rsidRDefault="001F5D0D" w:rsidP="00780B71">
            <w:pPr>
              <w:numPr>
                <w:ilvl w:val="0"/>
                <w:numId w:val="38"/>
              </w:numPr>
              <w:overflowPunct/>
              <w:adjustRightInd/>
              <w:snapToGrid w:val="0"/>
              <w:spacing w:before="0" w:after="0" w:line="240" w:lineRule="auto"/>
              <w:textAlignment w:val="auto"/>
              <w:rPr>
                <w:rFonts w:eastAsia="Malgun Gothic"/>
                <w:bCs/>
                <w:lang w:eastAsia="x-none"/>
              </w:rPr>
            </w:pPr>
            <w:r w:rsidRPr="001F5D0D">
              <w:rPr>
                <w:rFonts w:eastAsia="Malgun Gothic"/>
                <w:bCs/>
                <w:lang w:eastAsia="x-none"/>
              </w:rPr>
              <w:t xml:space="preserve">UE reporting of panel </w:t>
            </w:r>
            <w:r w:rsidRPr="001F5D0D">
              <w:rPr>
                <w:rFonts w:eastAsia="Malgun Gothic"/>
                <w:bCs/>
                <w:lang w:eastAsia="ko-KR"/>
              </w:rPr>
              <w:t>activation/</w:t>
            </w:r>
            <w:r w:rsidRPr="001F5D0D">
              <w:rPr>
                <w:lang w:eastAsia="x-none"/>
              </w:rPr>
              <w:t xml:space="preserve">selection </w:t>
            </w:r>
            <w:r w:rsidRPr="001F5D0D">
              <w:rPr>
                <w:rFonts w:eastAsia="Malgun Gothic"/>
                <w:bCs/>
                <w:lang w:eastAsia="x-none"/>
              </w:rPr>
              <w:t>status of a panel entity, e.g. active state for both DL and UL, or active state for DL only</w:t>
            </w:r>
          </w:p>
          <w:p w14:paraId="5F221A10" w14:textId="77777777" w:rsidR="001F5D0D" w:rsidRPr="001F5D0D" w:rsidRDefault="001F5D0D" w:rsidP="00780B71">
            <w:pPr>
              <w:numPr>
                <w:ilvl w:val="1"/>
                <w:numId w:val="38"/>
              </w:numPr>
              <w:overflowPunct/>
              <w:adjustRightInd/>
              <w:snapToGrid w:val="0"/>
              <w:spacing w:before="0" w:after="0" w:line="240" w:lineRule="auto"/>
              <w:textAlignment w:val="auto"/>
              <w:rPr>
                <w:rFonts w:eastAsia="Malgun Gothic"/>
                <w:bCs/>
                <w:lang w:eastAsia="x-none"/>
              </w:rPr>
            </w:pPr>
            <w:r w:rsidRPr="001F5D0D">
              <w:rPr>
                <w:rFonts w:eastAsia="Malgun Gothic"/>
                <w:bCs/>
                <w:lang w:eastAsia="ko-KR"/>
              </w:rPr>
              <w:t>FFS: details of this information (e.g. minimal activation/</w:t>
            </w:r>
            <w:r w:rsidRPr="001F5D0D">
              <w:rPr>
                <w:lang w:eastAsia="x-none"/>
              </w:rPr>
              <w:t xml:space="preserve">selection </w:t>
            </w:r>
            <w:r w:rsidRPr="001F5D0D">
              <w:rPr>
                <w:rFonts w:eastAsia="Malgun Gothic"/>
                <w:bCs/>
                <w:lang w:eastAsia="ko-KR"/>
              </w:rPr>
              <w:t>delay for a panel) and signaling (e.g. L1 or L2 signaling)</w:t>
            </w:r>
          </w:p>
          <w:p w14:paraId="3A4EC0A3" w14:textId="77777777" w:rsidR="001F5D0D" w:rsidRPr="001F5D0D" w:rsidRDefault="001F5D0D" w:rsidP="00780B71">
            <w:pPr>
              <w:numPr>
                <w:ilvl w:val="0"/>
                <w:numId w:val="38"/>
              </w:numPr>
              <w:overflowPunct/>
              <w:adjustRightInd/>
              <w:snapToGrid w:val="0"/>
              <w:spacing w:before="0" w:after="0" w:line="240" w:lineRule="auto"/>
              <w:textAlignment w:val="auto"/>
              <w:rPr>
                <w:rFonts w:eastAsia="Malgun Gothic"/>
                <w:bCs/>
                <w:lang w:eastAsia="x-none"/>
              </w:rPr>
            </w:pPr>
            <w:r w:rsidRPr="001F5D0D">
              <w:rPr>
                <w:rFonts w:eastAsia="Malgun Gothic"/>
                <w:bCs/>
                <w:lang w:eastAsia="zh-CN"/>
              </w:rPr>
              <w:t xml:space="preserve">UE-reported information in MPE report (if supported) is used to indicate the minimal </w:t>
            </w:r>
            <w:r w:rsidRPr="001F5D0D">
              <w:rPr>
                <w:rFonts w:eastAsia="Malgun Gothic"/>
                <w:bCs/>
                <w:lang w:eastAsia="ko-KR"/>
              </w:rPr>
              <w:t>activation/</w:t>
            </w:r>
            <w:r w:rsidRPr="001F5D0D">
              <w:rPr>
                <w:lang w:eastAsia="x-none"/>
              </w:rPr>
              <w:t xml:space="preserve">selection </w:t>
            </w:r>
            <w:r w:rsidRPr="001F5D0D">
              <w:rPr>
                <w:rFonts w:eastAsia="Malgun Gothic"/>
                <w:bCs/>
                <w:lang w:eastAsia="zh-CN"/>
              </w:rPr>
              <w:t>delay and panel activation/selection status</w:t>
            </w:r>
            <w:r w:rsidRPr="001F5D0D">
              <w:rPr>
                <w:rFonts w:eastAsia="Malgun Gothic"/>
                <w:bCs/>
                <w:lang w:eastAsia="ko-KR"/>
              </w:rPr>
              <w:t xml:space="preserve"> </w:t>
            </w:r>
          </w:p>
          <w:p w14:paraId="7A410B79" w14:textId="77777777" w:rsidR="001F5D0D" w:rsidRPr="001F5D0D" w:rsidRDefault="001F5D0D" w:rsidP="00780B71">
            <w:pPr>
              <w:numPr>
                <w:ilvl w:val="0"/>
                <w:numId w:val="38"/>
              </w:numPr>
              <w:overflowPunct/>
              <w:adjustRightInd/>
              <w:snapToGrid w:val="0"/>
              <w:spacing w:before="0" w:after="0" w:line="240" w:lineRule="auto"/>
              <w:textAlignment w:val="auto"/>
              <w:rPr>
                <w:rFonts w:eastAsia="Malgun Gothic"/>
                <w:bCs/>
                <w:lang w:eastAsia="x-none"/>
              </w:rPr>
            </w:pPr>
            <w:r w:rsidRPr="001F5D0D">
              <w:rPr>
                <w:rFonts w:eastAsia="Malgun Gothic"/>
                <w:bCs/>
                <w:lang w:eastAsia="ko-KR"/>
              </w:rPr>
              <w:t>Note: above ‘panel entity’ is a logical entity and how to map physical panels to the logical entities is up to UE implementation</w:t>
            </w:r>
          </w:p>
          <w:p w14:paraId="2C620E21" w14:textId="77777777" w:rsidR="001F5D0D" w:rsidRPr="001F5D0D" w:rsidRDefault="001F5D0D" w:rsidP="00780B71">
            <w:pPr>
              <w:numPr>
                <w:ilvl w:val="0"/>
                <w:numId w:val="38"/>
              </w:numPr>
              <w:overflowPunct/>
              <w:adjustRightInd/>
              <w:snapToGrid w:val="0"/>
              <w:spacing w:before="0" w:after="0" w:line="240" w:lineRule="auto"/>
              <w:textAlignment w:val="auto"/>
              <w:rPr>
                <w:rFonts w:eastAsia="Malgun Gothic"/>
                <w:bCs/>
                <w:lang w:eastAsia="x-none"/>
              </w:rPr>
            </w:pPr>
            <w:r w:rsidRPr="001F5D0D">
              <w:rPr>
                <w:rFonts w:eastAsia="Malgun Gothic"/>
                <w:bCs/>
                <w:lang w:eastAsia="x-none"/>
              </w:rPr>
              <w:t>Note: This will depend on the final outcome of whether</w:t>
            </w:r>
            <w:r w:rsidRPr="001F5D0D">
              <w:rPr>
                <w:rFonts w:eastAsia="PMingLiU"/>
                <w:bCs/>
                <w:lang w:eastAsia="zh-TW"/>
              </w:rPr>
              <w:t xml:space="preserve"> </w:t>
            </w:r>
            <w:r w:rsidRPr="001F5D0D">
              <w:rPr>
                <w:lang w:eastAsia="x-none"/>
              </w:rPr>
              <w:t xml:space="preserve">specification support for UE-initiated panel </w:t>
            </w:r>
            <w:r w:rsidRPr="001F5D0D">
              <w:rPr>
                <w:rFonts w:eastAsia="Malgun Gothic"/>
                <w:bCs/>
                <w:lang w:eastAsia="ko-KR"/>
              </w:rPr>
              <w:t>activation/</w:t>
            </w:r>
            <w:r w:rsidRPr="001F5D0D">
              <w:rPr>
                <w:lang w:eastAsia="x-none"/>
              </w:rPr>
              <w:t xml:space="preserve">selection is agreed </w:t>
            </w:r>
          </w:p>
          <w:p w14:paraId="48C4D47D" w14:textId="77777777" w:rsidR="001F5D0D" w:rsidRPr="001F5D0D" w:rsidRDefault="001F5D0D" w:rsidP="001F5D0D">
            <w:pPr>
              <w:spacing w:before="0" w:after="0" w:line="240" w:lineRule="auto"/>
              <w:rPr>
                <w:rFonts w:eastAsia="Batang"/>
                <w:lang w:eastAsia="x-none"/>
              </w:rPr>
            </w:pPr>
          </w:p>
          <w:p w14:paraId="4218AAB5" w14:textId="77777777" w:rsidR="001F5D0D" w:rsidRPr="001F5D0D" w:rsidRDefault="001F5D0D" w:rsidP="001F5D0D">
            <w:pPr>
              <w:snapToGrid w:val="0"/>
              <w:spacing w:before="0" w:after="0" w:line="240" w:lineRule="auto"/>
              <w:rPr>
                <w:rFonts w:eastAsia="Malgun Gothic"/>
                <w:bCs/>
                <w:highlight w:val="green"/>
              </w:rPr>
            </w:pPr>
            <w:r w:rsidRPr="001F5D0D">
              <w:rPr>
                <w:rFonts w:eastAsia="Malgun Gothic"/>
                <w:b/>
                <w:bCs/>
                <w:highlight w:val="green"/>
              </w:rPr>
              <w:t>Agreement</w:t>
            </w:r>
          </w:p>
          <w:p w14:paraId="4759BFCA" w14:textId="77777777" w:rsidR="001F5D0D" w:rsidRPr="001F5D0D" w:rsidRDefault="001F5D0D" w:rsidP="001F5D0D">
            <w:pPr>
              <w:snapToGrid w:val="0"/>
              <w:spacing w:before="0" w:after="0" w:line="240" w:lineRule="auto"/>
              <w:rPr>
                <w:rFonts w:eastAsia="Malgun Gothic"/>
                <w:bCs/>
              </w:rPr>
            </w:pPr>
            <w:r w:rsidRPr="001F5D0D">
              <w:rPr>
                <w:rFonts w:eastAsia="Batang"/>
              </w:rPr>
              <w:t>On Rel.17 enhancements for MPUE, f</w:t>
            </w:r>
            <w:r w:rsidRPr="001F5D0D">
              <w:rPr>
                <w:rFonts w:eastAsia="Malgun Gothic"/>
                <w:bCs/>
              </w:rPr>
              <w:t>or codebook based UL transmission, decide by August RAN1 meeting whether to support CB-based SRS resources with different numbers of ports</w:t>
            </w:r>
          </w:p>
          <w:p w14:paraId="591F80A6" w14:textId="77777777" w:rsidR="001F5D0D" w:rsidRPr="001F5D0D" w:rsidRDefault="001F5D0D" w:rsidP="00780B71">
            <w:pPr>
              <w:numPr>
                <w:ilvl w:val="0"/>
                <w:numId w:val="39"/>
              </w:numPr>
              <w:overflowPunct/>
              <w:adjustRightInd/>
              <w:snapToGrid w:val="0"/>
              <w:spacing w:before="0" w:after="0" w:line="240" w:lineRule="auto"/>
              <w:textAlignment w:val="auto"/>
              <w:rPr>
                <w:rFonts w:eastAsia="Malgun Gothic"/>
                <w:bCs/>
                <w:lang w:eastAsia="ko-KR"/>
              </w:rPr>
            </w:pPr>
            <w:r w:rsidRPr="001F5D0D">
              <w:rPr>
                <w:rFonts w:eastAsia="Malgun Gothic"/>
                <w:bCs/>
                <w:lang w:eastAsia="ko-KR"/>
              </w:rPr>
              <w:t>FFS details (e.g. per resource or per resource set)</w:t>
            </w:r>
          </w:p>
          <w:p w14:paraId="28973919" w14:textId="77777777" w:rsidR="001F5D0D" w:rsidRPr="001F5D0D" w:rsidRDefault="001F5D0D" w:rsidP="00780B71">
            <w:pPr>
              <w:numPr>
                <w:ilvl w:val="0"/>
                <w:numId w:val="39"/>
              </w:numPr>
              <w:overflowPunct/>
              <w:adjustRightInd/>
              <w:snapToGrid w:val="0"/>
              <w:spacing w:before="0" w:after="0" w:line="240" w:lineRule="auto"/>
              <w:textAlignment w:val="auto"/>
              <w:rPr>
                <w:rFonts w:eastAsia="Malgun Gothic"/>
                <w:bCs/>
                <w:lang w:eastAsia="ko-KR"/>
              </w:rPr>
            </w:pPr>
            <w:r w:rsidRPr="001F5D0D">
              <w:rPr>
                <w:rFonts w:eastAsia="Malgun Gothic"/>
                <w:bCs/>
                <w:lang w:eastAsia="ko-KR"/>
              </w:rPr>
              <w:t>Note: the above is not for Rel-16 full power transmission but for Rel-17 panel-specific UL transmission</w:t>
            </w:r>
          </w:p>
          <w:p w14:paraId="4C7630EC" w14:textId="77777777" w:rsidR="001F5D0D" w:rsidRPr="001F5D0D" w:rsidRDefault="001F5D0D" w:rsidP="00780B71">
            <w:pPr>
              <w:numPr>
                <w:ilvl w:val="0"/>
                <w:numId w:val="39"/>
              </w:numPr>
              <w:overflowPunct/>
              <w:adjustRightInd/>
              <w:snapToGrid w:val="0"/>
              <w:spacing w:before="0" w:after="0" w:line="240" w:lineRule="auto"/>
              <w:textAlignment w:val="auto"/>
              <w:rPr>
                <w:rFonts w:eastAsia="Malgun Gothic"/>
                <w:bCs/>
                <w:lang w:eastAsia="ko-KR"/>
              </w:rPr>
            </w:pPr>
            <w:r w:rsidRPr="001F5D0D">
              <w:rPr>
                <w:rFonts w:eastAsia="Malgun Gothic"/>
                <w:bCs/>
                <w:lang w:eastAsia="ko-KR"/>
              </w:rPr>
              <w:lastRenderedPageBreak/>
              <w:t>FFS: non-codebook based UL transmission for MPUE</w:t>
            </w:r>
            <w:r w:rsidRPr="001F5D0D">
              <w:rPr>
                <w:rFonts w:eastAsia="Malgun Gothic"/>
                <w:bCs/>
                <w:lang w:eastAsia="zh-CN"/>
              </w:rPr>
              <w:t xml:space="preserve"> </w:t>
            </w:r>
          </w:p>
          <w:p w14:paraId="6F7CC9E2" w14:textId="4227518D" w:rsidR="001F5D0D" w:rsidRPr="001F5D0D" w:rsidRDefault="001F5D0D" w:rsidP="00780B71">
            <w:pPr>
              <w:numPr>
                <w:ilvl w:val="0"/>
                <w:numId w:val="39"/>
              </w:numPr>
              <w:overflowPunct/>
              <w:adjustRightInd/>
              <w:snapToGrid w:val="0"/>
              <w:spacing w:before="0" w:after="0" w:line="240" w:lineRule="auto"/>
              <w:textAlignment w:val="auto"/>
              <w:rPr>
                <w:rFonts w:eastAsia="Malgun Gothic" w:cs="Times"/>
                <w:bCs/>
                <w:sz w:val="22"/>
                <w:szCs w:val="24"/>
                <w:lang w:eastAsia="ko-KR"/>
              </w:rPr>
            </w:pPr>
            <w:r w:rsidRPr="001F5D0D">
              <w:rPr>
                <w:rFonts w:eastAsia="Malgun Gothic"/>
                <w:bCs/>
                <w:lang w:eastAsia="zh-CN"/>
              </w:rPr>
              <w:t>FFS whether existing BWP switch based mechanism (discussed previously in Rel-16 power saving WI) can serve such purpose</w:t>
            </w:r>
            <w:r w:rsidRPr="00F148B7">
              <w:rPr>
                <w:rFonts w:eastAsia="Malgun Gothic" w:cs="Times"/>
                <w:bCs/>
                <w:sz w:val="22"/>
                <w:szCs w:val="24"/>
                <w:lang w:eastAsia="ko-KR"/>
              </w:rPr>
              <w:t xml:space="preserve"> </w:t>
            </w:r>
          </w:p>
        </w:tc>
      </w:tr>
    </w:tbl>
    <w:p w14:paraId="6900E3FD" w14:textId="4EFF9294" w:rsidR="001E1D61" w:rsidRDefault="001E1D61" w:rsidP="00944B7D">
      <w:pPr>
        <w:spacing w:after="0"/>
        <w:rPr>
          <w:lang w:val="en-US"/>
        </w:rPr>
      </w:pPr>
    </w:p>
    <w:p w14:paraId="0D4F78D7" w14:textId="7AC73DA6" w:rsidR="008326B7" w:rsidRDefault="008326B7" w:rsidP="00482302">
      <w:pPr>
        <w:rPr>
          <w:lang w:val="en-US"/>
        </w:rPr>
      </w:pPr>
      <w:r>
        <w:rPr>
          <w:lang w:val="en-US"/>
        </w:rPr>
        <w:t xml:space="preserve">For the first agreement, at most Option 1-1A i.e., the </w:t>
      </w:r>
      <w:r w:rsidR="00746C5F">
        <w:rPr>
          <w:lang w:val="en-US"/>
        </w:rPr>
        <w:t>use of an implicit panel ID can be assumed. There is no clear motivation of introducing a new panel ID.</w:t>
      </w:r>
    </w:p>
    <w:p w14:paraId="48951100" w14:textId="2C85C01F" w:rsidR="00746C5F" w:rsidRPr="00492102" w:rsidRDefault="00746C5F" w:rsidP="00482302">
      <w:pPr>
        <w:rPr>
          <w:b/>
          <w:bCs/>
          <w:i/>
          <w:iCs/>
          <w:lang w:val="en-US"/>
        </w:rPr>
      </w:pPr>
      <w:r w:rsidRPr="00492102">
        <w:rPr>
          <w:b/>
          <w:bCs/>
          <w:i/>
          <w:iCs/>
          <w:lang w:val="en-US"/>
        </w:rPr>
        <w:t>Proposal</w:t>
      </w:r>
      <w:r w:rsidR="00A50A9E">
        <w:rPr>
          <w:b/>
          <w:bCs/>
          <w:i/>
          <w:iCs/>
          <w:lang w:val="en-US"/>
        </w:rPr>
        <w:t xml:space="preserve"> 19</w:t>
      </w:r>
      <w:r w:rsidRPr="00492102">
        <w:rPr>
          <w:b/>
          <w:bCs/>
          <w:i/>
          <w:iCs/>
          <w:lang w:val="en-US"/>
        </w:rPr>
        <w:t xml:space="preserve">: </w:t>
      </w:r>
      <w:r w:rsidR="003B028F" w:rsidRPr="00492102">
        <w:rPr>
          <w:b/>
          <w:bCs/>
          <w:i/>
          <w:iCs/>
          <w:lang w:val="en-US"/>
        </w:rPr>
        <w:t>For MP</w:t>
      </w:r>
      <w:r w:rsidR="00492102" w:rsidRPr="00492102">
        <w:rPr>
          <w:b/>
          <w:bCs/>
          <w:i/>
          <w:iCs/>
          <w:lang w:val="en-US"/>
        </w:rPr>
        <w:t>-</w:t>
      </w:r>
      <w:r w:rsidR="003B028F" w:rsidRPr="00492102">
        <w:rPr>
          <w:b/>
          <w:bCs/>
          <w:i/>
          <w:iCs/>
          <w:lang w:val="en-US"/>
        </w:rPr>
        <w:t>UE</w:t>
      </w:r>
      <w:r w:rsidR="00492102" w:rsidRPr="00492102">
        <w:rPr>
          <w:b/>
          <w:bCs/>
          <w:i/>
          <w:iCs/>
          <w:lang w:val="en-US"/>
        </w:rPr>
        <w:t>, in the case of UE-</w:t>
      </w:r>
      <w:r w:rsidR="003B028F" w:rsidRPr="00492102">
        <w:rPr>
          <w:rFonts w:eastAsia="Batang"/>
          <w:b/>
          <w:bCs/>
          <w:i/>
          <w:iCs/>
        </w:rPr>
        <w:t>initiated panel activation and selection, for CSI/beam measurement/reporting,</w:t>
      </w:r>
      <w:r w:rsidR="00492102" w:rsidRPr="00492102">
        <w:rPr>
          <w:rFonts w:eastAsia="Batang"/>
          <w:b/>
          <w:bCs/>
          <w:i/>
          <w:iCs/>
        </w:rPr>
        <w:t xml:space="preserve"> Option 1-1A may be assumed. </w:t>
      </w:r>
    </w:p>
    <w:p w14:paraId="74432EA3" w14:textId="66B01CD8" w:rsidR="00B409B7" w:rsidRDefault="001F5D0D" w:rsidP="00482302">
      <w:pPr>
        <w:rPr>
          <w:lang w:val="en-US"/>
        </w:rPr>
      </w:pPr>
      <w:r>
        <w:rPr>
          <w:lang w:val="en-US"/>
        </w:rPr>
        <w:t>With regards to the second agreement from the last meeting, it is still not clear what the utility of such reporting is for gNB i.e., how the gNB can make use of this information meaningfully to aid in scheduling</w:t>
      </w:r>
      <w:r w:rsidR="00CB30FC">
        <w:rPr>
          <w:lang w:val="en-US"/>
        </w:rPr>
        <w:t>. In our view, the utility of such reporting and its use-case should be properly justified before listing various options</w:t>
      </w:r>
      <w:r w:rsidR="00CE5A5B">
        <w:rPr>
          <w:lang w:val="en-US"/>
        </w:rPr>
        <w:t xml:space="preserve">. Pending such clarification, we do not see </w:t>
      </w:r>
      <w:r w:rsidR="00345C58">
        <w:rPr>
          <w:lang w:val="en-US"/>
        </w:rPr>
        <w:t>a use</w:t>
      </w:r>
      <w:r w:rsidR="00CE5A5B">
        <w:rPr>
          <w:lang w:val="en-US"/>
        </w:rPr>
        <w:t xml:space="preserve"> case for specifying such reporting. </w:t>
      </w:r>
    </w:p>
    <w:p w14:paraId="182D85C4" w14:textId="2BA6B360" w:rsidR="00C17BE3" w:rsidRPr="008445B3" w:rsidRDefault="00345C58" w:rsidP="00482302">
      <w:pPr>
        <w:rPr>
          <w:b/>
          <w:bCs/>
          <w:i/>
          <w:iCs/>
          <w:lang w:val="en-US"/>
        </w:rPr>
      </w:pPr>
      <w:r>
        <w:rPr>
          <w:lang w:val="en-US"/>
        </w:rPr>
        <w:t>With regards to the final agreement, it is still not clear to us why a reasonable UE implementation would consider d</w:t>
      </w:r>
      <w:r w:rsidR="001B5021">
        <w:rPr>
          <w:lang w:val="en-US"/>
        </w:rPr>
        <w:t xml:space="preserve">ifferent panels with varying number of SRS ports. This would mean that some RF chains will not be utilized for some panels while others will make full use of them. Such implementation should be carefully justified before spending specification effort on this feature. Otherwise, it would be prudent to utilize the time to address more critical latency bottlenecks which have been discussed in Section 7 of this paper. </w:t>
      </w:r>
    </w:p>
    <w:p w14:paraId="4E74164D" w14:textId="2E074F83" w:rsidR="001E1D61" w:rsidRDefault="001E1D61" w:rsidP="001E1D61">
      <w:pPr>
        <w:pStyle w:val="Heading1"/>
        <w:pBdr>
          <w:top w:val="single" w:sz="12" w:space="4" w:color="auto"/>
        </w:pBdr>
        <w:rPr>
          <w:rFonts w:cs="Arial"/>
          <w:sz w:val="32"/>
          <w:szCs w:val="18"/>
          <w:lang w:val="en-US"/>
        </w:rPr>
      </w:pPr>
      <w:r>
        <w:rPr>
          <w:rFonts w:cs="Arial"/>
          <w:sz w:val="32"/>
          <w:szCs w:val="18"/>
          <w:lang w:val="en-US"/>
        </w:rPr>
        <w:t xml:space="preserve">Issue 5: MPE Mitigation Techniques </w:t>
      </w:r>
    </w:p>
    <w:tbl>
      <w:tblPr>
        <w:tblStyle w:val="TableGrid"/>
        <w:tblW w:w="0" w:type="auto"/>
        <w:tblLook w:val="04A0" w:firstRow="1" w:lastRow="0" w:firstColumn="1" w:lastColumn="0" w:noHBand="0" w:noVBand="1"/>
      </w:tblPr>
      <w:tblGrid>
        <w:gridCol w:w="10160"/>
      </w:tblGrid>
      <w:tr w:rsidR="001E1D61" w14:paraId="2D24D782" w14:textId="77777777" w:rsidTr="00411245">
        <w:tc>
          <w:tcPr>
            <w:tcW w:w="10160" w:type="dxa"/>
          </w:tcPr>
          <w:p w14:paraId="159E0B4E" w14:textId="2D91B318" w:rsidR="001E1D61" w:rsidRDefault="001E1D61" w:rsidP="001E1D61">
            <w:pPr>
              <w:spacing w:before="0"/>
              <w:rPr>
                <w:b/>
                <w:bCs/>
                <w:lang w:val="en-US"/>
              </w:rPr>
            </w:pPr>
            <w:r w:rsidRPr="00C834A3">
              <w:rPr>
                <w:b/>
                <w:bCs/>
                <w:lang w:val="en-US"/>
              </w:rPr>
              <w:t>Agreements from RAN1#10</w:t>
            </w:r>
            <w:r w:rsidR="00CE2456">
              <w:rPr>
                <w:b/>
                <w:bCs/>
                <w:lang w:val="en-US"/>
              </w:rPr>
              <w:t>4-</w:t>
            </w:r>
            <w:r w:rsidRPr="00C834A3">
              <w:rPr>
                <w:b/>
                <w:bCs/>
                <w:lang w:val="en-US"/>
              </w:rPr>
              <w:t>e</w:t>
            </w:r>
            <w:r>
              <w:rPr>
                <w:b/>
                <w:bCs/>
                <w:lang w:val="en-US"/>
              </w:rPr>
              <w:t>:</w:t>
            </w:r>
          </w:p>
          <w:p w14:paraId="56CA7B3B" w14:textId="77777777" w:rsidR="00C17BE3" w:rsidRPr="00C17BE3" w:rsidRDefault="00C17BE3" w:rsidP="00C17BE3">
            <w:pPr>
              <w:spacing w:before="0" w:after="0" w:line="240" w:lineRule="auto"/>
              <w:rPr>
                <w:rFonts w:eastAsia="Batang"/>
                <w:b/>
                <w:bCs/>
                <w:lang w:eastAsia="ko-KR"/>
              </w:rPr>
            </w:pPr>
            <w:r w:rsidRPr="00C17BE3">
              <w:rPr>
                <w:rFonts w:eastAsia="Batang"/>
                <w:b/>
                <w:bCs/>
                <w:highlight w:val="green"/>
              </w:rPr>
              <w:t>Agreement</w:t>
            </w:r>
          </w:p>
          <w:p w14:paraId="30E67A59" w14:textId="77777777" w:rsidR="00C17BE3" w:rsidRPr="00C17BE3" w:rsidRDefault="00C17BE3" w:rsidP="00C17BE3">
            <w:pPr>
              <w:snapToGrid w:val="0"/>
              <w:spacing w:before="0" w:after="0" w:line="240" w:lineRule="auto"/>
              <w:rPr>
                <w:rFonts w:eastAsia="Batang"/>
                <w:lang w:eastAsia="zh-CN"/>
              </w:rPr>
            </w:pPr>
            <w:r w:rsidRPr="00C17BE3">
              <w:rPr>
                <w:rFonts w:eastAsia="Batang"/>
                <w:lang w:eastAsia="zh-CN"/>
              </w:rPr>
              <w:t>On Rel.17 enhancements to facilitate MPE mitigation, in RAN1#105-e, further discuss to down-select at least one or combine from the following options:</w:t>
            </w:r>
          </w:p>
          <w:p w14:paraId="14F08219" w14:textId="77777777" w:rsidR="00C17BE3" w:rsidRPr="00C17BE3" w:rsidRDefault="00C17BE3" w:rsidP="00780B71">
            <w:pPr>
              <w:numPr>
                <w:ilvl w:val="0"/>
                <w:numId w:val="40"/>
              </w:numPr>
              <w:overflowPunct/>
              <w:autoSpaceDE/>
              <w:autoSpaceDN/>
              <w:adjustRightInd/>
              <w:snapToGrid w:val="0"/>
              <w:spacing w:before="0" w:after="0" w:line="240" w:lineRule="auto"/>
              <w:textAlignment w:val="auto"/>
              <w:rPr>
                <w:lang w:eastAsia="zh-CN"/>
              </w:rPr>
            </w:pPr>
            <w:r w:rsidRPr="00C17BE3">
              <w:rPr>
                <w:lang w:eastAsia="zh-CN"/>
              </w:rPr>
              <w:t xml:space="preserve">Opt 1A. {Rel.16 P-MPR based (beam/panel-level)} + Virtual PHR or a modified version </w:t>
            </w:r>
          </w:p>
          <w:p w14:paraId="69BBC3C9" w14:textId="77777777" w:rsidR="00C17BE3" w:rsidRPr="00C17BE3" w:rsidRDefault="00C17BE3" w:rsidP="00780B71">
            <w:pPr>
              <w:numPr>
                <w:ilvl w:val="1"/>
                <w:numId w:val="40"/>
              </w:numPr>
              <w:overflowPunct/>
              <w:autoSpaceDE/>
              <w:autoSpaceDN/>
              <w:adjustRightInd/>
              <w:snapToGrid w:val="0"/>
              <w:spacing w:before="0" w:after="0" w:line="240" w:lineRule="auto"/>
              <w:textAlignment w:val="auto"/>
              <w:rPr>
                <w:lang w:eastAsia="zh-CN"/>
              </w:rPr>
            </w:pPr>
            <w:r w:rsidRPr="00C17BE3">
              <w:rPr>
                <w:lang w:eastAsia="zh-CN"/>
              </w:rPr>
              <w:t>The modified version may be associated with each activated UL TCI or, if applicable, joint TCI, or associated with each of the reported SSBRI(s)/CRI(s) and/or panel indication (if configured) from candidate pool, if reported.</w:t>
            </w:r>
          </w:p>
          <w:p w14:paraId="6352D387" w14:textId="77777777" w:rsidR="00C17BE3" w:rsidRPr="00C17BE3" w:rsidRDefault="00C17BE3" w:rsidP="00780B71">
            <w:pPr>
              <w:numPr>
                <w:ilvl w:val="1"/>
                <w:numId w:val="40"/>
              </w:numPr>
              <w:overflowPunct/>
              <w:autoSpaceDE/>
              <w:autoSpaceDN/>
              <w:adjustRightInd/>
              <w:snapToGrid w:val="0"/>
              <w:spacing w:before="0" w:after="0" w:line="240" w:lineRule="auto"/>
              <w:textAlignment w:val="auto"/>
              <w:rPr>
                <w:lang w:eastAsia="zh-CN"/>
              </w:rPr>
            </w:pPr>
            <w:r w:rsidRPr="00C17BE3">
              <w:rPr>
                <w:lang w:eastAsia="zh-CN"/>
              </w:rPr>
              <w:t>The reporting reuses the event-driven mechanisms from the Rel-16 P-MPR reporting</w:t>
            </w:r>
          </w:p>
          <w:p w14:paraId="7B89D641" w14:textId="77777777" w:rsidR="00C17BE3" w:rsidRPr="00C17BE3" w:rsidRDefault="00C17BE3" w:rsidP="00780B71">
            <w:pPr>
              <w:numPr>
                <w:ilvl w:val="1"/>
                <w:numId w:val="40"/>
              </w:numPr>
              <w:overflowPunct/>
              <w:autoSpaceDE/>
              <w:autoSpaceDN/>
              <w:adjustRightInd/>
              <w:snapToGrid w:val="0"/>
              <w:spacing w:before="0" w:after="0" w:line="240" w:lineRule="auto"/>
              <w:textAlignment w:val="auto"/>
              <w:rPr>
                <w:lang w:eastAsia="zh-CN"/>
              </w:rPr>
            </w:pPr>
            <w:r w:rsidRPr="00C17BE3">
              <w:rPr>
                <w:lang w:eastAsia="zh-CN"/>
              </w:rPr>
              <w:t>FFS: how to determine the virtual PHR or the modified version.</w:t>
            </w:r>
          </w:p>
          <w:p w14:paraId="71ED713F" w14:textId="77777777" w:rsidR="00C17BE3" w:rsidRPr="00C17BE3" w:rsidRDefault="00C17BE3" w:rsidP="00780B71">
            <w:pPr>
              <w:numPr>
                <w:ilvl w:val="0"/>
                <w:numId w:val="40"/>
              </w:numPr>
              <w:overflowPunct/>
              <w:autoSpaceDE/>
              <w:autoSpaceDN/>
              <w:adjustRightInd/>
              <w:snapToGrid w:val="0"/>
              <w:spacing w:before="0" w:after="0" w:line="240" w:lineRule="auto"/>
              <w:textAlignment w:val="auto"/>
              <w:rPr>
                <w:lang w:eastAsia="zh-CN"/>
              </w:rPr>
            </w:pPr>
            <w:r w:rsidRPr="00C17BE3">
              <w:rPr>
                <w:lang w:eastAsia="zh-CN"/>
              </w:rPr>
              <w:t>Opt 1D. {Rel.16 P-MPR based (beam/panel-level)}</w:t>
            </w:r>
          </w:p>
          <w:p w14:paraId="3D1E84FC" w14:textId="77777777" w:rsidR="00C17BE3" w:rsidRPr="00C17BE3" w:rsidRDefault="00C17BE3" w:rsidP="00780B71">
            <w:pPr>
              <w:numPr>
                <w:ilvl w:val="1"/>
                <w:numId w:val="40"/>
              </w:numPr>
              <w:overflowPunct/>
              <w:autoSpaceDE/>
              <w:autoSpaceDN/>
              <w:adjustRightInd/>
              <w:snapToGrid w:val="0"/>
              <w:spacing w:before="0" w:after="0" w:line="240" w:lineRule="auto"/>
              <w:textAlignment w:val="auto"/>
              <w:rPr>
                <w:lang w:eastAsia="zh-CN"/>
              </w:rPr>
            </w:pPr>
            <w:r w:rsidRPr="00C17BE3">
              <w:rPr>
                <w:lang w:eastAsia="zh-CN"/>
              </w:rPr>
              <w:t>The reporting reuses the event-driven mechanisms from the Rel-16 P-MPR reporting</w:t>
            </w:r>
          </w:p>
          <w:p w14:paraId="56E07E34" w14:textId="77777777" w:rsidR="00C17BE3" w:rsidRPr="00C17BE3" w:rsidRDefault="00C17BE3" w:rsidP="00780B71">
            <w:pPr>
              <w:numPr>
                <w:ilvl w:val="0"/>
                <w:numId w:val="40"/>
              </w:numPr>
              <w:overflowPunct/>
              <w:autoSpaceDE/>
              <w:autoSpaceDN/>
              <w:adjustRightInd/>
              <w:snapToGrid w:val="0"/>
              <w:spacing w:before="0" w:after="0" w:line="240" w:lineRule="auto"/>
              <w:textAlignment w:val="auto"/>
              <w:rPr>
                <w:lang w:eastAsia="zh-CN"/>
              </w:rPr>
            </w:pPr>
            <w:r w:rsidRPr="00C17BE3">
              <w:rPr>
                <w:lang w:eastAsia="zh-CN"/>
              </w:rPr>
              <w:t>Opt 2A. {SSBRI(s)/CRI(s) and/or panel indication} + L1-RSRP [L1-SINR] or a modified version that accounts for MPE effect associated with each of the reported SSBRI(s)/CRI(s) and/or panel indication (if configured)</w:t>
            </w:r>
          </w:p>
          <w:p w14:paraId="7D5675BE" w14:textId="77777777" w:rsidR="00C17BE3" w:rsidRPr="00C17BE3" w:rsidRDefault="00C17BE3" w:rsidP="00780B71">
            <w:pPr>
              <w:numPr>
                <w:ilvl w:val="1"/>
                <w:numId w:val="41"/>
              </w:numPr>
              <w:overflowPunct/>
              <w:autoSpaceDE/>
              <w:autoSpaceDN/>
              <w:adjustRightInd/>
              <w:snapToGrid w:val="0"/>
              <w:spacing w:before="0" w:after="0" w:line="240" w:lineRule="auto"/>
              <w:textAlignment w:val="auto"/>
              <w:rPr>
                <w:lang w:eastAsia="zh-CN"/>
              </w:rPr>
            </w:pPr>
            <w:r w:rsidRPr="00C17BE3">
              <w:rPr>
                <w:lang w:eastAsia="zh-CN"/>
              </w:rPr>
              <w:t>FFS: How panel-level L1-RSRP [L1-SINR] is reported if L1-RSRP [L1-SINR] is associated with panel</w:t>
            </w:r>
          </w:p>
          <w:p w14:paraId="78EFE697" w14:textId="77777777" w:rsidR="00C17BE3" w:rsidRPr="00C17BE3" w:rsidRDefault="00C17BE3" w:rsidP="00780B71">
            <w:pPr>
              <w:numPr>
                <w:ilvl w:val="1"/>
                <w:numId w:val="41"/>
              </w:numPr>
              <w:overflowPunct/>
              <w:autoSpaceDE/>
              <w:autoSpaceDN/>
              <w:adjustRightInd/>
              <w:snapToGrid w:val="0"/>
              <w:spacing w:before="0" w:after="0" w:line="240" w:lineRule="auto"/>
              <w:textAlignment w:val="auto"/>
              <w:rPr>
                <w:lang w:eastAsia="zh-CN"/>
              </w:rPr>
            </w:pPr>
            <w:r w:rsidRPr="00C17BE3">
              <w:rPr>
                <w:lang w:eastAsia="zh-CN"/>
              </w:rPr>
              <w:t>FFS: Whether/how to account for MPE effect in L1-RSRP [L1-SINR] report, e.g. by using scaled L1-RSRP [L1-SINR]</w:t>
            </w:r>
          </w:p>
          <w:p w14:paraId="266E36B4" w14:textId="77777777" w:rsidR="00C17BE3" w:rsidRPr="00C17BE3" w:rsidRDefault="00C17BE3" w:rsidP="00780B71">
            <w:pPr>
              <w:numPr>
                <w:ilvl w:val="1"/>
                <w:numId w:val="40"/>
              </w:numPr>
              <w:overflowPunct/>
              <w:autoSpaceDE/>
              <w:autoSpaceDN/>
              <w:adjustRightInd/>
              <w:snapToGrid w:val="0"/>
              <w:spacing w:before="0" w:after="0" w:line="240" w:lineRule="auto"/>
              <w:textAlignment w:val="auto"/>
              <w:rPr>
                <w:lang w:eastAsia="zh-CN"/>
              </w:rPr>
            </w:pPr>
            <w:r w:rsidRPr="00C17BE3">
              <w:rPr>
                <w:lang w:eastAsia="zh-CN"/>
              </w:rPr>
              <w:t>FFS: Whether/how to enhance existing beam reporting format to support Option 2A</w:t>
            </w:r>
          </w:p>
          <w:p w14:paraId="6D355701" w14:textId="77777777" w:rsidR="00C17BE3" w:rsidRPr="00C17BE3" w:rsidRDefault="00C17BE3" w:rsidP="00780B71">
            <w:pPr>
              <w:numPr>
                <w:ilvl w:val="1"/>
                <w:numId w:val="40"/>
              </w:numPr>
              <w:overflowPunct/>
              <w:autoSpaceDE/>
              <w:autoSpaceDN/>
              <w:adjustRightInd/>
              <w:snapToGrid w:val="0"/>
              <w:spacing w:before="0" w:after="0" w:line="240" w:lineRule="auto"/>
              <w:textAlignment w:val="auto"/>
              <w:rPr>
                <w:lang w:eastAsia="zh-CN"/>
              </w:rPr>
            </w:pPr>
            <w:r w:rsidRPr="00C17BE3">
              <w:rPr>
                <w:lang w:eastAsia="zh-CN"/>
              </w:rPr>
              <w:t>FFS: When multiple SSBRIs/CRIs and their corresponding metrics are reported in the same reporting instance, whether to allow mixture between the SSBRI(s)/CRI(s</w:t>
            </w:r>
            <w:r w:rsidRPr="00C17BE3">
              <w:rPr>
                <w:lang w:eastAsia="zh-TW"/>
              </w:rPr>
              <w:t>)</w:t>
            </w:r>
            <w:r w:rsidRPr="00C17BE3">
              <w:rPr>
                <w:lang w:eastAsia="zh-CN"/>
              </w:rPr>
              <w:t xml:space="preserve">) intended for MPE mitigation and for DL beam reporting </w:t>
            </w:r>
          </w:p>
          <w:p w14:paraId="3257A35F" w14:textId="77777777" w:rsidR="00C17BE3" w:rsidRPr="00C17BE3" w:rsidRDefault="00C17BE3" w:rsidP="00780B71">
            <w:pPr>
              <w:numPr>
                <w:ilvl w:val="1"/>
                <w:numId w:val="40"/>
              </w:numPr>
              <w:overflowPunct/>
              <w:autoSpaceDE/>
              <w:autoSpaceDN/>
              <w:adjustRightInd/>
              <w:snapToGrid w:val="0"/>
              <w:spacing w:before="0" w:after="0" w:line="240" w:lineRule="auto"/>
              <w:textAlignment w:val="auto"/>
              <w:rPr>
                <w:lang w:eastAsia="zh-CN"/>
              </w:rPr>
            </w:pPr>
            <w:r w:rsidRPr="00C17BE3">
              <w:rPr>
                <w:lang w:eastAsia="zh-CN"/>
              </w:rPr>
              <w:t>FFS: Whether the reporting is UE-initiated (event-driven) and/or NW-initiated</w:t>
            </w:r>
          </w:p>
          <w:p w14:paraId="67233D77" w14:textId="77777777" w:rsidR="00C17BE3" w:rsidRPr="00C17BE3" w:rsidRDefault="00C17BE3" w:rsidP="00780B71">
            <w:pPr>
              <w:numPr>
                <w:ilvl w:val="1"/>
                <w:numId w:val="40"/>
              </w:numPr>
              <w:overflowPunct/>
              <w:autoSpaceDE/>
              <w:autoSpaceDN/>
              <w:adjustRightInd/>
              <w:snapToGrid w:val="0"/>
              <w:spacing w:before="0" w:after="0" w:line="240" w:lineRule="auto"/>
              <w:textAlignment w:val="auto"/>
              <w:rPr>
                <w:lang w:eastAsia="zh-CN"/>
              </w:rPr>
            </w:pPr>
            <w:r w:rsidRPr="00C17BE3">
              <w:rPr>
                <w:lang w:eastAsia="zh-CN"/>
              </w:rPr>
              <w:t>FFS: If Opt2A is selected and there is no consensus on a modified L1-RSRP definition, at least the Rel-15 L1-RSRP definition is reused and virtual PHR may be added</w:t>
            </w:r>
          </w:p>
          <w:p w14:paraId="4DF9E2C9" w14:textId="77777777" w:rsidR="00C17BE3" w:rsidRPr="00C17BE3" w:rsidRDefault="00C17BE3" w:rsidP="00C17BE3">
            <w:pPr>
              <w:snapToGrid w:val="0"/>
              <w:spacing w:before="0" w:after="0" w:line="240" w:lineRule="auto"/>
              <w:rPr>
                <w:rFonts w:eastAsia="Batang"/>
                <w:lang w:eastAsia="ko-KR"/>
              </w:rPr>
            </w:pPr>
            <w:r w:rsidRPr="00C17BE3">
              <w:rPr>
                <w:rFonts w:eastAsia="Batang"/>
              </w:rPr>
              <w:t xml:space="preserve">FFS: If gNB </w:t>
            </w:r>
            <w:r w:rsidRPr="00C17BE3">
              <w:rPr>
                <w:rFonts w:eastAsia="Batang"/>
                <w:lang w:eastAsia="zh-CN"/>
              </w:rPr>
              <w:t xml:space="preserve">acknowledges MPE report from UE for UE-initiated (event-driven) reporting </w:t>
            </w:r>
          </w:p>
          <w:p w14:paraId="173D978D" w14:textId="77777777" w:rsidR="001E1D61" w:rsidRDefault="00C17BE3" w:rsidP="00C17BE3">
            <w:pPr>
              <w:overflowPunct/>
              <w:autoSpaceDE/>
              <w:autoSpaceDN/>
              <w:adjustRightInd/>
              <w:snapToGrid w:val="0"/>
              <w:spacing w:before="0" w:after="0" w:line="240" w:lineRule="auto"/>
              <w:contextualSpacing/>
              <w:textAlignment w:val="auto"/>
              <w:rPr>
                <w:rFonts w:eastAsia="Batang"/>
              </w:rPr>
            </w:pPr>
            <w:r w:rsidRPr="00C17BE3">
              <w:rPr>
                <w:rFonts w:eastAsia="Batang"/>
              </w:rPr>
              <w:t>FFS: If differential report is supported when multiple UL beams are reported in the same report</w:t>
            </w:r>
          </w:p>
          <w:p w14:paraId="2A6CDB46" w14:textId="7DED64B6" w:rsidR="00C17BE3" w:rsidRPr="00241DFA" w:rsidRDefault="00C17BE3" w:rsidP="00C17BE3">
            <w:pPr>
              <w:overflowPunct/>
              <w:autoSpaceDE/>
              <w:autoSpaceDN/>
              <w:adjustRightInd/>
              <w:snapToGrid w:val="0"/>
              <w:spacing w:before="0" w:after="0" w:line="240" w:lineRule="auto"/>
              <w:contextualSpacing/>
              <w:textAlignment w:val="auto"/>
              <w:rPr>
                <w:rFonts w:eastAsia="Times New Roman" w:cs="Times"/>
                <w:szCs w:val="24"/>
                <w:lang w:eastAsia="x-none"/>
              </w:rPr>
            </w:pPr>
          </w:p>
        </w:tc>
      </w:tr>
    </w:tbl>
    <w:p w14:paraId="7E063033" w14:textId="77777777" w:rsidR="001E1D61" w:rsidRPr="00C834A3" w:rsidRDefault="001E1D61" w:rsidP="00C834A3">
      <w:pPr>
        <w:rPr>
          <w:lang w:val="en-US"/>
        </w:rPr>
      </w:pPr>
    </w:p>
    <w:p w14:paraId="209265D2" w14:textId="42A0ED5E" w:rsidR="003714B4" w:rsidRDefault="004A7AAA" w:rsidP="003714B4">
      <w:pPr>
        <w:pStyle w:val="Heading2"/>
        <w:rPr>
          <w:sz w:val="28"/>
          <w:szCs w:val="18"/>
          <w:lang w:val="en-US"/>
        </w:rPr>
      </w:pPr>
      <w:r>
        <w:rPr>
          <w:sz w:val="28"/>
          <w:szCs w:val="18"/>
          <w:lang w:val="en-US"/>
        </w:rPr>
        <w:t>SLS Evaluations</w:t>
      </w:r>
    </w:p>
    <w:p w14:paraId="32BEFFD9" w14:textId="3ED0E2DC" w:rsidR="003B0FA6" w:rsidRDefault="003B0FA6" w:rsidP="003B0FA6">
      <w:pPr>
        <w:rPr>
          <w:lang w:val="en-US"/>
        </w:rPr>
      </w:pPr>
      <w:r>
        <w:rPr>
          <w:lang w:val="en-US"/>
        </w:rPr>
        <w:t xml:space="preserve">We provide SLS results based on the evaluation assumptions in </w:t>
      </w:r>
      <w:r>
        <w:rPr>
          <w:lang w:val="en-US"/>
        </w:rPr>
        <w:fldChar w:fldCharType="begin"/>
      </w:r>
      <w:r>
        <w:rPr>
          <w:lang w:val="en-US"/>
        </w:rPr>
        <w:instrText xml:space="preserve"> REF _Ref54369575 \r \h </w:instrText>
      </w:r>
      <w:r>
        <w:rPr>
          <w:lang w:val="en-US"/>
        </w:rPr>
      </w:r>
      <w:r>
        <w:rPr>
          <w:lang w:val="en-US"/>
        </w:rPr>
        <w:fldChar w:fldCharType="separate"/>
      </w:r>
      <w:r>
        <w:rPr>
          <w:lang w:val="en-US"/>
        </w:rPr>
        <w:t>[2]</w:t>
      </w:r>
      <w:r>
        <w:rPr>
          <w:lang w:val="en-US"/>
        </w:rPr>
        <w:fldChar w:fldCharType="end"/>
      </w:r>
      <w:r w:rsidR="001A0A44">
        <w:rPr>
          <w:lang w:val="en-US"/>
        </w:rPr>
        <w:t xml:space="preserve"> to illustrate the need for MPE mitigation</w:t>
      </w:r>
      <w:r w:rsidR="009255A9">
        <w:rPr>
          <w:lang w:val="en-US"/>
        </w:rPr>
        <w:t xml:space="preserve"> and the extent of specification support required</w:t>
      </w:r>
      <w:r w:rsidR="008445B3">
        <w:rPr>
          <w:lang w:val="en-US"/>
        </w:rPr>
        <w:t xml:space="preserve"> based on the observed gains from the results</w:t>
      </w:r>
      <w:r w:rsidR="009C210C">
        <w:rPr>
          <w:lang w:val="en-US"/>
        </w:rPr>
        <w:t>. In the following figure</w:t>
      </w:r>
      <w:r w:rsidR="00D95878">
        <w:rPr>
          <w:lang w:val="en-US"/>
        </w:rPr>
        <w:t>s</w:t>
      </w:r>
      <w:r w:rsidR="009C210C">
        <w:rPr>
          <w:lang w:val="en-US"/>
        </w:rPr>
        <w:t xml:space="preserve">, we provide evaluation for </w:t>
      </w:r>
      <w:r w:rsidR="009C210C">
        <w:rPr>
          <w:lang w:val="en-US"/>
        </w:rPr>
        <w:lastRenderedPageBreak/>
        <w:t xml:space="preserve">Dense Urban and Indoor Hotspot. </w:t>
      </w:r>
      <w:r w:rsidR="008445B3">
        <w:rPr>
          <w:lang w:val="en-US"/>
        </w:rPr>
        <w:t>Two panel blockage models are considered i.e., best panel blockage (which provides optimistic gains for MPE assuming ideal scenario) and random panel blockage (which is a more realistic scenario where a panel is randomly chosen for blockage). It is also assumed that the UE all transmit with full power over a sub-band size of 4PRBs.</w:t>
      </w:r>
    </w:p>
    <w:p w14:paraId="2CDE5FDC" w14:textId="1F22FBD1" w:rsidR="00F050D9" w:rsidRDefault="007053C9" w:rsidP="00F050D9">
      <w:pPr>
        <w:keepNext/>
        <w:jc w:val="center"/>
      </w:pPr>
      <w:r w:rsidRPr="007053C9">
        <w:rPr>
          <w:noProof/>
        </w:rPr>
        <w:drawing>
          <wp:inline distT="0" distB="0" distL="0" distR="0" wp14:anchorId="1D23E87E" wp14:editId="5E5D62A7">
            <wp:extent cx="3171228" cy="2479952"/>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209881" cy="2510179"/>
                    </a:xfrm>
                    <a:prstGeom prst="rect">
                      <a:avLst/>
                    </a:prstGeom>
                    <a:noFill/>
                    <a:ln>
                      <a:noFill/>
                    </a:ln>
                  </pic:spPr>
                </pic:pic>
              </a:graphicData>
            </a:graphic>
          </wp:inline>
        </w:drawing>
      </w:r>
      <w:r w:rsidR="00191DA4" w:rsidRPr="00191DA4">
        <w:t xml:space="preserve"> </w:t>
      </w:r>
      <w:r w:rsidR="00191DA4" w:rsidRPr="00191DA4">
        <w:rPr>
          <w:noProof/>
        </w:rPr>
        <w:drawing>
          <wp:inline distT="0" distB="0" distL="0" distR="0" wp14:anchorId="2C808905" wp14:editId="509D4204">
            <wp:extent cx="3127170" cy="2463421"/>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180298" cy="2505273"/>
                    </a:xfrm>
                    <a:prstGeom prst="rect">
                      <a:avLst/>
                    </a:prstGeom>
                    <a:noFill/>
                    <a:ln>
                      <a:noFill/>
                    </a:ln>
                  </pic:spPr>
                </pic:pic>
              </a:graphicData>
            </a:graphic>
          </wp:inline>
        </w:drawing>
      </w:r>
    </w:p>
    <w:p w14:paraId="630F0378" w14:textId="1417D779" w:rsidR="009C210C" w:rsidRDefault="00F050D9" w:rsidP="00F050D9">
      <w:pPr>
        <w:pStyle w:val="Caption"/>
        <w:jc w:val="center"/>
        <w:rPr>
          <w:lang w:val="en-US"/>
        </w:rPr>
      </w:pPr>
      <w:r>
        <w:t xml:space="preserve">Figure </w:t>
      </w:r>
      <w:r>
        <w:fldChar w:fldCharType="begin"/>
      </w:r>
      <w:r>
        <w:instrText xml:space="preserve"> SEQ Figure \* ARABIC </w:instrText>
      </w:r>
      <w:r>
        <w:fldChar w:fldCharType="separate"/>
      </w:r>
      <w:r w:rsidR="00D71083">
        <w:rPr>
          <w:noProof/>
        </w:rPr>
        <w:t>4</w:t>
      </w:r>
      <w:r>
        <w:fldChar w:fldCharType="end"/>
      </w:r>
      <w:r>
        <w:t>: MPE Mitigation under serving panel blocking model for Dense Urban Macro</w:t>
      </w:r>
      <w:r w:rsidR="00191DA4">
        <w:t xml:space="preserve"> and Indoor Hotspot</w:t>
      </w:r>
    </w:p>
    <w:p w14:paraId="3D3BEF30" w14:textId="2AE89B8E" w:rsidR="00F050D9" w:rsidRDefault="0027320A" w:rsidP="00F050D9">
      <w:pPr>
        <w:keepNext/>
        <w:jc w:val="center"/>
      </w:pPr>
      <w:r w:rsidRPr="0027320A">
        <w:rPr>
          <w:noProof/>
        </w:rPr>
        <w:drawing>
          <wp:inline distT="0" distB="0" distL="0" distR="0" wp14:anchorId="4BD50D71" wp14:editId="76D03322">
            <wp:extent cx="3173104" cy="2482463"/>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215903" cy="2515946"/>
                    </a:xfrm>
                    <a:prstGeom prst="rect">
                      <a:avLst/>
                    </a:prstGeom>
                    <a:noFill/>
                    <a:ln>
                      <a:noFill/>
                    </a:ln>
                  </pic:spPr>
                </pic:pic>
              </a:graphicData>
            </a:graphic>
          </wp:inline>
        </w:drawing>
      </w:r>
      <w:r w:rsidR="00D72585" w:rsidRPr="00D72585">
        <w:t xml:space="preserve"> </w:t>
      </w:r>
      <w:r w:rsidR="00D72585" w:rsidRPr="00D72585">
        <w:rPr>
          <w:noProof/>
        </w:rPr>
        <w:drawing>
          <wp:inline distT="0" distB="0" distL="0" distR="0" wp14:anchorId="291FBD1C" wp14:editId="3704D3CA">
            <wp:extent cx="3159456" cy="2467793"/>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3213307" cy="2509855"/>
                    </a:xfrm>
                    <a:prstGeom prst="rect">
                      <a:avLst/>
                    </a:prstGeom>
                    <a:noFill/>
                    <a:ln>
                      <a:noFill/>
                    </a:ln>
                  </pic:spPr>
                </pic:pic>
              </a:graphicData>
            </a:graphic>
          </wp:inline>
        </w:drawing>
      </w:r>
    </w:p>
    <w:p w14:paraId="2BB794B8" w14:textId="29E3A06D" w:rsidR="00E138E9" w:rsidRDefault="00F050D9" w:rsidP="00F050D9">
      <w:pPr>
        <w:pStyle w:val="Caption"/>
        <w:jc w:val="center"/>
      </w:pPr>
      <w:r>
        <w:t xml:space="preserve">Figure </w:t>
      </w:r>
      <w:r>
        <w:fldChar w:fldCharType="begin"/>
      </w:r>
      <w:r>
        <w:instrText xml:space="preserve"> SEQ Figure \* ARABIC </w:instrText>
      </w:r>
      <w:r>
        <w:fldChar w:fldCharType="separate"/>
      </w:r>
      <w:r w:rsidR="00D71083">
        <w:rPr>
          <w:noProof/>
        </w:rPr>
        <w:t>5</w:t>
      </w:r>
      <w:r>
        <w:fldChar w:fldCharType="end"/>
      </w:r>
      <w:r>
        <w:t xml:space="preserve">: </w:t>
      </w:r>
      <w:r w:rsidRPr="00C13FEE">
        <w:t xml:space="preserve">MPE Mitigation under random </w:t>
      </w:r>
      <w:r w:rsidR="00B53EC2">
        <w:t xml:space="preserve">panel </w:t>
      </w:r>
      <w:r w:rsidRPr="00C13FEE">
        <w:t>blocking models</w:t>
      </w:r>
      <w:r>
        <w:t xml:space="preserve"> for </w:t>
      </w:r>
      <w:r w:rsidR="00B53EC2">
        <w:t xml:space="preserve">Dense Urban Macro and </w:t>
      </w:r>
      <w:r>
        <w:t>Indoor Hotspot</w:t>
      </w:r>
    </w:p>
    <w:p w14:paraId="490B5A4E" w14:textId="11FFE478" w:rsidR="009C7DDE" w:rsidRDefault="009C7DDE" w:rsidP="00F97B2F">
      <w:pPr>
        <w:rPr>
          <w:lang w:val="en-US"/>
        </w:rPr>
      </w:pPr>
      <w:r>
        <w:rPr>
          <w:lang w:val="en-US"/>
        </w:rPr>
        <w:t xml:space="preserve">To illustrate the gains and tradeoffs for MPE, we carefully choose a realistic baseline scheme for UL panel selection without MPE mitigation. In this baseline scheme, </w:t>
      </w:r>
      <w:r w:rsidR="005E7FB6">
        <w:rPr>
          <w:lang w:val="en-US"/>
        </w:rPr>
        <w:t xml:space="preserve">it is assumed that the panel which may suffer losses due to MPE mitigation is also subject to blockage in the DL. To this end, the baseline scheme assumes that </w:t>
      </w:r>
      <w:r w:rsidR="007779FC">
        <w:rPr>
          <w:lang w:val="en-US"/>
        </w:rPr>
        <w:t>when a downlink panel suffers a blockage loss of 3dB, the UE selects an alternate panel and this panel is also used for UL</w:t>
      </w:r>
      <w:r w:rsidR="00334815">
        <w:rPr>
          <w:lang w:val="en-US"/>
        </w:rPr>
        <w:t xml:space="preserve">. If the alternately selected panel after downlink loss is identical to UL serving panel or the randomly blocked UL panel (in each blockage model respectively), the </w:t>
      </w:r>
      <w:r w:rsidR="00C04CAF">
        <w:rPr>
          <w:lang w:val="en-US"/>
        </w:rPr>
        <w:t xml:space="preserve">corresponding UL panel is assumed to suffer an additional 10dB power back-off i.e., a total of 13dB loss. </w:t>
      </w:r>
      <w:r w:rsidR="007914CB">
        <w:rPr>
          <w:lang w:val="en-US"/>
        </w:rPr>
        <w:t xml:space="preserve">The resulting RSRP CDF is shown by the red curve in all figures. </w:t>
      </w:r>
    </w:p>
    <w:p w14:paraId="3408C831" w14:textId="77777777" w:rsidR="00DA3B0C" w:rsidRDefault="007914CB" w:rsidP="00F97B2F">
      <w:pPr>
        <w:rPr>
          <w:lang w:val="en-US"/>
        </w:rPr>
      </w:pPr>
      <w:r>
        <w:rPr>
          <w:lang w:val="en-US"/>
        </w:rPr>
        <w:t>Additionally</w:t>
      </w:r>
      <w:r w:rsidR="00FF3F68">
        <w:rPr>
          <w:lang w:val="en-US"/>
        </w:rPr>
        <w:t>,</w:t>
      </w:r>
      <w:r w:rsidR="00F97B2F">
        <w:rPr>
          <w:lang w:val="en-US"/>
        </w:rPr>
        <w:t xml:space="preserve"> the </w:t>
      </w:r>
      <w:r>
        <w:rPr>
          <w:lang w:val="en-US"/>
        </w:rPr>
        <w:t>last</w:t>
      </w:r>
      <w:r w:rsidR="00F97B2F">
        <w:rPr>
          <w:lang w:val="en-US"/>
        </w:rPr>
        <w:t xml:space="preserve"> CDF</w:t>
      </w:r>
      <w:r w:rsidR="00FF3F68">
        <w:rPr>
          <w:lang w:val="en-US"/>
        </w:rPr>
        <w:t xml:space="preserve"> (green)</w:t>
      </w:r>
      <w:r w:rsidR="00F97B2F">
        <w:rPr>
          <w:lang w:val="en-US"/>
        </w:rPr>
        <w:t xml:space="preserve"> corresponds to the case when the serving</w:t>
      </w:r>
      <w:r w:rsidR="00FF3F68">
        <w:rPr>
          <w:lang w:val="en-US"/>
        </w:rPr>
        <w:t>/randomly blocked</w:t>
      </w:r>
      <w:r w:rsidR="00F97B2F">
        <w:rPr>
          <w:lang w:val="en-US"/>
        </w:rPr>
        <w:t xml:space="preserve"> panel </w:t>
      </w:r>
      <w:r w:rsidR="00A56F44">
        <w:rPr>
          <w:lang w:val="en-US"/>
        </w:rPr>
        <w:t>suffers a 1</w:t>
      </w:r>
      <w:r>
        <w:rPr>
          <w:lang w:val="en-US"/>
        </w:rPr>
        <w:t>3</w:t>
      </w:r>
      <w:r w:rsidR="00A56F44">
        <w:rPr>
          <w:lang w:val="en-US"/>
        </w:rPr>
        <w:t>dB</w:t>
      </w:r>
      <w:r w:rsidR="00D47CD0">
        <w:rPr>
          <w:lang w:val="en-US"/>
        </w:rPr>
        <w:t xml:space="preserve"> loss</w:t>
      </w:r>
      <w:r w:rsidR="00300203">
        <w:rPr>
          <w:lang w:val="en-US"/>
        </w:rPr>
        <w:t xml:space="preserve"> and </w:t>
      </w:r>
      <w:r>
        <w:rPr>
          <w:lang w:val="en-US"/>
        </w:rPr>
        <w:t xml:space="preserve">there is no MPE mitigation resulting </w:t>
      </w:r>
      <w:r w:rsidR="00300203">
        <w:rPr>
          <w:lang w:val="en-US"/>
        </w:rPr>
        <w:t>i</w:t>
      </w:r>
      <w:r>
        <w:rPr>
          <w:lang w:val="en-US"/>
        </w:rPr>
        <w:t>n</w:t>
      </w:r>
      <w:r w:rsidR="00300203">
        <w:rPr>
          <w:lang w:val="en-US"/>
        </w:rPr>
        <w:t xml:space="preserve"> </w:t>
      </w:r>
      <w:r>
        <w:rPr>
          <w:lang w:val="en-US"/>
        </w:rPr>
        <w:t>a</w:t>
      </w:r>
      <w:r w:rsidR="00300203">
        <w:rPr>
          <w:lang w:val="en-US"/>
        </w:rPr>
        <w:t xml:space="preserve"> </w:t>
      </w:r>
      <w:r w:rsidR="00D47CD0">
        <w:rPr>
          <w:lang w:val="en-US"/>
        </w:rPr>
        <w:t>worst case RSRP</w:t>
      </w:r>
      <w:r w:rsidR="00300203">
        <w:rPr>
          <w:lang w:val="en-US"/>
        </w:rPr>
        <w:t>. Conversely</w:t>
      </w:r>
      <w:r>
        <w:rPr>
          <w:lang w:val="en-US"/>
        </w:rPr>
        <w:t>,</w:t>
      </w:r>
      <w:r w:rsidR="00300203">
        <w:rPr>
          <w:lang w:val="en-US"/>
        </w:rPr>
        <w:t xml:space="preserve"> the </w:t>
      </w:r>
      <w:r>
        <w:rPr>
          <w:lang w:val="en-US"/>
        </w:rPr>
        <w:t>first</w:t>
      </w:r>
      <w:r w:rsidR="00300203">
        <w:rPr>
          <w:lang w:val="en-US"/>
        </w:rPr>
        <w:t xml:space="preserve"> curve</w:t>
      </w:r>
      <w:r>
        <w:rPr>
          <w:lang w:val="en-US"/>
        </w:rPr>
        <w:t xml:space="preserve"> (dashed black)</w:t>
      </w:r>
      <w:r w:rsidR="00300203">
        <w:rPr>
          <w:lang w:val="en-US"/>
        </w:rPr>
        <w:t xml:space="preserve"> is the RSRP from the best UE panel </w:t>
      </w:r>
      <w:r w:rsidR="00090AAF">
        <w:rPr>
          <w:lang w:val="en-US"/>
        </w:rPr>
        <w:t xml:space="preserve">under the assumption that no MPE blockage occurs. The first set of results models the case when the best UE panel suffers blockage. It is seen that when MPE mitigation is allowed i.e., the UE can choose a potentially different panel, the RSRP performance </w:t>
      </w:r>
      <w:r w:rsidR="00D07F97">
        <w:rPr>
          <w:lang w:val="en-US"/>
        </w:rPr>
        <w:t xml:space="preserve">shows significant improvement for Dense Urban and Indoor Hotspot. However, interestingly, when the UE is allowed to operate in a multi-TRP mode i.e., it can not only select the best alternate panel after MPE blockage event but </w:t>
      </w:r>
      <w:r w:rsidR="00D07F97">
        <w:rPr>
          <w:lang w:val="en-US"/>
        </w:rPr>
        <w:lastRenderedPageBreak/>
        <w:t xml:space="preserve">can also select an alternate TRP, there is </w:t>
      </w:r>
      <w:r w:rsidR="00E0714A">
        <w:rPr>
          <w:lang w:val="en-US"/>
        </w:rPr>
        <w:t xml:space="preserve">a major improvement in RSRP CDF especially for cell-edge UEs. Considering the fact that cell-edge UEs are the ones which tend to transmit with high PSD and are the most susceptible to suffer losses due to MPE, </w:t>
      </w:r>
      <w:r w:rsidR="00C470E9">
        <w:rPr>
          <w:lang w:val="en-US"/>
        </w:rPr>
        <w:t xml:space="preserve">such gain is quite significant. </w:t>
      </w:r>
    </w:p>
    <w:p w14:paraId="00FBC674" w14:textId="0F85C57F" w:rsidR="00F97B2F" w:rsidRDefault="00F6426F" w:rsidP="00F97B2F">
      <w:pPr>
        <w:rPr>
          <w:lang w:val="en-US"/>
        </w:rPr>
      </w:pPr>
      <w:r>
        <w:rPr>
          <w:lang w:val="en-US"/>
        </w:rPr>
        <w:t>For t</w:t>
      </w:r>
      <w:r w:rsidR="00C470E9">
        <w:rPr>
          <w:lang w:val="en-US"/>
        </w:rPr>
        <w:t xml:space="preserve">he </w:t>
      </w:r>
      <w:r>
        <w:rPr>
          <w:lang w:val="en-US"/>
        </w:rPr>
        <w:t xml:space="preserve">case of the </w:t>
      </w:r>
      <w:r w:rsidR="00C470E9">
        <w:rPr>
          <w:lang w:val="en-US"/>
        </w:rPr>
        <w:t xml:space="preserve">random blockage model from </w:t>
      </w:r>
      <w:r w:rsidR="00C470E9">
        <w:rPr>
          <w:lang w:val="en-US"/>
        </w:rPr>
        <w:fldChar w:fldCharType="begin"/>
      </w:r>
      <w:r w:rsidR="00C470E9">
        <w:rPr>
          <w:lang w:val="en-US"/>
        </w:rPr>
        <w:instrText xml:space="preserve"> REF _Ref54369575 \r \h </w:instrText>
      </w:r>
      <w:r w:rsidR="00C470E9">
        <w:rPr>
          <w:lang w:val="en-US"/>
        </w:rPr>
      </w:r>
      <w:r w:rsidR="00C470E9">
        <w:rPr>
          <w:lang w:val="en-US"/>
        </w:rPr>
        <w:fldChar w:fldCharType="separate"/>
      </w:r>
      <w:r w:rsidR="00C470E9">
        <w:rPr>
          <w:lang w:val="en-US"/>
        </w:rPr>
        <w:t>[2]</w:t>
      </w:r>
      <w:r w:rsidR="00C470E9">
        <w:rPr>
          <w:lang w:val="en-US"/>
        </w:rPr>
        <w:fldChar w:fldCharType="end"/>
      </w:r>
      <w:r w:rsidR="00C470E9">
        <w:rPr>
          <w:lang w:val="en-US"/>
        </w:rPr>
        <w:t xml:space="preserve"> where a random panel is blocked and not necessarily the serving panel</w:t>
      </w:r>
      <w:r>
        <w:rPr>
          <w:lang w:val="en-US"/>
        </w:rPr>
        <w:t xml:space="preserve">, results show that when DL suffers a loss in the panel which is subject to MPE regulation </w:t>
      </w:r>
      <w:r w:rsidR="00A0567F">
        <w:rPr>
          <w:lang w:val="en-US"/>
        </w:rPr>
        <w:t xml:space="preserve">in the UL, the UE often selects an alternate panel and when this same panel is used in the UL most of the MPE related losses can be recovered. However, even in this case, when additional </w:t>
      </w:r>
      <w:r w:rsidR="003F5667">
        <w:rPr>
          <w:lang w:val="en-US"/>
        </w:rPr>
        <w:t xml:space="preserve">MPE mitigation is allowed, gains can be achieved for </w:t>
      </w:r>
      <w:r w:rsidR="00CD6731">
        <w:rPr>
          <w:lang w:val="en-US"/>
        </w:rPr>
        <w:t>cell-edge UEs</w:t>
      </w:r>
      <w:r w:rsidR="00CD4F29">
        <w:rPr>
          <w:lang w:val="en-US"/>
        </w:rPr>
        <w:t>.</w:t>
      </w:r>
      <w:r w:rsidR="00C470E9">
        <w:rPr>
          <w:lang w:val="en-US"/>
        </w:rPr>
        <w:t xml:space="preserve"> </w:t>
      </w:r>
      <w:r w:rsidR="00CD4F29">
        <w:rPr>
          <w:lang w:val="en-US"/>
        </w:rPr>
        <w:t>Allowing m</w:t>
      </w:r>
      <w:r w:rsidR="00C470E9">
        <w:rPr>
          <w:lang w:val="en-US"/>
        </w:rPr>
        <w:t xml:space="preserve">ulti-TRP </w:t>
      </w:r>
      <w:r w:rsidR="00CD4F29">
        <w:rPr>
          <w:lang w:val="en-US"/>
        </w:rPr>
        <w:t xml:space="preserve">based panel selection </w:t>
      </w:r>
      <w:r w:rsidR="00C470E9">
        <w:rPr>
          <w:lang w:val="en-US"/>
        </w:rPr>
        <w:t xml:space="preserve">leads to significant improvement </w:t>
      </w:r>
      <w:r w:rsidR="00C55941">
        <w:rPr>
          <w:lang w:val="en-US"/>
        </w:rPr>
        <w:t xml:space="preserve">in </w:t>
      </w:r>
      <w:r w:rsidR="007C646B">
        <w:rPr>
          <w:lang w:val="en-US"/>
        </w:rPr>
        <w:t xml:space="preserve">cell-edge </w:t>
      </w:r>
      <w:r w:rsidR="00C55941">
        <w:rPr>
          <w:lang w:val="en-US"/>
        </w:rPr>
        <w:t xml:space="preserve">performance. </w:t>
      </w:r>
    </w:p>
    <w:p w14:paraId="0A0E667D" w14:textId="7D1AD956" w:rsidR="001C2706" w:rsidRPr="00205EAF" w:rsidRDefault="00C55941" w:rsidP="00205EAF">
      <w:pPr>
        <w:spacing w:after="0"/>
        <w:rPr>
          <w:b/>
          <w:bCs/>
          <w:i/>
          <w:iCs/>
          <w:lang w:val="en-US"/>
        </w:rPr>
      </w:pPr>
      <w:r w:rsidRPr="00205EAF">
        <w:rPr>
          <w:b/>
          <w:bCs/>
          <w:i/>
          <w:iCs/>
          <w:lang w:val="en-US"/>
        </w:rPr>
        <w:t>Observation</w:t>
      </w:r>
      <w:r w:rsidR="00C8714D">
        <w:rPr>
          <w:b/>
          <w:bCs/>
          <w:i/>
          <w:iCs/>
          <w:lang w:val="en-US"/>
        </w:rPr>
        <w:t xml:space="preserve"> </w:t>
      </w:r>
      <w:r w:rsidR="00A50A9E">
        <w:rPr>
          <w:b/>
          <w:bCs/>
          <w:i/>
          <w:iCs/>
          <w:lang w:val="en-US"/>
        </w:rPr>
        <w:t>1</w:t>
      </w:r>
      <w:r w:rsidRPr="00205EAF">
        <w:rPr>
          <w:b/>
          <w:bCs/>
          <w:i/>
          <w:iCs/>
          <w:lang w:val="en-US"/>
        </w:rPr>
        <w:t>:</w:t>
      </w:r>
      <w:r w:rsidR="00044C0A" w:rsidRPr="00205EAF">
        <w:rPr>
          <w:b/>
          <w:bCs/>
          <w:i/>
          <w:iCs/>
          <w:lang w:val="en-US"/>
        </w:rPr>
        <w:t xml:space="preserve"> </w:t>
      </w:r>
      <w:r w:rsidR="001C2706" w:rsidRPr="00205EAF">
        <w:rPr>
          <w:b/>
          <w:bCs/>
          <w:i/>
          <w:iCs/>
          <w:lang w:val="en-US"/>
        </w:rPr>
        <w:t>The following observations are made from the SLS results</w:t>
      </w:r>
      <w:r w:rsidR="00D71392">
        <w:rPr>
          <w:b/>
          <w:bCs/>
          <w:i/>
          <w:iCs/>
          <w:lang w:val="en-US"/>
        </w:rPr>
        <w:t xml:space="preserve"> for MPE</w:t>
      </w:r>
      <w:r w:rsidR="001C2706" w:rsidRPr="00205EAF">
        <w:rPr>
          <w:b/>
          <w:bCs/>
          <w:i/>
          <w:iCs/>
          <w:lang w:val="en-US"/>
        </w:rPr>
        <w:t>:</w:t>
      </w:r>
    </w:p>
    <w:p w14:paraId="60595732" w14:textId="77777777" w:rsidR="001C2706" w:rsidRPr="00205EAF" w:rsidRDefault="002276C8" w:rsidP="00AC33C9">
      <w:pPr>
        <w:pStyle w:val="ListParagraph"/>
        <w:numPr>
          <w:ilvl w:val="0"/>
          <w:numId w:val="17"/>
        </w:numPr>
        <w:rPr>
          <w:b/>
          <w:bCs/>
        </w:rPr>
      </w:pPr>
      <w:r w:rsidRPr="00205EAF">
        <w:rPr>
          <w:b/>
          <w:bCs/>
        </w:rPr>
        <w:t xml:space="preserve">Gains due to MPE mitigation techniques </w:t>
      </w:r>
      <w:r w:rsidR="006B1D7C" w:rsidRPr="00205EAF">
        <w:rPr>
          <w:b/>
          <w:bCs/>
        </w:rPr>
        <w:t>can be achieved</w:t>
      </w:r>
      <w:r w:rsidRPr="00205EAF">
        <w:rPr>
          <w:b/>
          <w:bCs/>
        </w:rPr>
        <w:t xml:space="preserve"> especially for cell-edge users and when mutli-TRP operation is enabled for multi-panel UEs</w:t>
      </w:r>
      <w:r w:rsidR="00AD1BF3" w:rsidRPr="00205EAF">
        <w:rPr>
          <w:b/>
          <w:bCs/>
        </w:rPr>
        <w:t xml:space="preserve"> which suffer panel blockage due to MPE</w:t>
      </w:r>
      <w:r w:rsidRPr="00205EAF">
        <w:rPr>
          <w:b/>
          <w:bCs/>
        </w:rPr>
        <w:t>.</w:t>
      </w:r>
      <w:r w:rsidR="00AD1BF3" w:rsidRPr="00205EAF">
        <w:rPr>
          <w:b/>
          <w:bCs/>
        </w:rPr>
        <w:t xml:space="preserve"> </w:t>
      </w:r>
    </w:p>
    <w:p w14:paraId="7F67AAEA" w14:textId="1A00D474" w:rsidR="001C2706" w:rsidRPr="00205EAF" w:rsidRDefault="006B1D7C" w:rsidP="00AC33C9">
      <w:pPr>
        <w:pStyle w:val="ListParagraph"/>
        <w:numPr>
          <w:ilvl w:val="0"/>
          <w:numId w:val="17"/>
        </w:numPr>
        <w:rPr>
          <w:b/>
          <w:bCs/>
        </w:rPr>
      </w:pPr>
      <w:r w:rsidRPr="00205EAF">
        <w:rPr>
          <w:b/>
          <w:bCs/>
        </w:rPr>
        <w:t>While some gains can be recovered assuming downlink-based UL panel selection, s</w:t>
      </w:r>
      <w:r w:rsidR="00AD1BF3" w:rsidRPr="00205EAF">
        <w:rPr>
          <w:b/>
          <w:bCs/>
        </w:rPr>
        <w:t>imulation results justify the specification of MPE mitigation techniques</w:t>
      </w:r>
      <w:r w:rsidR="00F471BC" w:rsidRPr="00205EAF">
        <w:rPr>
          <w:b/>
          <w:bCs/>
        </w:rPr>
        <w:t xml:space="preserve"> for Rel-17 NR.</w:t>
      </w:r>
      <w:r w:rsidR="002276C8" w:rsidRPr="00205EAF">
        <w:rPr>
          <w:b/>
          <w:bCs/>
        </w:rPr>
        <w:t xml:space="preserve"> </w:t>
      </w:r>
    </w:p>
    <w:p w14:paraId="2CE32C0D" w14:textId="2C468B7A" w:rsidR="001C2706" w:rsidRDefault="001C2706" w:rsidP="00AC33C9">
      <w:pPr>
        <w:pStyle w:val="ListParagraph"/>
        <w:numPr>
          <w:ilvl w:val="0"/>
          <w:numId w:val="17"/>
        </w:numPr>
        <w:rPr>
          <w:b/>
          <w:bCs/>
        </w:rPr>
      </w:pPr>
      <w:r w:rsidRPr="00205EAF">
        <w:rPr>
          <w:b/>
          <w:bCs/>
        </w:rPr>
        <w:t>Given the nature of gains</w:t>
      </w:r>
      <w:r w:rsidR="008551F7" w:rsidRPr="00205EAF">
        <w:rPr>
          <w:b/>
          <w:bCs/>
        </w:rPr>
        <w:t xml:space="preserve"> which are relatively small</w:t>
      </w:r>
      <w:r w:rsidRPr="00205EAF">
        <w:rPr>
          <w:b/>
          <w:bCs/>
        </w:rPr>
        <w:t>,</w:t>
      </w:r>
      <w:r w:rsidR="008551F7" w:rsidRPr="00205EAF">
        <w:rPr>
          <w:b/>
          <w:bCs/>
        </w:rPr>
        <w:t xml:space="preserve"> specification impact should be </w:t>
      </w:r>
      <w:r w:rsidR="004566D8" w:rsidRPr="00205EAF">
        <w:rPr>
          <w:b/>
          <w:bCs/>
        </w:rPr>
        <w:t>minimized,</w:t>
      </w:r>
      <w:r w:rsidR="008551F7" w:rsidRPr="00205EAF">
        <w:rPr>
          <w:b/>
          <w:bCs/>
        </w:rPr>
        <w:t xml:space="preserve"> and simpler solutions adopted to support UE assisted recovery for MPE</w:t>
      </w:r>
    </w:p>
    <w:p w14:paraId="29617EFE" w14:textId="32A3CEF8" w:rsidR="006637AA" w:rsidRDefault="006637AA" w:rsidP="006637AA">
      <w:pPr>
        <w:rPr>
          <w:b/>
          <w:bCs/>
        </w:rPr>
      </w:pPr>
    </w:p>
    <w:p w14:paraId="1C8C2B99" w14:textId="3A0B495B" w:rsidR="003714B4" w:rsidRPr="009B7958" w:rsidRDefault="003714B4" w:rsidP="003714B4">
      <w:pPr>
        <w:pStyle w:val="Heading2"/>
        <w:rPr>
          <w:lang w:val="en-US"/>
        </w:rPr>
      </w:pPr>
      <w:r w:rsidRPr="009B7958">
        <w:rPr>
          <w:sz w:val="28"/>
          <w:szCs w:val="18"/>
          <w:lang w:val="en-US"/>
        </w:rPr>
        <w:t xml:space="preserve">MPE </w:t>
      </w:r>
      <w:r w:rsidR="004A7AAA">
        <w:rPr>
          <w:sz w:val="28"/>
          <w:szCs w:val="18"/>
          <w:lang w:val="en-US"/>
        </w:rPr>
        <w:t xml:space="preserve">Mitigation </w:t>
      </w:r>
      <w:r w:rsidRPr="009B7958">
        <w:rPr>
          <w:sz w:val="28"/>
          <w:szCs w:val="18"/>
          <w:lang w:val="en-US"/>
        </w:rPr>
        <w:t>Related Enhancements</w:t>
      </w:r>
    </w:p>
    <w:p w14:paraId="48714A53" w14:textId="77777777" w:rsidR="003714B4" w:rsidRDefault="003714B4" w:rsidP="003714B4">
      <w:pPr>
        <w:spacing w:after="120"/>
        <w:jc w:val="both"/>
        <w:rPr>
          <w:sz w:val="22"/>
          <w:szCs w:val="22"/>
        </w:rPr>
      </w:pPr>
      <w:r w:rsidRPr="003558EA">
        <w:rPr>
          <w:sz w:val="22"/>
          <w:szCs w:val="22"/>
        </w:rPr>
        <w:t>In RAN4#92bis the following agreement was reached in RAN4 regarding possible solutions</w:t>
      </w:r>
      <w:r>
        <w:rPr>
          <w:sz w:val="22"/>
          <w:szCs w:val="22"/>
        </w:rPr>
        <w:t xml:space="preserve"> </w:t>
      </w:r>
      <w:r>
        <w:rPr>
          <w:sz w:val="22"/>
          <w:szCs w:val="22"/>
        </w:rPr>
        <w:fldChar w:fldCharType="begin"/>
      </w:r>
      <w:r>
        <w:rPr>
          <w:sz w:val="22"/>
          <w:szCs w:val="22"/>
        </w:rPr>
        <w:instrText xml:space="preserve"> REF _Ref47690750 \r \h </w:instrText>
      </w:r>
      <w:r>
        <w:rPr>
          <w:sz w:val="22"/>
          <w:szCs w:val="22"/>
        </w:rPr>
      </w:r>
      <w:r>
        <w:rPr>
          <w:sz w:val="22"/>
          <w:szCs w:val="22"/>
        </w:rPr>
        <w:fldChar w:fldCharType="separate"/>
      </w:r>
      <w:r>
        <w:rPr>
          <w:sz w:val="22"/>
          <w:szCs w:val="22"/>
        </w:rPr>
        <w:t>[7]</w:t>
      </w:r>
      <w:r>
        <w:rPr>
          <w:sz w:val="22"/>
          <w:szCs w:val="22"/>
        </w:rPr>
        <w:fldChar w:fldCharType="end"/>
      </w:r>
      <w:r>
        <w:rPr>
          <w:sz w:val="22"/>
          <w:szCs w:val="22"/>
        </w:rPr>
        <w:t>.</w:t>
      </w:r>
    </w:p>
    <w:tbl>
      <w:tblPr>
        <w:tblStyle w:val="TableGrid"/>
        <w:tblW w:w="0" w:type="auto"/>
        <w:tblLook w:val="04A0" w:firstRow="1" w:lastRow="0" w:firstColumn="1" w:lastColumn="0" w:noHBand="0" w:noVBand="1"/>
      </w:tblPr>
      <w:tblGrid>
        <w:gridCol w:w="10160"/>
      </w:tblGrid>
      <w:tr w:rsidR="003714B4" w14:paraId="327007DF" w14:textId="77777777" w:rsidTr="00477DE0">
        <w:tc>
          <w:tcPr>
            <w:tcW w:w="10160" w:type="dxa"/>
          </w:tcPr>
          <w:p w14:paraId="3D3D1F67" w14:textId="77777777" w:rsidR="003714B4" w:rsidRPr="00810A5A" w:rsidRDefault="003714B4" w:rsidP="00C80059">
            <w:pPr>
              <w:numPr>
                <w:ilvl w:val="0"/>
                <w:numId w:val="10"/>
              </w:numPr>
              <w:tabs>
                <w:tab w:val="clear" w:pos="360"/>
              </w:tabs>
              <w:overflowPunct/>
              <w:autoSpaceDE/>
              <w:autoSpaceDN/>
              <w:adjustRightInd/>
              <w:spacing w:before="0" w:after="0"/>
              <w:textAlignment w:val="auto"/>
            </w:pPr>
            <w:r w:rsidRPr="00810A5A">
              <w:t>Rapid indication methods</w:t>
            </w:r>
          </w:p>
          <w:p w14:paraId="6CEA96AB" w14:textId="77777777" w:rsidR="003714B4" w:rsidRPr="00810A5A" w:rsidRDefault="003714B4" w:rsidP="00C80059">
            <w:pPr>
              <w:numPr>
                <w:ilvl w:val="1"/>
                <w:numId w:val="10"/>
              </w:numPr>
              <w:overflowPunct/>
              <w:autoSpaceDE/>
              <w:autoSpaceDN/>
              <w:adjustRightInd/>
              <w:spacing w:before="0" w:after="0"/>
              <w:textAlignment w:val="auto"/>
            </w:pPr>
            <w:r w:rsidRPr="00810A5A">
              <w:t>P-MPR</w:t>
            </w:r>
          </w:p>
          <w:p w14:paraId="7EA31FAB" w14:textId="77777777" w:rsidR="003714B4" w:rsidRPr="00810A5A" w:rsidRDefault="003714B4" w:rsidP="00C80059">
            <w:pPr>
              <w:numPr>
                <w:ilvl w:val="2"/>
                <w:numId w:val="10"/>
              </w:numPr>
              <w:overflowPunct/>
              <w:autoSpaceDE/>
              <w:autoSpaceDN/>
              <w:adjustRightInd/>
              <w:spacing w:before="0" w:after="0"/>
              <w:textAlignment w:val="auto"/>
            </w:pPr>
            <w:r w:rsidRPr="00810A5A">
              <w:t>Before P-MPR is taken</w:t>
            </w:r>
          </w:p>
          <w:p w14:paraId="5302E592" w14:textId="77777777" w:rsidR="003714B4" w:rsidRPr="00810A5A" w:rsidRDefault="003714B4" w:rsidP="00C80059">
            <w:pPr>
              <w:numPr>
                <w:ilvl w:val="2"/>
                <w:numId w:val="10"/>
              </w:numPr>
              <w:overflowPunct/>
              <w:autoSpaceDE/>
              <w:autoSpaceDN/>
              <w:adjustRightInd/>
              <w:spacing w:before="0" w:after="0"/>
              <w:textAlignment w:val="auto"/>
            </w:pPr>
            <w:r w:rsidRPr="00810A5A">
              <w:t>While P-MPR is applied</w:t>
            </w:r>
          </w:p>
          <w:p w14:paraId="312DF505" w14:textId="77777777" w:rsidR="003714B4" w:rsidRPr="00810A5A" w:rsidRDefault="003714B4" w:rsidP="00C80059">
            <w:pPr>
              <w:numPr>
                <w:ilvl w:val="2"/>
                <w:numId w:val="10"/>
              </w:numPr>
              <w:overflowPunct/>
              <w:autoSpaceDE/>
              <w:autoSpaceDN/>
              <w:adjustRightInd/>
              <w:spacing w:before="0" w:after="0"/>
              <w:textAlignment w:val="auto"/>
            </w:pPr>
            <w:r w:rsidRPr="00810A5A">
              <w:t>Can be one bit or include more information</w:t>
            </w:r>
          </w:p>
          <w:p w14:paraId="4B1D98A2" w14:textId="77777777" w:rsidR="003714B4" w:rsidRPr="00810A5A" w:rsidRDefault="003714B4" w:rsidP="00C80059">
            <w:pPr>
              <w:numPr>
                <w:ilvl w:val="1"/>
                <w:numId w:val="10"/>
              </w:numPr>
              <w:overflowPunct/>
              <w:autoSpaceDE/>
              <w:autoSpaceDN/>
              <w:adjustRightInd/>
              <w:spacing w:before="0" w:after="0"/>
              <w:textAlignment w:val="auto"/>
            </w:pPr>
            <w:r w:rsidRPr="00810A5A">
              <w:t>Alert/Emergency signal to indicated back off is about to happen</w:t>
            </w:r>
          </w:p>
          <w:p w14:paraId="49755432" w14:textId="77777777" w:rsidR="003714B4" w:rsidRPr="00810A5A" w:rsidRDefault="003714B4" w:rsidP="00C80059">
            <w:pPr>
              <w:numPr>
                <w:ilvl w:val="2"/>
                <w:numId w:val="10"/>
              </w:numPr>
              <w:overflowPunct/>
              <w:autoSpaceDE/>
              <w:autoSpaceDN/>
              <w:adjustRightInd/>
              <w:spacing w:before="0" w:after="0"/>
              <w:textAlignment w:val="auto"/>
            </w:pPr>
            <w:r w:rsidRPr="00810A5A">
              <w:t>Is this alert only or does it contain more information?</w:t>
            </w:r>
          </w:p>
          <w:p w14:paraId="352BD7BC" w14:textId="77777777" w:rsidR="003714B4" w:rsidRPr="00810A5A" w:rsidRDefault="003714B4" w:rsidP="00C80059">
            <w:pPr>
              <w:numPr>
                <w:ilvl w:val="0"/>
                <w:numId w:val="10"/>
              </w:numPr>
              <w:tabs>
                <w:tab w:val="clear" w:pos="360"/>
              </w:tabs>
              <w:overflowPunct/>
              <w:autoSpaceDE/>
              <w:autoSpaceDN/>
              <w:adjustRightInd/>
              <w:spacing w:before="0" w:after="0"/>
              <w:textAlignment w:val="auto"/>
            </w:pPr>
            <w:r w:rsidRPr="00810A5A">
              <w:t>Assistance information methods</w:t>
            </w:r>
          </w:p>
          <w:p w14:paraId="6E000B67" w14:textId="77777777" w:rsidR="003714B4" w:rsidRPr="00810A5A" w:rsidRDefault="003714B4" w:rsidP="00C80059">
            <w:pPr>
              <w:numPr>
                <w:ilvl w:val="1"/>
                <w:numId w:val="10"/>
              </w:numPr>
              <w:overflowPunct/>
              <w:autoSpaceDE/>
              <w:autoSpaceDN/>
              <w:adjustRightInd/>
              <w:spacing w:before="0" w:after="0"/>
              <w:textAlignment w:val="auto"/>
            </w:pPr>
            <w:r w:rsidRPr="00810A5A">
              <w:t>Energy headroom</w:t>
            </w:r>
          </w:p>
          <w:p w14:paraId="12C272E5" w14:textId="77777777" w:rsidR="003714B4" w:rsidRPr="00810A5A" w:rsidRDefault="003714B4" w:rsidP="00C80059">
            <w:pPr>
              <w:numPr>
                <w:ilvl w:val="2"/>
                <w:numId w:val="10"/>
              </w:numPr>
              <w:overflowPunct/>
              <w:autoSpaceDE/>
              <w:autoSpaceDN/>
              <w:adjustRightInd/>
              <w:spacing w:before="0" w:after="0"/>
              <w:textAlignment w:val="auto"/>
            </w:pPr>
            <w:r w:rsidRPr="00810A5A">
              <w:t>How much energy UE has for transmissions until specific time</w:t>
            </w:r>
          </w:p>
          <w:p w14:paraId="48BE7410" w14:textId="77777777" w:rsidR="003714B4" w:rsidRPr="00810A5A" w:rsidRDefault="003714B4" w:rsidP="00C80059">
            <w:pPr>
              <w:numPr>
                <w:ilvl w:val="1"/>
                <w:numId w:val="10"/>
              </w:numPr>
              <w:overflowPunct/>
              <w:autoSpaceDE/>
              <w:autoSpaceDN/>
              <w:adjustRightInd/>
              <w:spacing w:before="0" w:after="0"/>
              <w:textAlignment w:val="auto"/>
            </w:pPr>
            <w:r w:rsidRPr="00810A5A">
              <w:t>Power headroom</w:t>
            </w:r>
          </w:p>
          <w:p w14:paraId="4D775E7B" w14:textId="77777777" w:rsidR="003714B4" w:rsidRPr="00810A5A" w:rsidRDefault="003714B4" w:rsidP="00C80059">
            <w:pPr>
              <w:numPr>
                <w:ilvl w:val="2"/>
                <w:numId w:val="10"/>
              </w:numPr>
              <w:overflowPunct/>
              <w:autoSpaceDE/>
              <w:autoSpaceDN/>
              <w:adjustRightInd/>
              <w:spacing w:before="0" w:after="0"/>
              <w:textAlignment w:val="auto"/>
            </w:pPr>
            <w:r w:rsidRPr="00810A5A">
              <w:t>PHR reporting is in place already</w:t>
            </w:r>
          </w:p>
          <w:p w14:paraId="77707843" w14:textId="77777777" w:rsidR="003714B4" w:rsidRPr="00810A5A" w:rsidRDefault="003714B4" w:rsidP="00C80059">
            <w:pPr>
              <w:numPr>
                <w:ilvl w:val="1"/>
                <w:numId w:val="10"/>
              </w:numPr>
              <w:overflowPunct/>
              <w:autoSpaceDE/>
              <w:autoSpaceDN/>
              <w:adjustRightInd/>
              <w:spacing w:before="0" w:after="0"/>
              <w:textAlignment w:val="auto"/>
            </w:pPr>
            <w:r w:rsidRPr="00810A5A">
              <w:t>Exposure headroom</w:t>
            </w:r>
          </w:p>
          <w:p w14:paraId="30C28B8A" w14:textId="77777777" w:rsidR="003714B4" w:rsidRPr="00B77B98" w:rsidRDefault="003714B4" w:rsidP="00C80059">
            <w:pPr>
              <w:numPr>
                <w:ilvl w:val="1"/>
                <w:numId w:val="10"/>
              </w:numPr>
              <w:overflowPunct/>
              <w:autoSpaceDE/>
              <w:autoSpaceDN/>
              <w:adjustRightInd/>
              <w:spacing w:before="0" w:after="0"/>
              <w:textAlignment w:val="auto"/>
              <w:rPr>
                <w:sz w:val="22"/>
                <w:szCs w:val="22"/>
              </w:rPr>
            </w:pPr>
            <w:r w:rsidRPr="00810A5A">
              <w:t xml:space="preserve">Dynamic or Multiple </w:t>
            </w:r>
            <w:r w:rsidRPr="00810A5A">
              <w:rPr>
                <w:i/>
                <w:iCs/>
              </w:rPr>
              <w:t>maxUplinkdutycycle</w:t>
            </w:r>
          </w:p>
        </w:tc>
      </w:tr>
    </w:tbl>
    <w:p w14:paraId="0EEACE95" w14:textId="77777777" w:rsidR="003714B4" w:rsidRDefault="003714B4" w:rsidP="003714B4">
      <w:pPr>
        <w:spacing w:after="0"/>
        <w:jc w:val="both"/>
      </w:pPr>
    </w:p>
    <w:p w14:paraId="42A333F8" w14:textId="45CB1624" w:rsidR="008B2151" w:rsidRDefault="00A02E00" w:rsidP="00455E02">
      <w:pPr>
        <w:spacing w:after="0"/>
        <w:jc w:val="both"/>
        <w:rPr>
          <w:rFonts w:eastAsia="Times New Roman"/>
        </w:rPr>
      </w:pPr>
      <w:r>
        <w:t>Additionally,</w:t>
      </w:r>
      <w:r w:rsidR="002213AF">
        <w:t xml:space="preserve"> in RAN</w:t>
      </w:r>
      <w:r w:rsidR="00B35212">
        <w:t xml:space="preserve">4#96e, </w:t>
      </w:r>
      <w:r>
        <w:t>for Rel-16, RAN4 agreed to introduce P-MPR reporting via MAC CE</w:t>
      </w:r>
      <w:r w:rsidR="00AE2E18">
        <w:t xml:space="preserve"> </w:t>
      </w:r>
      <w:r w:rsidR="00AE2E18">
        <w:fldChar w:fldCharType="begin"/>
      </w:r>
      <w:r w:rsidR="00AE2E18">
        <w:instrText xml:space="preserve"> REF _Ref54379344 \r \h </w:instrText>
      </w:r>
      <w:r w:rsidR="00AE2E18">
        <w:fldChar w:fldCharType="separate"/>
      </w:r>
      <w:r w:rsidR="00AE2E18">
        <w:t>[3]</w:t>
      </w:r>
      <w:r w:rsidR="00AE2E18">
        <w:fldChar w:fldCharType="end"/>
      </w:r>
      <w:r>
        <w:t xml:space="preserve">. </w:t>
      </w:r>
      <w:r>
        <w:rPr>
          <w:rFonts w:eastAsia="Times New Roman"/>
        </w:rPr>
        <w:t xml:space="preserve">P-MPR reporting will be introduced, most likely </w:t>
      </w:r>
      <w:r>
        <w:rPr>
          <w:rFonts w:eastAsia="Times New Roman"/>
          <w:i/>
          <w:iCs/>
        </w:rPr>
        <w:t>reusing</w:t>
      </w:r>
      <w:r>
        <w:rPr>
          <w:rFonts w:eastAsia="Times New Roman"/>
        </w:rPr>
        <w:t xml:space="preserve"> current PHR MAC CE </w:t>
      </w:r>
      <w:r w:rsidR="00455E02">
        <w:rPr>
          <w:rFonts w:eastAsia="Times New Roman"/>
        </w:rPr>
        <w:t xml:space="preserve">(an approved </w:t>
      </w:r>
      <w:r>
        <w:rPr>
          <w:rFonts w:eastAsia="Times New Roman"/>
        </w:rPr>
        <w:t xml:space="preserve">LS </w:t>
      </w:r>
      <w:r w:rsidR="00455E02">
        <w:rPr>
          <w:rFonts w:eastAsia="Times New Roman"/>
        </w:rPr>
        <w:t xml:space="preserve">was sent </w:t>
      </w:r>
      <w:r>
        <w:rPr>
          <w:rFonts w:eastAsia="Times New Roman"/>
        </w:rPr>
        <w:t>to RAN2</w:t>
      </w:r>
      <w:r w:rsidR="00AE2E18">
        <w:rPr>
          <w:rFonts w:eastAsia="Times New Roman"/>
        </w:rPr>
        <w:t xml:space="preserve"> </w:t>
      </w:r>
      <w:r w:rsidR="00AE2E18">
        <w:rPr>
          <w:rFonts w:eastAsia="Times New Roman"/>
        </w:rPr>
        <w:fldChar w:fldCharType="begin"/>
      </w:r>
      <w:r w:rsidR="00AE2E18">
        <w:rPr>
          <w:rFonts w:eastAsia="Times New Roman"/>
        </w:rPr>
        <w:instrText xml:space="preserve"> REF _Ref54379355 \r \h </w:instrText>
      </w:r>
      <w:r w:rsidR="00AE2E18">
        <w:rPr>
          <w:rFonts w:eastAsia="Times New Roman"/>
        </w:rPr>
      </w:r>
      <w:r w:rsidR="00AE2E18">
        <w:rPr>
          <w:rFonts w:eastAsia="Times New Roman"/>
        </w:rPr>
        <w:fldChar w:fldCharType="separate"/>
      </w:r>
      <w:r w:rsidR="00AE2E18">
        <w:rPr>
          <w:rFonts w:eastAsia="Times New Roman"/>
        </w:rPr>
        <w:t>[4]</w:t>
      </w:r>
      <w:r w:rsidR="00AE2E18">
        <w:rPr>
          <w:rFonts w:eastAsia="Times New Roman"/>
        </w:rPr>
        <w:fldChar w:fldCharType="end"/>
      </w:r>
      <w:r w:rsidR="00455E02">
        <w:rPr>
          <w:rFonts w:eastAsia="Times New Roman"/>
        </w:rPr>
        <w:t>)</w:t>
      </w:r>
      <w:r w:rsidR="0026772E">
        <w:rPr>
          <w:rFonts w:eastAsia="Times New Roman"/>
        </w:rPr>
        <w:t xml:space="preserve">: </w:t>
      </w:r>
    </w:p>
    <w:p w14:paraId="5C4CCFDF" w14:textId="04D0358E" w:rsidR="00A02E00" w:rsidRPr="0026772E" w:rsidRDefault="00A02E00" w:rsidP="006C3E79">
      <w:pPr>
        <w:pStyle w:val="ListParagraph"/>
        <w:numPr>
          <w:ilvl w:val="0"/>
          <w:numId w:val="14"/>
        </w:numPr>
      </w:pPr>
      <w:r w:rsidRPr="0026772E">
        <w:t>There will be 2-bits for P-MPR granularity, and value options are:</w:t>
      </w:r>
    </w:p>
    <w:p w14:paraId="09CF8D6F" w14:textId="77777777" w:rsidR="00A02E00" w:rsidRPr="0026772E" w:rsidRDefault="00A02E00" w:rsidP="006C3E79">
      <w:pPr>
        <w:pStyle w:val="ListParagraph"/>
        <w:numPr>
          <w:ilvl w:val="1"/>
          <w:numId w:val="12"/>
        </w:numPr>
      </w:pPr>
      <w:r w:rsidRPr="0026772E">
        <w:t>3 ≤ P-MPR &lt; 6</w:t>
      </w:r>
    </w:p>
    <w:p w14:paraId="7A71929E" w14:textId="77777777" w:rsidR="00A02E00" w:rsidRPr="0026772E" w:rsidRDefault="00A02E00" w:rsidP="006C3E79">
      <w:pPr>
        <w:pStyle w:val="ListParagraph"/>
        <w:numPr>
          <w:ilvl w:val="1"/>
          <w:numId w:val="12"/>
        </w:numPr>
      </w:pPr>
      <w:r w:rsidRPr="0026772E">
        <w:t>6 ≤ P-MPR &lt; 9</w:t>
      </w:r>
    </w:p>
    <w:p w14:paraId="7212B98C" w14:textId="77777777" w:rsidR="00A02E00" w:rsidRPr="0026772E" w:rsidRDefault="00A02E00" w:rsidP="006C3E79">
      <w:pPr>
        <w:pStyle w:val="ListParagraph"/>
        <w:numPr>
          <w:ilvl w:val="1"/>
          <w:numId w:val="12"/>
        </w:numPr>
      </w:pPr>
      <w:r w:rsidRPr="0026772E">
        <w:t>9 ≤ P-MPR &lt; 12</w:t>
      </w:r>
    </w:p>
    <w:p w14:paraId="53651D54" w14:textId="3C6D6D61" w:rsidR="00A02E00" w:rsidRPr="0026772E" w:rsidRDefault="00A02E00" w:rsidP="006C3E79">
      <w:pPr>
        <w:pStyle w:val="ListParagraph"/>
        <w:numPr>
          <w:ilvl w:val="1"/>
          <w:numId w:val="12"/>
        </w:numPr>
      </w:pPr>
      <w:r w:rsidRPr="0026772E">
        <w:t>P-MPR ≥  12</w:t>
      </w:r>
    </w:p>
    <w:p w14:paraId="7FF290A3" w14:textId="4B54D560" w:rsidR="00A02E00" w:rsidRPr="0026772E" w:rsidRDefault="00A02E00" w:rsidP="006C3E79">
      <w:pPr>
        <w:pStyle w:val="ListParagraph"/>
        <w:numPr>
          <w:ilvl w:val="0"/>
          <w:numId w:val="15"/>
        </w:numPr>
      </w:pPr>
      <w:r w:rsidRPr="0026772E">
        <w:t>There will be a prohibit timer, with the value options listed below (which are the same as the PHR prohibit timer)</w:t>
      </w:r>
      <w:r w:rsidR="0026772E" w:rsidRPr="0026772E">
        <w:t xml:space="preserve"> </w:t>
      </w:r>
      <w:r w:rsidRPr="0026772E">
        <w:t>{sf0, sf10, sf20, sf50, sf100, sf200, sf500, sf1000}</w:t>
      </w:r>
    </w:p>
    <w:p w14:paraId="4B6377BA" w14:textId="77777777" w:rsidR="00810A5A" w:rsidRDefault="00A02E00" w:rsidP="006C3E79">
      <w:pPr>
        <w:pStyle w:val="ListParagraph"/>
        <w:numPr>
          <w:ilvl w:val="0"/>
          <w:numId w:val="15"/>
        </w:numPr>
      </w:pPr>
      <w:r w:rsidRPr="0026772E">
        <w:t>P-MPR reporting is an optional UE capability, applicable to all FR2 power classes</w:t>
      </w:r>
    </w:p>
    <w:p w14:paraId="447ABFFE" w14:textId="4835B6E9" w:rsidR="00A02E00" w:rsidRPr="00810A5A" w:rsidRDefault="00A02E00" w:rsidP="006C3E79">
      <w:pPr>
        <w:pStyle w:val="ListParagraph"/>
        <w:numPr>
          <w:ilvl w:val="0"/>
          <w:numId w:val="15"/>
        </w:numPr>
      </w:pPr>
      <w:r w:rsidRPr="00810A5A">
        <w:t>Triggering conditions</w:t>
      </w:r>
      <w:r w:rsidR="00810A5A" w:rsidRPr="00810A5A">
        <w:t xml:space="preserve">: </w:t>
      </w:r>
      <w:r w:rsidRPr="00810A5A">
        <w:t>A configurable absolute P-MPR threshold will trigger the report; the values:</w:t>
      </w:r>
    </w:p>
    <w:p w14:paraId="34244BEA" w14:textId="77777777" w:rsidR="00A02E00" w:rsidRPr="00810A5A" w:rsidRDefault="00A02E00" w:rsidP="006C3E79">
      <w:pPr>
        <w:pStyle w:val="ListParagraph"/>
        <w:numPr>
          <w:ilvl w:val="1"/>
          <w:numId w:val="13"/>
        </w:numPr>
      </w:pPr>
      <w:r w:rsidRPr="00810A5A">
        <w:t>Absolute P-MPR threshold à {3dB, 6dB, 9dB, 12dB}</w:t>
      </w:r>
    </w:p>
    <w:p w14:paraId="67608B15" w14:textId="77777777" w:rsidR="00A02E00" w:rsidRDefault="00A02E00" w:rsidP="003714B4">
      <w:pPr>
        <w:spacing w:after="0"/>
        <w:jc w:val="both"/>
      </w:pPr>
    </w:p>
    <w:p w14:paraId="63C24769" w14:textId="5F7D5D58" w:rsidR="003714B4" w:rsidRPr="00B77B98" w:rsidRDefault="003714B4" w:rsidP="000067E5">
      <w:pPr>
        <w:spacing w:after="0"/>
        <w:jc w:val="both"/>
      </w:pPr>
      <w:r w:rsidRPr="00B77B98">
        <w:t xml:space="preserve">Although the above approaches are capable to indicate the MPE problem existing in the UL transmission, </w:t>
      </w:r>
      <w:r w:rsidR="000067E5">
        <w:t>they</w:t>
      </w:r>
      <w:r w:rsidRPr="00B77B98">
        <w:t xml:space="preserve"> don’t support recovery procedures helping to avoid radio link failure and connection releases. It is, therefore, necessary to amend the above approaches with reporting of additional information related to recovery of the UL link.</w:t>
      </w:r>
      <w:r w:rsidR="000067E5">
        <w:t xml:space="preserve"> </w:t>
      </w:r>
      <w:r w:rsidRPr="00B77B98">
        <w:t>Rel-15 beam reporting framework for FR2 is MPE-unaware</w:t>
      </w:r>
      <w:r w:rsidR="000067E5">
        <w:t xml:space="preserve"> –</w:t>
      </w:r>
      <w:r w:rsidRPr="00B77B98">
        <w:t xml:space="preserve"> the</w:t>
      </w:r>
      <w:r w:rsidR="000067E5">
        <w:t xml:space="preserve"> </w:t>
      </w:r>
      <w:r w:rsidRPr="00B77B98">
        <w:t xml:space="preserve">optimal beam report doesn’t differentiate DL and UL transmission links and there is no mechanism </w:t>
      </w:r>
      <w:r w:rsidRPr="00B77B98">
        <w:lastRenderedPageBreak/>
        <w:t xml:space="preserve">(except explicit SRS transmission) to indicate UL beam, which doesn’t have significant Tx power constraint at the UE side due to the FR2 UE RF exposure compliance reasons. </w:t>
      </w:r>
    </w:p>
    <w:p w14:paraId="2F3A6867" w14:textId="77777777" w:rsidR="003714B4" w:rsidRDefault="003714B4" w:rsidP="003714B4">
      <w:pPr>
        <w:tabs>
          <w:tab w:val="num" w:pos="720"/>
          <w:tab w:val="num" w:pos="1440"/>
        </w:tabs>
        <w:spacing w:after="0"/>
        <w:jc w:val="both"/>
      </w:pPr>
    </w:p>
    <w:p w14:paraId="678462F3" w14:textId="22D8CED0" w:rsidR="00463E84" w:rsidRDefault="003714B4" w:rsidP="00463E84">
      <w:pPr>
        <w:tabs>
          <w:tab w:val="num" w:pos="720"/>
          <w:tab w:val="num" w:pos="1440"/>
        </w:tabs>
        <w:spacing w:after="0"/>
      </w:pPr>
      <w:r w:rsidRPr="00B77B98">
        <w:t>As</w:t>
      </w:r>
      <w:r w:rsidR="005458CC">
        <w:t xml:space="preserve"> a</w:t>
      </w:r>
      <w:r w:rsidRPr="00B77B98">
        <w:t xml:space="preserve"> result, even when MPE limited situation is reported from the UE to gNB using RAN4 solutions</w:t>
      </w:r>
      <w:r w:rsidR="00810A5A">
        <w:t xml:space="preserve"> </w:t>
      </w:r>
      <w:r w:rsidR="00810A5A">
        <w:fldChar w:fldCharType="begin"/>
      </w:r>
      <w:r w:rsidR="00810A5A">
        <w:instrText xml:space="preserve"> REF _Ref54379344 \r \h </w:instrText>
      </w:r>
      <w:r w:rsidR="00463E84">
        <w:instrText xml:space="preserve"> \* MERGEFORMAT </w:instrText>
      </w:r>
      <w:r w:rsidR="00810A5A">
        <w:fldChar w:fldCharType="separate"/>
      </w:r>
      <w:r w:rsidR="00810A5A">
        <w:t>[3]</w:t>
      </w:r>
      <w:r w:rsidR="00810A5A">
        <w:fldChar w:fldCharType="end"/>
      </w:r>
      <w:r w:rsidR="001A0A44">
        <w:fldChar w:fldCharType="begin"/>
      </w:r>
      <w:r w:rsidR="001A0A44">
        <w:instrText xml:space="preserve"> REF _Ref47690750 \r \h </w:instrText>
      </w:r>
      <w:r w:rsidR="00463E84">
        <w:instrText xml:space="preserve"> \* MERGEFORMAT </w:instrText>
      </w:r>
      <w:r w:rsidR="001A0A44">
        <w:fldChar w:fldCharType="separate"/>
      </w:r>
      <w:r w:rsidR="001A0A44">
        <w:t>[14]</w:t>
      </w:r>
      <w:r w:rsidR="001A0A44">
        <w:fldChar w:fldCharType="end"/>
      </w:r>
      <w:r w:rsidRPr="00B77B98">
        <w:t xml:space="preserve">, the gNB may not be able to improve UL transmission performance because </w:t>
      </w:r>
      <w:r w:rsidR="005458CC">
        <w:t>the</w:t>
      </w:r>
      <w:r w:rsidRPr="00B77B98">
        <w:t xml:space="preserve"> solutions do not contain the recovery information. RAN4 solution however can be improved if the recovery information is included in the </w:t>
      </w:r>
      <w:r w:rsidR="00810A5A">
        <w:t xml:space="preserve">MAC-CE </w:t>
      </w:r>
      <w:r w:rsidR="005458CC">
        <w:t xml:space="preserve">based P-MPR </w:t>
      </w:r>
      <w:r w:rsidRPr="00B77B98">
        <w:t xml:space="preserve">report facilitating selection of less MPE-limited (with small P-MPR) beams for UL transmission </w:t>
      </w:r>
      <w:r w:rsidR="005458CC" w:rsidRPr="00B77B98">
        <w:t xml:space="preserve">at gNB </w:t>
      </w:r>
      <w:r w:rsidRPr="00B77B98">
        <w:t>(see</w:t>
      </w:r>
      <w:r w:rsidR="005458CC">
        <w:t xml:space="preserve"> </w:t>
      </w:r>
      <w:r w:rsidR="005458CC">
        <w:fldChar w:fldCharType="begin"/>
      </w:r>
      <w:r w:rsidR="005458CC">
        <w:instrText xml:space="preserve"> REF _Ref61876868 \h </w:instrText>
      </w:r>
      <w:r w:rsidR="00463E84">
        <w:instrText xml:space="preserve"> \* MERGEFORMAT </w:instrText>
      </w:r>
      <w:r w:rsidR="005458CC">
        <w:fldChar w:fldCharType="separate"/>
      </w:r>
      <w:r w:rsidR="00463E84" w:rsidRPr="00B77B98">
        <w:t xml:space="preserve">Figure </w:t>
      </w:r>
      <w:r w:rsidR="00463E84">
        <w:rPr>
          <w:noProof/>
        </w:rPr>
        <w:t>6</w:t>
      </w:r>
      <w:r w:rsidR="005458CC">
        <w:fldChar w:fldCharType="end"/>
      </w:r>
      <w:r w:rsidRPr="00B77B98">
        <w:t>).</w:t>
      </w:r>
    </w:p>
    <w:p w14:paraId="7183B1E8" w14:textId="24EB0751" w:rsidR="003714B4" w:rsidRPr="00B77B98" w:rsidRDefault="003714B4" w:rsidP="006637AA">
      <w:pPr>
        <w:tabs>
          <w:tab w:val="num" w:pos="720"/>
          <w:tab w:val="num" w:pos="1440"/>
        </w:tabs>
        <w:spacing w:after="0"/>
        <w:jc w:val="center"/>
      </w:pPr>
      <w:r w:rsidRPr="00B77B98">
        <w:rPr>
          <w:noProof/>
        </w:rPr>
        <w:drawing>
          <wp:inline distT="0" distB="0" distL="0" distR="0" wp14:anchorId="6D02F4A0" wp14:editId="586074A4">
            <wp:extent cx="2836557" cy="2245057"/>
            <wp:effectExtent l="0" t="0" r="1905" b="0"/>
            <wp:docPr id="9"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pic:cNvPicPr>
                      <a:picLocks noChangeAspect="1"/>
                    </pic:cNvPicPr>
                  </pic:nvPicPr>
                  <pic:blipFill>
                    <a:blip r:embed="rId21"/>
                    <a:stretch>
                      <a:fillRect/>
                    </a:stretch>
                  </pic:blipFill>
                  <pic:spPr>
                    <a:xfrm>
                      <a:off x="0" y="0"/>
                      <a:ext cx="2866244" cy="2268553"/>
                    </a:xfrm>
                    <a:prstGeom prst="rect">
                      <a:avLst/>
                    </a:prstGeom>
                  </pic:spPr>
                </pic:pic>
              </a:graphicData>
            </a:graphic>
          </wp:inline>
        </w:drawing>
      </w:r>
    </w:p>
    <w:p w14:paraId="644D0498" w14:textId="3B8CF131" w:rsidR="003714B4" w:rsidRDefault="003714B4" w:rsidP="003714B4">
      <w:pPr>
        <w:pStyle w:val="Caption"/>
        <w:spacing w:before="0" w:after="0"/>
        <w:jc w:val="center"/>
      </w:pPr>
      <w:bookmarkStart w:id="4" w:name="_Ref61876868"/>
      <w:r w:rsidRPr="00B77B98">
        <w:t xml:space="preserve">Figure </w:t>
      </w:r>
      <w:r w:rsidRPr="00B77B98">
        <w:fldChar w:fldCharType="begin"/>
      </w:r>
      <w:r w:rsidRPr="00B77B98">
        <w:instrText xml:space="preserve"> SEQ Figure \* ARABIC </w:instrText>
      </w:r>
      <w:r w:rsidRPr="00B77B98">
        <w:fldChar w:fldCharType="separate"/>
      </w:r>
      <w:r w:rsidR="00D71083">
        <w:rPr>
          <w:noProof/>
        </w:rPr>
        <w:t>6</w:t>
      </w:r>
      <w:r w:rsidRPr="00B77B98">
        <w:fldChar w:fldCharType="end"/>
      </w:r>
      <w:bookmarkEnd w:id="4"/>
      <w:r w:rsidRPr="00B77B98">
        <w:t>: Illustration of the need of beam selection enhancement to avoid MPE issue</w:t>
      </w:r>
    </w:p>
    <w:p w14:paraId="79B62A09" w14:textId="77777777" w:rsidR="003714B4" w:rsidRPr="00B77B98" w:rsidRDefault="003714B4" w:rsidP="003714B4"/>
    <w:p w14:paraId="2209D569" w14:textId="120610D8" w:rsidR="003714B4" w:rsidRPr="00B77B98" w:rsidRDefault="003714B4" w:rsidP="003714B4">
      <w:pPr>
        <w:tabs>
          <w:tab w:val="num" w:pos="720"/>
          <w:tab w:val="num" w:pos="1440"/>
        </w:tabs>
        <w:spacing w:after="0"/>
        <w:jc w:val="both"/>
      </w:pPr>
      <w:r w:rsidRPr="00B77B98">
        <w:t xml:space="preserve">In particular if </w:t>
      </w:r>
      <w:r w:rsidR="009D5944">
        <w:t xml:space="preserve">large </w:t>
      </w:r>
      <w:r w:rsidRPr="00B77B98">
        <w:t xml:space="preserve">P-MPR, alert/emergency signal or duty cyclic constraint is transmitted by the UE for the active UL beam, UE may also report the alterative communication beam (e.g., with lower P-MPR or less duty cycle constraints) for UL transmission, similar to BFR recovery response specified in Rel-15/Rel-16 NR to cope with blockage issue. The framework of BFR can be largely reused to support UL beam recovery due to MPE. </w:t>
      </w:r>
      <w:r w:rsidR="00F471BC">
        <w:t xml:space="preserve">This method is also justified by the SLS evaluations in the previous section, where the choice of alternate panel/beam combination yields gains. </w:t>
      </w:r>
      <w:r w:rsidR="009D5944">
        <w:t xml:space="preserve">However, since the nature of </w:t>
      </w:r>
      <w:r w:rsidR="005E3CA2">
        <w:t xml:space="preserve">significant </w:t>
      </w:r>
      <w:r w:rsidR="009D5944">
        <w:t xml:space="preserve">gains are shown to be </w:t>
      </w:r>
      <w:r w:rsidR="005E3CA2">
        <w:t xml:space="preserve">limited to an extent to cell-edge users, </w:t>
      </w:r>
      <w:r w:rsidR="001D3E9B">
        <w:t xml:space="preserve">a more complex solution which includes additional reporting is not required. Addition of recovery information is enough to achieve the gains </w:t>
      </w:r>
      <w:r w:rsidR="001153A7">
        <w:t xml:space="preserve">related to MPE mitigation. </w:t>
      </w:r>
    </w:p>
    <w:p w14:paraId="6E4CEC31" w14:textId="0717B021" w:rsidR="003714B4" w:rsidRDefault="003714B4" w:rsidP="003714B4">
      <w:pPr>
        <w:tabs>
          <w:tab w:val="num" w:pos="720"/>
          <w:tab w:val="num" w:pos="1440"/>
        </w:tabs>
        <w:spacing w:after="0"/>
        <w:jc w:val="both"/>
        <w:rPr>
          <w:b/>
          <w:i/>
          <w:iCs/>
        </w:rPr>
      </w:pPr>
    </w:p>
    <w:p w14:paraId="7A791631" w14:textId="407AA866" w:rsidR="00BC2126" w:rsidRDefault="00C80059" w:rsidP="003714B4">
      <w:pPr>
        <w:tabs>
          <w:tab w:val="num" w:pos="720"/>
          <w:tab w:val="num" w:pos="1440"/>
        </w:tabs>
        <w:spacing w:after="0"/>
        <w:jc w:val="both"/>
        <w:rPr>
          <w:b/>
          <w:i/>
          <w:iCs/>
        </w:rPr>
      </w:pPr>
      <w:r>
        <w:rPr>
          <w:b/>
          <w:i/>
          <w:iCs/>
        </w:rPr>
        <w:t>Proposal</w:t>
      </w:r>
      <w:r w:rsidR="00AE268B">
        <w:rPr>
          <w:b/>
          <w:i/>
          <w:iCs/>
        </w:rPr>
        <w:t xml:space="preserve"> </w:t>
      </w:r>
      <w:r w:rsidR="005F7B32">
        <w:rPr>
          <w:b/>
          <w:i/>
          <w:iCs/>
        </w:rPr>
        <w:t>2</w:t>
      </w:r>
      <w:r w:rsidR="00A50A9E">
        <w:rPr>
          <w:b/>
          <w:i/>
          <w:iCs/>
        </w:rPr>
        <w:t>0</w:t>
      </w:r>
      <w:r>
        <w:rPr>
          <w:b/>
          <w:i/>
          <w:iCs/>
        </w:rPr>
        <w:t xml:space="preserve">: For MPE mitigation for Rel-17, </w:t>
      </w:r>
    </w:p>
    <w:p w14:paraId="4D9C574C" w14:textId="2B8428DB" w:rsidR="00BC2126" w:rsidRDefault="00C80059" w:rsidP="00AC33C9">
      <w:pPr>
        <w:pStyle w:val="ListParagraph"/>
        <w:numPr>
          <w:ilvl w:val="0"/>
          <w:numId w:val="18"/>
        </w:numPr>
        <w:tabs>
          <w:tab w:val="num" w:pos="720"/>
          <w:tab w:val="num" w:pos="1440"/>
        </w:tabs>
        <w:jc w:val="both"/>
        <w:rPr>
          <w:b/>
        </w:rPr>
      </w:pPr>
      <w:r w:rsidRPr="00BC2126">
        <w:rPr>
          <w:b/>
        </w:rPr>
        <w:t>RAN4 solution for MAC-CE based P-MPR reporting is</w:t>
      </w:r>
      <w:r w:rsidR="006D1BD6" w:rsidRPr="00BC2126">
        <w:rPr>
          <w:b/>
        </w:rPr>
        <w:t xml:space="preserve"> augmented with MPE recovery information indicating alterative UL beam with lower P-MPR or duty cycle constraints, where UE panel indication can be implicit</w:t>
      </w:r>
      <w:r w:rsidR="00BC2126" w:rsidRPr="00BC2126">
        <w:rPr>
          <w:b/>
        </w:rPr>
        <w:t xml:space="preserve">. </w:t>
      </w:r>
    </w:p>
    <w:p w14:paraId="082034E6" w14:textId="700A415E" w:rsidR="00BC2126" w:rsidRPr="00BC2126" w:rsidRDefault="00BC2126" w:rsidP="00AC33C9">
      <w:pPr>
        <w:pStyle w:val="ListParagraph"/>
        <w:numPr>
          <w:ilvl w:val="0"/>
          <w:numId w:val="18"/>
        </w:numPr>
        <w:tabs>
          <w:tab w:val="num" w:pos="720"/>
          <w:tab w:val="num" w:pos="1440"/>
        </w:tabs>
        <w:jc w:val="both"/>
        <w:rPr>
          <w:b/>
        </w:rPr>
      </w:pPr>
      <w:r>
        <w:rPr>
          <w:b/>
        </w:rPr>
        <w:t xml:space="preserve">No additional reporting is needed since the gains </w:t>
      </w:r>
      <w:r w:rsidR="0084100E">
        <w:rPr>
          <w:b/>
        </w:rPr>
        <w:t>compared to DL based UL panel selection are not very large.</w:t>
      </w:r>
    </w:p>
    <w:p w14:paraId="004508DD" w14:textId="7222C2B4" w:rsidR="00C80059" w:rsidRDefault="00C80059" w:rsidP="003714B4">
      <w:pPr>
        <w:tabs>
          <w:tab w:val="num" w:pos="720"/>
          <w:tab w:val="num" w:pos="1440"/>
        </w:tabs>
        <w:spacing w:after="0"/>
        <w:jc w:val="both"/>
        <w:rPr>
          <w:b/>
          <w:i/>
          <w:iCs/>
        </w:rPr>
      </w:pPr>
    </w:p>
    <w:bookmarkEnd w:id="1"/>
    <w:p w14:paraId="7C416EA7" w14:textId="04881F4A" w:rsidR="005E7DF4" w:rsidRDefault="005E7DF4" w:rsidP="005E7DF4">
      <w:pPr>
        <w:pStyle w:val="Heading1"/>
        <w:pBdr>
          <w:top w:val="single" w:sz="12" w:space="4" w:color="auto"/>
        </w:pBdr>
        <w:rPr>
          <w:rFonts w:cs="Arial"/>
          <w:sz w:val="32"/>
          <w:szCs w:val="18"/>
          <w:lang w:val="en-US"/>
        </w:rPr>
      </w:pPr>
      <w:r>
        <w:rPr>
          <w:rFonts w:cs="Arial"/>
          <w:sz w:val="32"/>
          <w:szCs w:val="18"/>
          <w:lang w:val="en-US"/>
        </w:rPr>
        <w:t>Issue 6: Latency Reduction for NR Beam Management Framework</w:t>
      </w:r>
    </w:p>
    <w:p w14:paraId="753F070F" w14:textId="77777777" w:rsidR="005E7DF4" w:rsidRDefault="005E7DF4" w:rsidP="005E7DF4">
      <w:pPr>
        <w:pStyle w:val="Heading2"/>
        <w:rPr>
          <w:sz w:val="28"/>
          <w:szCs w:val="18"/>
          <w:lang w:val="en-US"/>
        </w:rPr>
      </w:pPr>
      <w:r w:rsidRPr="00371796">
        <w:rPr>
          <w:sz w:val="28"/>
          <w:szCs w:val="18"/>
          <w:lang w:val="en-US"/>
        </w:rPr>
        <w:t>Identifying Performance Bottlenecks</w:t>
      </w:r>
      <w:r>
        <w:rPr>
          <w:sz w:val="28"/>
          <w:szCs w:val="18"/>
          <w:lang w:val="en-US"/>
        </w:rPr>
        <w:t xml:space="preserve"> from SLS Evaluations</w:t>
      </w:r>
    </w:p>
    <w:p w14:paraId="0DFEB72C" w14:textId="77777777" w:rsidR="005E7DF4" w:rsidRDefault="005E7DF4" w:rsidP="005E7DF4">
      <w:pPr>
        <w:rPr>
          <w:lang w:val="en-US"/>
        </w:rPr>
      </w:pPr>
      <w:r>
        <w:rPr>
          <w:lang w:val="en-US"/>
        </w:rPr>
        <w:t xml:space="preserve">In order to efficiently support low latency beam management with reduce overhear in Rel-17 NR, especially with a large number of configured TCI states, the first goal should be to identify the major performance bottlenecks in the current beam management framework. To this end, two major latency issues exist with current beam management framework namely </w:t>
      </w:r>
      <w:r w:rsidRPr="005C3015">
        <w:rPr>
          <w:i/>
          <w:iCs/>
          <w:lang w:val="en-US"/>
        </w:rPr>
        <w:t>(i)</w:t>
      </w:r>
      <w:r>
        <w:rPr>
          <w:lang w:val="en-US"/>
        </w:rPr>
        <w:t xml:space="preserve"> TCI state indication and application latency and beam acquisition, refinement and tracking latency. </w:t>
      </w:r>
    </w:p>
    <w:p w14:paraId="7FC5DC09" w14:textId="77777777" w:rsidR="005E7DF4" w:rsidRDefault="005E7DF4" w:rsidP="005E7DF4">
      <w:pPr>
        <w:rPr>
          <w:lang w:val="en-US"/>
        </w:rPr>
      </w:pPr>
      <w:r>
        <w:rPr>
          <w:lang w:val="en-US"/>
        </w:rPr>
        <w:t xml:space="preserve">The TCI state indication and application latency is limited by the current MAC-CE based TCI state indication framework. In RAN1, signaling latency due to MAC-CE is defined as 3ms. However, in RAN4, the defined delay for TCI state switching is more conservatively defined </w:t>
      </w:r>
      <w:r>
        <w:rPr>
          <w:lang w:val="en-US"/>
        </w:rPr>
        <w:fldChar w:fldCharType="begin"/>
      </w:r>
      <w:r>
        <w:rPr>
          <w:lang w:val="en-US"/>
        </w:rPr>
        <w:instrText xml:space="preserve"> REF _Ref47692869 \r \h </w:instrText>
      </w:r>
      <w:r>
        <w:rPr>
          <w:lang w:val="en-US"/>
        </w:rPr>
      </w:r>
      <w:r>
        <w:rPr>
          <w:lang w:val="en-US"/>
        </w:rPr>
        <w:fldChar w:fldCharType="separate"/>
      </w:r>
      <w:r>
        <w:rPr>
          <w:lang w:val="en-US"/>
        </w:rPr>
        <w:t>[1]</w:t>
      </w:r>
      <w:r>
        <w:rPr>
          <w:lang w:val="en-US"/>
        </w:rPr>
        <w:fldChar w:fldCharType="end"/>
      </w:r>
      <w:r>
        <w:rPr>
          <w:lang w:val="en-US"/>
        </w:rPr>
        <w:t xml:space="preserve"> based on a concept of known and unknown TCI states. If the target TCI state is known, the delay is defined as</w:t>
      </w:r>
    </w:p>
    <w:p w14:paraId="6497494B" w14:textId="77777777" w:rsidR="005E7DF4" w:rsidRDefault="005E7DF4" w:rsidP="005E7DF4">
      <w:pPr>
        <w:pStyle w:val="MTDisplayEquation"/>
      </w:pPr>
      <w:r>
        <w:tab/>
      </w:r>
      <w:r w:rsidRPr="00BE0695">
        <w:rPr>
          <w:position w:val="-4"/>
        </w:rPr>
        <w:object w:dxaOrig="180" w:dyaOrig="279" w14:anchorId="15591F4D">
          <v:shape id="_x0000_i1026" type="#_x0000_t75" style="width:6.75pt;height:14.25pt" o:ole="">
            <v:imagedata r:id="rId22" o:title=""/>
          </v:shape>
          <o:OLEObject Type="Embed" ProgID="Equation.DSMT4" ShapeID="_x0000_i1026" DrawAspect="Content" ObjectID="_1689775800" r:id="rId23"/>
        </w:object>
      </w:r>
      <w:r w:rsidRPr="000C689A">
        <w:rPr>
          <w:position w:val="-16"/>
        </w:rPr>
        <w:object w:dxaOrig="5460" w:dyaOrig="440" w14:anchorId="171294C2">
          <v:shape id="_x0000_i1027" type="#_x0000_t75" style="width:273.75pt;height:21.75pt" o:ole="">
            <v:imagedata r:id="rId24" o:title=""/>
          </v:shape>
          <o:OLEObject Type="Embed" ProgID="Equation.DSMT4" ShapeID="_x0000_i1027" DrawAspect="Content" ObjectID="_1689775801" r:id="rId25"/>
        </w:object>
      </w:r>
    </w:p>
    <w:p w14:paraId="1AE39E30" w14:textId="77777777" w:rsidR="005E7DF4" w:rsidRDefault="005E7DF4" w:rsidP="005E7DF4">
      <w:pPr>
        <w:rPr>
          <w:lang w:val="en-US"/>
        </w:rPr>
      </w:pPr>
      <w:r>
        <w:rPr>
          <w:lang w:val="en-US"/>
        </w:rPr>
        <w:t>and if the TCI state is unknown it is defined as</w:t>
      </w:r>
    </w:p>
    <w:p w14:paraId="2938460B" w14:textId="77777777" w:rsidR="005E7DF4" w:rsidRDefault="005E7DF4" w:rsidP="005E7DF4">
      <w:pPr>
        <w:jc w:val="center"/>
      </w:pPr>
      <w:r w:rsidRPr="000C689A">
        <w:rPr>
          <w:position w:val="-16"/>
        </w:rPr>
        <w:object w:dxaOrig="6420" w:dyaOrig="440" w14:anchorId="3EE18A67">
          <v:shape id="_x0000_i1028" type="#_x0000_t75" style="width:324pt;height:21.75pt" o:ole="">
            <v:imagedata r:id="rId26" o:title=""/>
          </v:shape>
          <o:OLEObject Type="Embed" ProgID="Equation.DSMT4" ShapeID="_x0000_i1028" DrawAspect="Content" ObjectID="_1689775802" r:id="rId27"/>
        </w:object>
      </w:r>
    </w:p>
    <w:p w14:paraId="6EE3ED15" w14:textId="77777777" w:rsidR="005E7DF4" w:rsidRDefault="005E7DF4" w:rsidP="005E7DF4">
      <w:r>
        <w:t xml:space="preserve">where </w:t>
      </w:r>
      <w:r w:rsidRPr="000C689A">
        <w:rPr>
          <w:position w:val="-12"/>
        </w:rPr>
        <w:object w:dxaOrig="700" w:dyaOrig="360" w14:anchorId="6D876689">
          <v:shape id="_x0000_i1029" type="#_x0000_t75" style="width:36pt;height:21.75pt" o:ole="">
            <v:imagedata r:id="rId28" o:title=""/>
          </v:shape>
          <o:OLEObject Type="Embed" ProgID="Equation.DSMT4" ShapeID="_x0000_i1029" DrawAspect="Content" ObjectID="_1689775803" r:id="rId29"/>
        </w:object>
      </w:r>
      <w:r>
        <w:t xml:space="preserve">is the time to first SSB transmission after the MAC-CE is decoded by the UE and </w:t>
      </w:r>
      <w:r w:rsidRPr="000C689A">
        <w:rPr>
          <w:position w:val="-14"/>
        </w:rPr>
        <w:object w:dxaOrig="720" w:dyaOrig="380" w14:anchorId="7E757CCB">
          <v:shape id="_x0000_i1030" type="#_x0000_t75" style="width:36pt;height:21.75pt" o:ole="">
            <v:imagedata r:id="rId30" o:title=""/>
          </v:shape>
          <o:OLEObject Type="Embed" ProgID="Equation.DSMT4" ShapeID="_x0000_i1030" DrawAspect="Content" ObjectID="_1689775804" r:id="rId31"/>
        </w:object>
      </w:r>
      <w:r>
        <w:t xml:space="preserve">= 2ms and the additional processing times are required if the TCI state being activated is not in the active TCI state list. It is clear that TCI state application latency in the first case when TCI states are known is limited by the MAC-CE decoding latency. For the case of unknown TCI state additional time is required for L1-RSRP measurement and reporting which is in the realm of beam acquisition since the beams are not tracked. Therefore, the latency in this case can potentially be much higher than the 3ms defined in RAN1. </w:t>
      </w:r>
    </w:p>
    <w:p w14:paraId="390B3DB5" w14:textId="77777777" w:rsidR="005E7DF4" w:rsidRDefault="005E7DF4" w:rsidP="005E7DF4">
      <w:pPr>
        <w:rPr>
          <w:lang w:val="en-US"/>
        </w:rPr>
      </w:pPr>
      <w:r>
        <w:rPr>
          <w:lang w:val="en-US"/>
        </w:rPr>
        <w:t xml:space="preserve">In this paper, we first provide SLS simulation results to investigate whether the major performance bottleneck stems from MAC-CE based TCI state application latency or beam acquisition latency due to SSB periodicity and measurements across multiple SSB periods. For this analysis we provide results based on the intra-cell mobility assumptions agreed in </w:t>
      </w:r>
      <w:r>
        <w:rPr>
          <w:lang w:val="en-US"/>
        </w:rPr>
        <w:fldChar w:fldCharType="begin"/>
      </w:r>
      <w:r>
        <w:rPr>
          <w:lang w:val="en-US"/>
        </w:rPr>
        <w:instrText xml:space="preserve"> REF _Ref54369575 \r \h </w:instrText>
      </w:r>
      <w:r>
        <w:rPr>
          <w:lang w:val="en-US"/>
        </w:rPr>
      </w:r>
      <w:r>
        <w:rPr>
          <w:lang w:val="en-US"/>
        </w:rPr>
        <w:fldChar w:fldCharType="separate"/>
      </w:r>
      <w:r>
        <w:rPr>
          <w:lang w:val="en-US"/>
        </w:rPr>
        <w:t>[2]</w:t>
      </w:r>
      <w:r>
        <w:rPr>
          <w:lang w:val="en-US"/>
        </w:rPr>
        <w:fldChar w:fldCharType="end"/>
      </w:r>
      <w:r>
        <w:rPr>
          <w:lang w:val="en-US"/>
        </w:rPr>
        <w:t>. For initial analysis it is enough to use fast fading RSRP as the metric and therefore we simulated a single UE moving across the cell with the trajectory in Figure 1.</w:t>
      </w:r>
    </w:p>
    <w:p w14:paraId="7F4B24FD" w14:textId="77777777" w:rsidR="005E7DF4" w:rsidRDefault="005E7DF4" w:rsidP="005E7DF4">
      <w:pPr>
        <w:keepNext/>
        <w:jc w:val="center"/>
      </w:pPr>
      <w:r w:rsidRPr="003F1786">
        <w:rPr>
          <w:noProof/>
        </w:rPr>
        <w:drawing>
          <wp:inline distT="0" distB="0" distL="0" distR="0" wp14:anchorId="24970132" wp14:editId="5015A604">
            <wp:extent cx="3459708" cy="2592434"/>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464998" cy="2596398"/>
                    </a:xfrm>
                    <a:prstGeom prst="rect">
                      <a:avLst/>
                    </a:prstGeom>
                    <a:noFill/>
                    <a:ln>
                      <a:noFill/>
                    </a:ln>
                  </pic:spPr>
                </pic:pic>
              </a:graphicData>
            </a:graphic>
          </wp:inline>
        </w:drawing>
      </w:r>
    </w:p>
    <w:p w14:paraId="00D6EEC2" w14:textId="19AC72D1" w:rsidR="005E7DF4" w:rsidRDefault="005E7DF4" w:rsidP="005E7DF4">
      <w:pPr>
        <w:pStyle w:val="Caption"/>
        <w:jc w:val="center"/>
      </w:pPr>
      <w:r>
        <w:t xml:space="preserve">Figure </w:t>
      </w:r>
      <w:r>
        <w:fldChar w:fldCharType="begin"/>
      </w:r>
      <w:r>
        <w:instrText xml:space="preserve"> SEQ Figure \* ARABIC </w:instrText>
      </w:r>
      <w:r>
        <w:fldChar w:fldCharType="separate"/>
      </w:r>
      <w:r w:rsidR="00D71083">
        <w:rPr>
          <w:noProof/>
        </w:rPr>
        <w:t>7</w:t>
      </w:r>
      <w:r>
        <w:fldChar w:fldCharType="end"/>
      </w:r>
      <w:r>
        <w:t>: UE Trajectory for Intra Cell Mobility</w:t>
      </w:r>
    </w:p>
    <w:p w14:paraId="50922ADE" w14:textId="77777777" w:rsidR="005E7DF4" w:rsidRDefault="005E7DF4" w:rsidP="005E7DF4">
      <w:r>
        <w:t xml:space="preserve">For the UE shown in Figure 1, geographic association is assumed with cell 1. The detailed antenna configuration is provided in the Appendix. The gNB has an 8x4 sub-array and 32 DFT beams with 2x horizontal oversampling producing a total of 64 narrow beams corresponding to CSI-RS beams. We also assume that the gNB has a smaller 4x2 sub-array for forming wider DFT analog beams with 2x horizontal and 2x vertical oversampling corresponding to 32 SSB beams. Similarly, the UE has a 4x1 subarray on each panel and 8 narrow DFT beams with 2x horizontal oversampling corresponding to CSI-RS beams. Additionally, the UE is also capable of forming wider receive beams with a 2x1 subarray with 4 wide beams with 2x horizontal oversampling. </w:t>
      </w:r>
    </w:p>
    <w:p w14:paraId="12836ECE" w14:textId="77777777" w:rsidR="005E7DF4" w:rsidRDefault="005E7DF4" w:rsidP="005E7DF4">
      <w:r>
        <w:t xml:space="preserve">In our evaluations, we model impairments in the form of beam application latency and measurement/reporting latency. The application latency ensures the identified best beams are used only after the configured latency, while the measurement/reporting latency modelling makes beam reports available only after the configured latency. </w:t>
      </w:r>
    </w:p>
    <w:p w14:paraId="573E7FD8" w14:textId="77777777" w:rsidR="005E7DF4" w:rsidRPr="00FB7D00" w:rsidRDefault="005E7DF4" w:rsidP="005E7DF4">
      <w:pPr>
        <w:pStyle w:val="Heading3"/>
      </w:pPr>
      <w:r w:rsidRPr="00FB7D00">
        <w:t>Impact of Beam Application Latency</w:t>
      </w:r>
    </w:p>
    <w:p w14:paraId="13BB655A" w14:textId="34B54F52" w:rsidR="005E7DF4" w:rsidRPr="004142FC" w:rsidRDefault="005E7DF4" w:rsidP="005E7DF4">
      <w:r>
        <w:t xml:space="preserve">First, we look at the impact of beam application latency when ideal and exhaustive narrow beam scanning is assumed. In this case, we assumed a measurement latency of 40ms and application latencies of 1ms and 3ms corresponding to TCI state indication faster than MAC-CE indication and the latency associated with MAC-CE indication of known TCI states respectively. The RSRP traces shown in </w:t>
      </w:r>
      <w:r w:rsidR="00A0169E">
        <w:fldChar w:fldCharType="begin"/>
      </w:r>
      <w:r w:rsidR="00A0169E">
        <w:instrText xml:space="preserve"> REF _Ref79159985 \h </w:instrText>
      </w:r>
      <w:r w:rsidR="00A0169E">
        <w:fldChar w:fldCharType="separate"/>
      </w:r>
      <w:r w:rsidR="00A0169E">
        <w:t xml:space="preserve">Figure </w:t>
      </w:r>
      <w:r w:rsidR="00A0169E">
        <w:rPr>
          <w:noProof/>
        </w:rPr>
        <w:t>8</w:t>
      </w:r>
      <w:r w:rsidR="00A0169E">
        <w:fldChar w:fldCharType="end"/>
      </w:r>
      <w:r w:rsidR="00A0169E">
        <w:t xml:space="preserve"> </w:t>
      </w:r>
      <w:r>
        <w:t>are almost identical.</w:t>
      </w:r>
    </w:p>
    <w:p w14:paraId="172BE60B" w14:textId="35140CD0" w:rsidR="005E7DF4" w:rsidRDefault="005E7DF4" w:rsidP="005E7DF4">
      <w:pPr>
        <w:keepNext/>
        <w:jc w:val="center"/>
      </w:pPr>
      <w:r w:rsidRPr="00AA3531">
        <w:rPr>
          <w:noProof/>
          <w:lang w:val="en-US"/>
        </w:rPr>
        <w:lastRenderedPageBreak/>
        <w:drawing>
          <wp:inline distT="0" distB="0" distL="0" distR="0" wp14:anchorId="698ED2E6" wp14:editId="66AA26FC">
            <wp:extent cx="2593975" cy="2320120"/>
            <wp:effectExtent l="0" t="0" r="0" b="444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rotWithShape="1">
                    <a:blip r:embed="rId33" cstate="print">
                      <a:extLst>
                        <a:ext uri="{28A0092B-C50C-407E-A947-70E740481C1C}">
                          <a14:useLocalDpi xmlns:a14="http://schemas.microsoft.com/office/drawing/2010/main" val="0"/>
                        </a:ext>
                      </a:extLst>
                    </a:blip>
                    <a:srcRect r="7688" b="3660"/>
                    <a:stretch/>
                  </pic:blipFill>
                  <pic:spPr bwMode="auto">
                    <a:xfrm>
                      <a:off x="0" y="0"/>
                      <a:ext cx="2602188" cy="2327466"/>
                    </a:xfrm>
                    <a:prstGeom prst="rect">
                      <a:avLst/>
                    </a:prstGeom>
                    <a:noFill/>
                    <a:ln>
                      <a:noFill/>
                    </a:ln>
                    <a:extLst>
                      <a:ext uri="{53640926-AAD7-44D8-BBD7-CCE9431645EC}">
                        <a14:shadowObscured xmlns:a14="http://schemas.microsoft.com/office/drawing/2010/main"/>
                      </a:ext>
                    </a:extLst>
                  </pic:spPr>
                </pic:pic>
              </a:graphicData>
            </a:graphic>
          </wp:inline>
        </w:drawing>
      </w:r>
    </w:p>
    <w:p w14:paraId="0A24FE41" w14:textId="4B53B174" w:rsidR="005E7DF4" w:rsidRDefault="005E7DF4" w:rsidP="005E7DF4">
      <w:pPr>
        <w:pStyle w:val="Caption"/>
        <w:jc w:val="center"/>
      </w:pPr>
      <w:bookmarkStart w:id="5" w:name="_Ref79159985"/>
      <w:r>
        <w:t xml:space="preserve">Figure </w:t>
      </w:r>
      <w:r>
        <w:fldChar w:fldCharType="begin"/>
      </w:r>
      <w:r>
        <w:instrText xml:space="preserve"> SEQ Figure \* ARABIC </w:instrText>
      </w:r>
      <w:r>
        <w:fldChar w:fldCharType="separate"/>
      </w:r>
      <w:r w:rsidR="00CF0912">
        <w:rPr>
          <w:noProof/>
        </w:rPr>
        <w:t>8</w:t>
      </w:r>
      <w:r>
        <w:fldChar w:fldCharType="end"/>
      </w:r>
      <w:bookmarkEnd w:id="5"/>
      <w:r>
        <w:t>: RSRP Trace of UE is almost identical for application latency 1ms vs 3ms.</w:t>
      </w:r>
    </w:p>
    <w:p w14:paraId="62308F95" w14:textId="2B904113" w:rsidR="005E7DF4" w:rsidRDefault="00CF0912" w:rsidP="005E7DF4">
      <w:r>
        <w:t xml:space="preserve">Therefore, </w:t>
      </w:r>
      <w:r w:rsidR="005E7DF4">
        <w:t xml:space="preserve">application latency of 3ms from MAC-CE vs sub-3ms case which would correspond to DCI based TCI state indication (possibly with HARQ) is not the performance bottleneck for beam management. </w:t>
      </w:r>
    </w:p>
    <w:p w14:paraId="7C012203" w14:textId="294D7368" w:rsidR="005E7DF4" w:rsidRPr="00A77D4F" w:rsidRDefault="005E7DF4" w:rsidP="005E7DF4">
      <w:pPr>
        <w:rPr>
          <w:b/>
          <w:bCs/>
          <w:i/>
          <w:iCs/>
        </w:rPr>
      </w:pPr>
      <w:r w:rsidRPr="00A77D4F">
        <w:rPr>
          <w:b/>
          <w:bCs/>
          <w:i/>
          <w:iCs/>
        </w:rPr>
        <w:t>Observation</w:t>
      </w:r>
      <w:r w:rsidR="00D71392">
        <w:rPr>
          <w:b/>
          <w:bCs/>
          <w:i/>
          <w:iCs/>
        </w:rPr>
        <w:t xml:space="preserve"> </w:t>
      </w:r>
      <w:r w:rsidR="00A50A9E">
        <w:rPr>
          <w:b/>
          <w:bCs/>
          <w:i/>
          <w:iCs/>
        </w:rPr>
        <w:t>2</w:t>
      </w:r>
      <w:r w:rsidRPr="00A77D4F">
        <w:rPr>
          <w:b/>
          <w:bCs/>
          <w:i/>
          <w:iCs/>
        </w:rPr>
        <w:t>:</w:t>
      </w:r>
      <w:r w:rsidRPr="00A77D4F">
        <w:rPr>
          <w:b/>
          <w:bCs/>
        </w:rPr>
        <w:t xml:space="preserve"> </w:t>
      </w:r>
      <w:bookmarkStart w:id="6" w:name="_Hlk54385320"/>
      <w:r w:rsidRPr="00A77D4F">
        <w:rPr>
          <w:b/>
          <w:bCs/>
          <w:i/>
          <w:iCs/>
        </w:rPr>
        <w:t>TCI state application latency has negligible impact to performance for known TCI states compared to DCI based TCI indication latency.</w:t>
      </w:r>
    </w:p>
    <w:bookmarkEnd w:id="6"/>
    <w:p w14:paraId="5282D9F4" w14:textId="77777777" w:rsidR="005E7DF4" w:rsidRDefault="005E7DF4" w:rsidP="005E7DF4"/>
    <w:p w14:paraId="00F05211" w14:textId="77777777" w:rsidR="005E7DF4" w:rsidRPr="00245F88" w:rsidRDefault="005E7DF4" w:rsidP="005E7DF4">
      <w:pPr>
        <w:pStyle w:val="Heading3"/>
      </w:pPr>
      <w:r w:rsidRPr="00245F88">
        <w:t>Impact of Measurement Periodicity</w:t>
      </w:r>
    </w:p>
    <w:p w14:paraId="1E890349" w14:textId="3C795DAA" w:rsidR="005E7DF4" w:rsidRDefault="005E7DF4" w:rsidP="005E7DF4">
      <w:r>
        <w:t>Next, for a fixed application latency of 3ms, we compare the performance for different measurement periodicities. The fast</w:t>
      </w:r>
      <w:r w:rsidR="004E07E7">
        <w:t>-</w:t>
      </w:r>
      <w:r>
        <w:t>fading RSRP trace with and without UE rotation is shown in</w:t>
      </w:r>
      <w:r w:rsidR="00CF0912">
        <w:t xml:space="preserve"> </w:t>
      </w:r>
      <w:r w:rsidR="00CF0912">
        <w:fldChar w:fldCharType="begin"/>
      </w:r>
      <w:r w:rsidR="00CF0912">
        <w:instrText xml:space="preserve"> REF _Ref79160082 \h </w:instrText>
      </w:r>
      <w:r w:rsidR="00CF0912">
        <w:fldChar w:fldCharType="separate"/>
      </w:r>
      <w:r w:rsidR="00697905">
        <w:t xml:space="preserve">Figure </w:t>
      </w:r>
      <w:r w:rsidR="00697905">
        <w:rPr>
          <w:noProof/>
        </w:rPr>
        <w:t>9</w:t>
      </w:r>
      <w:r w:rsidR="00CF0912">
        <w:fldChar w:fldCharType="end"/>
      </w:r>
      <w:r>
        <w:t>. In this evaluation we consider a measurement periodicity of 20ms as the ideal case and upper bound to the RSRP performance.</w:t>
      </w:r>
    </w:p>
    <w:p w14:paraId="094FC856" w14:textId="77777777" w:rsidR="005E7DF4" w:rsidRDefault="005E7DF4" w:rsidP="005E7DF4"/>
    <w:p w14:paraId="54C54ECA" w14:textId="58C7E220" w:rsidR="005E7DF4" w:rsidRDefault="005E7DF4" w:rsidP="005E7DF4">
      <w:pPr>
        <w:keepNext/>
        <w:jc w:val="center"/>
      </w:pPr>
      <w:r w:rsidRPr="00A76A75">
        <w:rPr>
          <w:noProof/>
        </w:rPr>
        <w:drawing>
          <wp:inline distT="0" distB="0" distL="0" distR="0" wp14:anchorId="23D43CDF" wp14:editId="202FEA7D">
            <wp:extent cx="3125337" cy="2377361"/>
            <wp:effectExtent l="0" t="0" r="0" b="444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4"/>
                    <a:srcRect r="6321"/>
                    <a:stretch/>
                  </pic:blipFill>
                  <pic:spPr bwMode="auto">
                    <a:xfrm>
                      <a:off x="0" y="0"/>
                      <a:ext cx="3136243" cy="2385657"/>
                    </a:xfrm>
                    <a:prstGeom prst="rect">
                      <a:avLst/>
                    </a:prstGeom>
                    <a:ln>
                      <a:noFill/>
                    </a:ln>
                    <a:extLst>
                      <a:ext uri="{53640926-AAD7-44D8-BBD7-CCE9431645EC}">
                        <a14:shadowObscured xmlns:a14="http://schemas.microsoft.com/office/drawing/2010/main"/>
                      </a:ext>
                    </a:extLst>
                  </pic:spPr>
                </pic:pic>
              </a:graphicData>
            </a:graphic>
          </wp:inline>
        </w:drawing>
      </w:r>
      <w:r w:rsidR="00A0169E" w:rsidRPr="00A0169E">
        <w:rPr>
          <w:noProof/>
        </w:rPr>
        <w:t xml:space="preserve"> </w:t>
      </w:r>
      <w:r w:rsidR="00A0169E" w:rsidRPr="00A0169E">
        <w:drawing>
          <wp:inline distT="0" distB="0" distL="0" distR="0" wp14:anchorId="63B6870A" wp14:editId="34AB9230">
            <wp:extent cx="3138985" cy="2400691"/>
            <wp:effectExtent l="0" t="0" r="4445"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3152544" cy="2411061"/>
                    </a:xfrm>
                    <a:prstGeom prst="rect">
                      <a:avLst/>
                    </a:prstGeom>
                  </pic:spPr>
                </pic:pic>
              </a:graphicData>
            </a:graphic>
          </wp:inline>
        </w:drawing>
      </w:r>
    </w:p>
    <w:p w14:paraId="306C7EC7" w14:textId="35FDFBC0" w:rsidR="005E7DF4" w:rsidRDefault="005E7DF4" w:rsidP="005E7DF4">
      <w:pPr>
        <w:pStyle w:val="Caption"/>
        <w:jc w:val="center"/>
      </w:pPr>
      <w:bookmarkStart w:id="7" w:name="_Ref79160082"/>
      <w:r>
        <w:t xml:space="preserve">Figure </w:t>
      </w:r>
      <w:r>
        <w:fldChar w:fldCharType="begin"/>
      </w:r>
      <w:r>
        <w:instrText xml:space="preserve"> SEQ Figure \* ARABIC </w:instrText>
      </w:r>
      <w:r>
        <w:fldChar w:fldCharType="separate"/>
      </w:r>
      <w:r w:rsidR="00CF0912">
        <w:rPr>
          <w:noProof/>
        </w:rPr>
        <w:t>9</w:t>
      </w:r>
      <w:r>
        <w:fldChar w:fldCharType="end"/>
      </w:r>
      <w:bookmarkEnd w:id="7"/>
      <w:r>
        <w:t>: Fast Fading RSRP trace for different measurement periodicities. It is seen that measurement periodicity of 160ms significantly degrades performance even without UE rotation.</w:t>
      </w:r>
    </w:p>
    <w:p w14:paraId="4D485CED" w14:textId="77777777" w:rsidR="005E7DF4" w:rsidRDefault="005E7DF4" w:rsidP="005E7DF4"/>
    <w:p w14:paraId="0FDCD4C6" w14:textId="77777777" w:rsidR="005E7DF4" w:rsidRDefault="005E7DF4" w:rsidP="005E7DF4">
      <w:r>
        <w:lastRenderedPageBreak/>
        <w:t>From the above figures, we can clearly see that even a measurement periodicity of 80ms yields significant RSRP difference with the ideal case of 20ms measurement periodicity, while a 160ms periodicity leads to major performance degradation even without UE rotation</w:t>
      </w:r>
    </w:p>
    <w:p w14:paraId="25DB73E4" w14:textId="12B54573" w:rsidR="005E7DF4" w:rsidRPr="00A77D4F" w:rsidRDefault="005E7DF4" w:rsidP="005E7DF4">
      <w:pPr>
        <w:rPr>
          <w:b/>
          <w:bCs/>
          <w:i/>
          <w:iCs/>
        </w:rPr>
      </w:pPr>
      <w:r w:rsidRPr="00A77D4F">
        <w:rPr>
          <w:b/>
          <w:bCs/>
          <w:i/>
          <w:iCs/>
        </w:rPr>
        <w:t>Observation</w:t>
      </w:r>
      <w:r w:rsidR="00D71392">
        <w:rPr>
          <w:b/>
          <w:bCs/>
          <w:i/>
          <w:iCs/>
        </w:rPr>
        <w:t xml:space="preserve"> </w:t>
      </w:r>
      <w:r w:rsidR="00A50A9E">
        <w:rPr>
          <w:b/>
          <w:bCs/>
          <w:i/>
          <w:iCs/>
        </w:rPr>
        <w:t>3</w:t>
      </w:r>
      <w:r w:rsidRPr="00A77D4F">
        <w:rPr>
          <w:b/>
          <w:bCs/>
          <w:i/>
          <w:iCs/>
        </w:rPr>
        <w:t>:</w:t>
      </w:r>
      <w:r w:rsidRPr="00A77D4F">
        <w:rPr>
          <w:b/>
          <w:bCs/>
        </w:rPr>
        <w:t xml:space="preserve"> </w:t>
      </w:r>
      <w:r w:rsidRPr="00A77D4F">
        <w:rPr>
          <w:b/>
          <w:bCs/>
          <w:i/>
          <w:iCs/>
        </w:rPr>
        <w:t>Beam acquisition latency due to measurement periodicity is a major performance bottleneck in current beam management.</w:t>
      </w:r>
    </w:p>
    <w:p w14:paraId="6EF9C200" w14:textId="77777777" w:rsidR="005E7DF4" w:rsidRPr="00FB7D00" w:rsidRDefault="005E7DF4" w:rsidP="005E7DF4">
      <w:pPr>
        <w:pStyle w:val="Heading3"/>
      </w:pPr>
      <w:r w:rsidRPr="00FB7D00">
        <w:t>Performance of Hierarchical Beam Management</w:t>
      </w:r>
    </w:p>
    <w:p w14:paraId="7E946179" w14:textId="77777777" w:rsidR="005E7DF4" w:rsidRDefault="005E7DF4" w:rsidP="005E7DF4">
      <w:r>
        <w:t xml:space="preserve">Next, we investigate the performance of hierarchical beam management schemes wherein the UE can perform initial beam acquisition through wide beam scanning and then refine the beams using narrow beam scanning in the direction of the acquired wide beams. In our evaluation, we model a mapping between narrow and wide beams based on circular cross correlation of the DFT analog beamforming vectors. For this evaluation, we assume that based on the results of the wide beam scan the gNB and UE can perform narrow Tx and Rx beam refinement on the narrow beams corresponding to best 8 wide beams. Compared to an exhaustive search of 64 Tx beams and 8 Rx beams across 3 UE panels, the hierarchical beam management scheme provides significant complexity and latency reduction. Note that for the hierarchical scheme simulated here, the UE performs panel selection based on the wide beam scanning. </w:t>
      </w:r>
    </w:p>
    <w:p w14:paraId="1D6C5951" w14:textId="7DE7F3A6" w:rsidR="005E7DF4" w:rsidRDefault="00CA7D8D" w:rsidP="00804404">
      <w:pPr>
        <w:keepNext/>
        <w:jc w:val="center"/>
      </w:pPr>
      <w:r w:rsidRPr="00CA7D8D">
        <w:rPr>
          <w:noProof/>
        </w:rPr>
        <w:drawing>
          <wp:inline distT="0" distB="0" distL="0" distR="0" wp14:anchorId="3EBD19A9" wp14:editId="0F469961">
            <wp:extent cx="3013778" cy="2258704"/>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3014399" cy="2259169"/>
                    </a:xfrm>
                    <a:prstGeom prst="rect">
                      <a:avLst/>
                    </a:prstGeom>
                    <a:noFill/>
                    <a:ln>
                      <a:noFill/>
                    </a:ln>
                  </pic:spPr>
                </pic:pic>
              </a:graphicData>
            </a:graphic>
          </wp:inline>
        </w:drawing>
      </w:r>
      <w:r w:rsidR="00385AA3" w:rsidRPr="00385AA3">
        <w:rPr>
          <w:noProof/>
        </w:rPr>
        <w:drawing>
          <wp:inline distT="0" distB="0" distL="0" distR="0" wp14:anchorId="792A066F" wp14:editId="5F33211B">
            <wp:extent cx="2992910" cy="2224585"/>
            <wp:effectExtent l="0" t="0" r="0" b="444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001763" cy="2231166"/>
                    </a:xfrm>
                    <a:prstGeom prst="rect">
                      <a:avLst/>
                    </a:prstGeom>
                    <a:noFill/>
                    <a:ln>
                      <a:noFill/>
                    </a:ln>
                  </pic:spPr>
                </pic:pic>
              </a:graphicData>
            </a:graphic>
          </wp:inline>
        </w:drawing>
      </w:r>
    </w:p>
    <w:p w14:paraId="60AB43BA" w14:textId="77144C5A" w:rsidR="005E7DF4" w:rsidRPr="002F3325" w:rsidRDefault="005E7DF4" w:rsidP="005E7DF4">
      <w:pPr>
        <w:pStyle w:val="Caption"/>
        <w:jc w:val="center"/>
      </w:pPr>
      <w:bookmarkStart w:id="8" w:name="_Ref79160425"/>
      <w:r>
        <w:t xml:space="preserve">Figure </w:t>
      </w:r>
      <w:r>
        <w:fldChar w:fldCharType="begin"/>
      </w:r>
      <w:r>
        <w:instrText xml:space="preserve"> SEQ Figure \* ARABIC </w:instrText>
      </w:r>
      <w:r>
        <w:fldChar w:fldCharType="separate"/>
      </w:r>
      <w:r w:rsidR="00424994">
        <w:rPr>
          <w:noProof/>
        </w:rPr>
        <w:t>10</w:t>
      </w:r>
      <w:r>
        <w:fldChar w:fldCharType="end"/>
      </w:r>
      <w:bookmarkEnd w:id="8"/>
      <w:r>
        <w:t>: RSRP trace for hierarchical beam management with wide and narrow beam scanning. The exhaustive search scheme performs narrow beam scanning only.</w:t>
      </w:r>
    </w:p>
    <w:p w14:paraId="25522577" w14:textId="0EF2F745" w:rsidR="005E7DF4" w:rsidRDefault="005E7DF4" w:rsidP="005E7DF4">
      <w:r>
        <w:t>From</w:t>
      </w:r>
      <w:r w:rsidR="00424994">
        <w:t xml:space="preserve"> </w:t>
      </w:r>
      <w:r w:rsidR="00424994">
        <w:fldChar w:fldCharType="begin"/>
      </w:r>
      <w:r w:rsidR="00424994">
        <w:instrText xml:space="preserve"> REF _Ref79160425 \h </w:instrText>
      </w:r>
      <w:r w:rsidR="00424994">
        <w:fldChar w:fldCharType="separate"/>
      </w:r>
      <w:r w:rsidR="00424994">
        <w:t xml:space="preserve">Figure </w:t>
      </w:r>
      <w:r w:rsidR="00424994">
        <w:rPr>
          <w:noProof/>
        </w:rPr>
        <w:t>10</w:t>
      </w:r>
      <w:r w:rsidR="00424994">
        <w:fldChar w:fldCharType="end"/>
      </w:r>
      <w:r>
        <w:t xml:space="preserve">, we can see that hierarchical beam management has almost identical performance as the exhaustive narrow beam search scheme with respect to narrow beam RSRP even with UE rotation. Since hierarchical beam management brings significant latency and complexity reduction due to smaller number of beam measurements, it motivates us to propose further enhancements to the hierarchical beam management schemes to enable faster beam tracking and refinement. </w:t>
      </w:r>
    </w:p>
    <w:p w14:paraId="5B741979" w14:textId="67161F60" w:rsidR="005E7DF4" w:rsidRPr="00A77D4F" w:rsidRDefault="005E7DF4" w:rsidP="005E7DF4">
      <w:pPr>
        <w:rPr>
          <w:b/>
          <w:bCs/>
        </w:rPr>
      </w:pPr>
      <w:r w:rsidRPr="00A77D4F">
        <w:rPr>
          <w:b/>
          <w:bCs/>
          <w:i/>
          <w:iCs/>
        </w:rPr>
        <w:t>Observation</w:t>
      </w:r>
      <w:r w:rsidR="00D71392">
        <w:rPr>
          <w:b/>
          <w:bCs/>
          <w:i/>
          <w:iCs/>
        </w:rPr>
        <w:t xml:space="preserve"> </w:t>
      </w:r>
      <w:r w:rsidR="00A50A9E">
        <w:rPr>
          <w:b/>
          <w:bCs/>
          <w:i/>
          <w:iCs/>
        </w:rPr>
        <w:t>4</w:t>
      </w:r>
      <w:r w:rsidRPr="00A77D4F">
        <w:rPr>
          <w:b/>
          <w:bCs/>
          <w:i/>
          <w:iCs/>
        </w:rPr>
        <w:t>:</w:t>
      </w:r>
      <w:r w:rsidRPr="00A77D4F">
        <w:rPr>
          <w:b/>
          <w:bCs/>
        </w:rPr>
        <w:t xml:space="preserve"> </w:t>
      </w:r>
      <w:r w:rsidRPr="00A77D4F">
        <w:rPr>
          <w:b/>
          <w:bCs/>
          <w:i/>
          <w:iCs/>
        </w:rPr>
        <w:t>Hierarchical beam management performs almost identical to exhaustive beam search thereby offering significant complexity and latency reduction.</w:t>
      </w:r>
    </w:p>
    <w:p w14:paraId="10022F98" w14:textId="77777777" w:rsidR="005E7DF4" w:rsidRPr="002F3325" w:rsidRDefault="005E7DF4" w:rsidP="005E7DF4">
      <w:r>
        <w:t xml:space="preserve">Based on the simulation results in this section, we next propose latency reduction mechanisms for beam acquisition and beam refinement and tracking.  </w:t>
      </w:r>
    </w:p>
    <w:p w14:paraId="3EE89EA1" w14:textId="77777777" w:rsidR="005E7DF4" w:rsidRPr="00477DE0" w:rsidRDefault="005E7DF4" w:rsidP="005E7DF4">
      <w:pPr>
        <w:pStyle w:val="Heading2"/>
        <w:rPr>
          <w:sz w:val="28"/>
          <w:szCs w:val="18"/>
          <w:lang w:val="en-US"/>
        </w:rPr>
      </w:pPr>
      <w:r w:rsidRPr="00477DE0">
        <w:rPr>
          <w:sz w:val="28"/>
          <w:szCs w:val="18"/>
          <w:lang w:val="en-US"/>
        </w:rPr>
        <w:t>Beam Acquisition Latency Reduction</w:t>
      </w:r>
    </w:p>
    <w:p w14:paraId="7D1A5A1B" w14:textId="77777777" w:rsidR="005E7DF4" w:rsidRDefault="005E7DF4" w:rsidP="005E7DF4">
      <w:pPr>
        <w:rPr>
          <w:lang w:val="en-US"/>
        </w:rPr>
      </w:pPr>
      <w:r>
        <w:rPr>
          <w:lang w:val="en-US"/>
        </w:rPr>
        <w:t>From the simulation results in the previous section, it was seen that measurement periodicity is a major performance bottleneck in current beam management. In order to reduce the beam search latency particularly when a large number of TCI states are configured, some signaling enhancements can be additionally considered, wherein QCL relation between different SSB beams as well as QCL indication between SSB and CSI-RS resource sets can be enhanced.</w:t>
      </w:r>
    </w:p>
    <w:p w14:paraId="76FFB2EB" w14:textId="77777777" w:rsidR="005E7DF4" w:rsidRDefault="005E7DF4" w:rsidP="005E7DF4">
      <w:pPr>
        <w:rPr>
          <w:lang w:val="en-US"/>
        </w:rPr>
      </w:pPr>
      <w:r>
        <w:rPr>
          <w:lang w:val="en-US"/>
        </w:rPr>
        <w:t xml:space="preserve">As an example, for SSB based wide Tx beam acquisition, the UE can be signaled with beam relations between different SSB beams such that the Rx beam refinement can be handled without exhaustive beam search. </w:t>
      </w:r>
    </w:p>
    <w:p w14:paraId="4A7FDDFA" w14:textId="77777777" w:rsidR="005E7DF4" w:rsidRPr="00371796" w:rsidRDefault="005E7DF4" w:rsidP="005E7DF4">
      <w:pPr>
        <w:jc w:val="center"/>
        <w:rPr>
          <w:lang w:val="en-US"/>
        </w:rPr>
      </w:pPr>
      <w:r w:rsidRPr="00CE73F8">
        <w:rPr>
          <w:noProof/>
        </w:rPr>
        <w:lastRenderedPageBreak/>
        <w:drawing>
          <wp:inline distT="0" distB="0" distL="0" distR="0" wp14:anchorId="267E8B9A" wp14:editId="5FBE533B">
            <wp:extent cx="2681785" cy="1098119"/>
            <wp:effectExtent l="0" t="0" r="4445" b="698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698646" cy="1105023"/>
                    </a:xfrm>
                    <a:prstGeom prst="rect">
                      <a:avLst/>
                    </a:prstGeom>
                    <a:noFill/>
                    <a:ln>
                      <a:noFill/>
                    </a:ln>
                  </pic:spPr>
                </pic:pic>
              </a:graphicData>
            </a:graphic>
          </wp:inline>
        </w:drawing>
      </w:r>
    </w:p>
    <w:p w14:paraId="26739C5C" w14:textId="5C719F72" w:rsidR="005E7DF4" w:rsidRDefault="005E7DF4" w:rsidP="005E7DF4">
      <w:pPr>
        <w:pStyle w:val="Caption"/>
        <w:jc w:val="center"/>
      </w:pPr>
      <w:bookmarkStart w:id="9" w:name="_Ref47699924"/>
      <w:r>
        <w:t xml:space="preserve">Figure </w:t>
      </w:r>
      <w:r>
        <w:fldChar w:fldCharType="begin"/>
      </w:r>
      <w:r>
        <w:instrText xml:space="preserve"> SEQ Figure \* ARABIC </w:instrText>
      </w:r>
      <w:r>
        <w:fldChar w:fldCharType="separate"/>
      </w:r>
      <w:r w:rsidR="00D71083">
        <w:rPr>
          <w:noProof/>
        </w:rPr>
        <w:t>13</w:t>
      </w:r>
      <w:r>
        <w:fldChar w:fldCharType="end"/>
      </w:r>
      <w:bookmarkEnd w:id="9"/>
      <w:r>
        <w:t>: Beam acquisition enhancements</w:t>
      </w:r>
    </w:p>
    <w:p w14:paraId="3C423569" w14:textId="77777777" w:rsidR="005E7DF4" w:rsidRDefault="005E7DF4" w:rsidP="005E7DF4">
      <w:pPr>
        <w:rPr>
          <w:lang w:val="en-US"/>
        </w:rPr>
      </w:pPr>
      <w:r>
        <w:rPr>
          <w:lang w:val="en-US"/>
        </w:rPr>
        <w:t xml:space="preserve">In </w:t>
      </w:r>
      <w:r>
        <w:rPr>
          <w:lang w:val="en-US"/>
        </w:rPr>
        <w:fldChar w:fldCharType="begin"/>
      </w:r>
      <w:r>
        <w:rPr>
          <w:lang w:val="en-US"/>
        </w:rPr>
        <w:instrText xml:space="preserve"> REF _Ref47699924 \h </w:instrText>
      </w:r>
      <w:r>
        <w:rPr>
          <w:lang w:val="en-US"/>
        </w:rPr>
      </w:r>
      <w:r>
        <w:rPr>
          <w:lang w:val="en-US"/>
        </w:rPr>
        <w:fldChar w:fldCharType="separate"/>
      </w:r>
      <w:r>
        <w:t xml:space="preserve">Figure </w:t>
      </w:r>
      <w:r>
        <w:rPr>
          <w:noProof/>
        </w:rPr>
        <w:t>4</w:t>
      </w:r>
      <w:r>
        <w:rPr>
          <w:lang w:val="en-US"/>
        </w:rPr>
        <w:fldChar w:fldCharType="end"/>
      </w:r>
      <w:r>
        <w:rPr>
          <w:lang w:val="en-US"/>
        </w:rPr>
        <w:t xml:space="preserve">, the first 4 SSB can correspond to the red highlighted beams which roughly covers the overall coverage area of the gNB. Then the UE can further measure only those related TCI indexes and not scan the entire set of SSB. Such flexible indication can be beneficial especially when very large number of SSB beams need to be used. Additionally, QCL relation between SSB indices and the narrower CSI-RS beams within a CSI-RS resource set can also help the UE scan only a sub-set of CSI-RS beams for finer beam acquisition. Such QCL information between SSB and CSI-RS resource sets can be configured via MAC-CE. This can also potentially reduce the Tx beam acquisition latency. </w:t>
      </w:r>
    </w:p>
    <w:p w14:paraId="5307DBA1" w14:textId="77777777" w:rsidR="005E7DF4" w:rsidRDefault="005E7DF4" w:rsidP="005E7DF4">
      <w:pPr>
        <w:rPr>
          <w:lang w:val="en-US"/>
        </w:rPr>
      </w:pPr>
      <w:r>
        <w:rPr>
          <w:lang w:val="en-US"/>
        </w:rPr>
        <w:t>If the UE is signaled QCL information between different SSB beams, the UE can potentially also utilize this information to perform Rx beam refinement across different SSBs which share neighboring beams. This could mean that the UE does not have to wait an entire SSB periodicity to complete Rx beam refinement and it can lead to significant latency reduction.</w:t>
      </w:r>
    </w:p>
    <w:p w14:paraId="6F818B33" w14:textId="69AB8DCF" w:rsidR="005E7DF4" w:rsidRPr="00A77D4F" w:rsidRDefault="005E7DF4" w:rsidP="005E7DF4">
      <w:pPr>
        <w:rPr>
          <w:b/>
          <w:bCs/>
          <w:i/>
          <w:iCs/>
          <w:lang w:val="en-US"/>
        </w:rPr>
      </w:pPr>
      <w:r w:rsidRPr="00A77D4F">
        <w:rPr>
          <w:b/>
          <w:bCs/>
          <w:i/>
          <w:iCs/>
          <w:lang w:val="en-US"/>
        </w:rPr>
        <w:t>Proposal</w:t>
      </w:r>
      <w:r w:rsidR="00AE268B">
        <w:rPr>
          <w:b/>
          <w:bCs/>
          <w:i/>
          <w:iCs/>
          <w:lang w:val="en-US"/>
        </w:rPr>
        <w:t xml:space="preserve"> </w:t>
      </w:r>
      <w:r w:rsidR="00D409A2">
        <w:rPr>
          <w:b/>
          <w:bCs/>
          <w:i/>
          <w:iCs/>
          <w:lang w:val="en-US"/>
        </w:rPr>
        <w:t>2</w:t>
      </w:r>
      <w:r w:rsidR="00A50A9E">
        <w:rPr>
          <w:b/>
          <w:bCs/>
          <w:i/>
          <w:iCs/>
          <w:lang w:val="en-US"/>
        </w:rPr>
        <w:t>1</w:t>
      </w:r>
      <w:r w:rsidRPr="00A77D4F">
        <w:rPr>
          <w:b/>
          <w:bCs/>
          <w:i/>
          <w:iCs/>
          <w:lang w:val="en-US"/>
        </w:rPr>
        <w:t xml:space="preserve">: To reduce beam acquisition latency QCL relations between different SSB beams can be indicated to the UE </w:t>
      </w:r>
    </w:p>
    <w:p w14:paraId="57C609F4" w14:textId="50DA12AC" w:rsidR="005E7DF4" w:rsidRPr="00A77D4F" w:rsidRDefault="005E7DF4" w:rsidP="005E7DF4">
      <w:pPr>
        <w:rPr>
          <w:b/>
          <w:bCs/>
          <w:i/>
          <w:iCs/>
          <w:lang w:val="en-US"/>
        </w:rPr>
      </w:pPr>
      <w:r w:rsidRPr="00A77D4F">
        <w:rPr>
          <w:b/>
          <w:bCs/>
          <w:i/>
          <w:iCs/>
          <w:lang w:val="en-US"/>
        </w:rPr>
        <w:t>Proposal</w:t>
      </w:r>
      <w:r w:rsidR="00AE268B">
        <w:rPr>
          <w:b/>
          <w:bCs/>
          <w:i/>
          <w:iCs/>
          <w:lang w:val="en-US"/>
        </w:rPr>
        <w:t xml:space="preserve"> </w:t>
      </w:r>
      <w:r w:rsidR="00D409A2">
        <w:rPr>
          <w:b/>
          <w:bCs/>
          <w:i/>
          <w:iCs/>
          <w:lang w:val="en-US"/>
        </w:rPr>
        <w:t>2</w:t>
      </w:r>
      <w:r w:rsidR="00A50A9E">
        <w:rPr>
          <w:b/>
          <w:bCs/>
          <w:i/>
          <w:iCs/>
          <w:lang w:val="en-US"/>
        </w:rPr>
        <w:t>2</w:t>
      </w:r>
      <w:r w:rsidRPr="00A77D4F">
        <w:rPr>
          <w:b/>
          <w:bCs/>
          <w:i/>
          <w:iCs/>
          <w:lang w:val="en-US"/>
        </w:rPr>
        <w:t>: QCL relation between SSB and CSI-RS resource sets can be configured via MAC-CE signaling to further speed up narrow beam acquisition latency.</w:t>
      </w:r>
    </w:p>
    <w:p w14:paraId="6378BB2B" w14:textId="77777777" w:rsidR="005E7DF4" w:rsidRPr="00477DE0" w:rsidRDefault="005E7DF4" w:rsidP="005E7DF4">
      <w:pPr>
        <w:pStyle w:val="Heading2"/>
        <w:rPr>
          <w:sz w:val="28"/>
          <w:szCs w:val="18"/>
          <w:lang w:val="en-US"/>
        </w:rPr>
      </w:pPr>
      <w:r w:rsidRPr="00477DE0">
        <w:rPr>
          <w:sz w:val="28"/>
          <w:szCs w:val="18"/>
          <w:lang w:val="en-US"/>
        </w:rPr>
        <w:t>Beam Refinement and Tracking Latency Reduction</w:t>
      </w:r>
    </w:p>
    <w:p w14:paraId="29B13F2F" w14:textId="77777777" w:rsidR="005E7DF4" w:rsidRDefault="005E7DF4" w:rsidP="005E7DF4">
      <w:pPr>
        <w:rPr>
          <w:lang w:val="en-US"/>
        </w:rPr>
      </w:pPr>
      <w:r>
        <w:rPr>
          <w:lang w:val="en-US"/>
        </w:rPr>
        <w:t xml:space="preserve">In this section, we propose further enhancements for latency reduction for the hierarchical beam management framework which is based on wide SSB beam scanning and related refinement on narrower CSI-RS beams. The beam indication mechanism currently supports a combination of semi-static RRC signaling in conjunction with MAC-CE indication and finally further down selection via DCI. While the framework is flexible and the gNB is able to fully control the beam indication and configuration at the UE for both DL and UL, there is also a cost paid in terms of latency especially when TCI states need to switched multiple times. The overall signaling overhead and latency due to MAC-CE based activation is shown in </w:t>
      </w:r>
      <w:r>
        <w:rPr>
          <w:lang w:val="en-US"/>
        </w:rPr>
        <w:fldChar w:fldCharType="begin"/>
      </w:r>
      <w:r>
        <w:rPr>
          <w:lang w:val="en-US"/>
        </w:rPr>
        <w:instrText xml:space="preserve"> REF _Ref47692306 \h </w:instrText>
      </w:r>
      <w:r>
        <w:rPr>
          <w:lang w:val="en-US"/>
        </w:rPr>
      </w:r>
      <w:r>
        <w:rPr>
          <w:lang w:val="en-US"/>
        </w:rPr>
        <w:fldChar w:fldCharType="separate"/>
      </w:r>
      <w:r>
        <w:t xml:space="preserve">Figure </w:t>
      </w:r>
      <w:r>
        <w:rPr>
          <w:noProof/>
        </w:rPr>
        <w:t>1</w:t>
      </w:r>
      <w:r>
        <w:rPr>
          <w:lang w:val="en-US"/>
        </w:rPr>
        <w:fldChar w:fldCharType="end"/>
      </w:r>
      <w:r>
        <w:rPr>
          <w:lang w:val="en-US"/>
        </w:rPr>
        <w:t>.</w:t>
      </w:r>
    </w:p>
    <w:p w14:paraId="0FD1AA65" w14:textId="77777777" w:rsidR="005E7DF4" w:rsidRDefault="005E7DF4" w:rsidP="005E7DF4">
      <w:pPr>
        <w:pStyle w:val="Caption"/>
        <w:jc w:val="center"/>
      </w:pPr>
      <w:bookmarkStart w:id="10" w:name="_Ref47692306"/>
      <w:r w:rsidRPr="00605A2C">
        <w:rPr>
          <w:noProof/>
        </w:rPr>
        <w:drawing>
          <wp:inline distT="0" distB="0" distL="0" distR="0" wp14:anchorId="238BF8CB" wp14:editId="4BD44EF9">
            <wp:extent cx="6457950" cy="16891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6457950" cy="1689100"/>
                    </a:xfrm>
                    <a:prstGeom prst="rect">
                      <a:avLst/>
                    </a:prstGeom>
                    <a:noFill/>
                    <a:ln>
                      <a:noFill/>
                    </a:ln>
                  </pic:spPr>
                </pic:pic>
              </a:graphicData>
            </a:graphic>
          </wp:inline>
        </w:drawing>
      </w:r>
    </w:p>
    <w:p w14:paraId="7982A0A1" w14:textId="77BB14C9" w:rsidR="005E7DF4" w:rsidRDefault="005E7DF4" w:rsidP="005E7DF4">
      <w:pPr>
        <w:pStyle w:val="Caption"/>
        <w:jc w:val="center"/>
        <w:rPr>
          <w:lang w:val="en-US"/>
        </w:rPr>
      </w:pPr>
      <w:r>
        <w:t xml:space="preserve">Figure </w:t>
      </w:r>
      <w:r>
        <w:fldChar w:fldCharType="begin"/>
      </w:r>
      <w:r>
        <w:instrText xml:space="preserve"> SEQ Figure \* ARABIC </w:instrText>
      </w:r>
      <w:r>
        <w:fldChar w:fldCharType="separate"/>
      </w:r>
      <w:r w:rsidR="00D71083">
        <w:rPr>
          <w:noProof/>
        </w:rPr>
        <w:t>14</w:t>
      </w:r>
      <w:r>
        <w:fldChar w:fldCharType="end"/>
      </w:r>
      <w:bookmarkEnd w:id="10"/>
      <w:r>
        <w:t>: Static TX beam mapping for beam indication with MAC-CE based TCI update</w:t>
      </w:r>
    </w:p>
    <w:p w14:paraId="23594CAE" w14:textId="77777777" w:rsidR="005E7DF4" w:rsidRDefault="005E7DF4" w:rsidP="005E7DF4">
      <w:r>
        <w:rPr>
          <w:lang w:val="en-US"/>
        </w:rPr>
        <w:t xml:space="preserve">From the figure it is evident the static beam mapping to resources requires TCI state update based on MAC-CE activation for change in TX beam or spatial relation information (or new UL TCI) update for uplink beam changes. </w:t>
      </w:r>
      <w:r>
        <w:t>It is possible to further refine the beam indication mechanism to reduce the latency of multiple TCI state switches and to minimize MAC-CE based TCI state updates as much as possible. To this end, we propose the following dynamic beam indication and tracking mechanisms wherein the process of beam refinement at gNB and UE can be combined with the help of flexible beam mapping.</w:t>
      </w:r>
    </w:p>
    <w:p w14:paraId="33DF835B" w14:textId="77777777" w:rsidR="005E7DF4" w:rsidRDefault="005E7DF4" w:rsidP="005E7DF4">
      <w:pPr>
        <w:jc w:val="center"/>
      </w:pPr>
      <w:r w:rsidRPr="00B352CE">
        <w:rPr>
          <w:noProof/>
        </w:rPr>
        <w:lastRenderedPageBreak/>
        <w:drawing>
          <wp:inline distT="0" distB="0" distL="0" distR="0" wp14:anchorId="2AE68E62" wp14:editId="69F11CF7">
            <wp:extent cx="4961255" cy="2333625"/>
            <wp:effectExtent l="0" t="0" r="0" b="952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4961255" cy="2333625"/>
                    </a:xfrm>
                    <a:prstGeom prst="rect">
                      <a:avLst/>
                    </a:prstGeom>
                    <a:noFill/>
                    <a:ln>
                      <a:noFill/>
                    </a:ln>
                  </pic:spPr>
                </pic:pic>
              </a:graphicData>
            </a:graphic>
          </wp:inline>
        </w:drawing>
      </w:r>
    </w:p>
    <w:p w14:paraId="20BF133A" w14:textId="682F786D" w:rsidR="005E7DF4" w:rsidRDefault="005E7DF4" w:rsidP="005E7DF4">
      <w:pPr>
        <w:pStyle w:val="Caption"/>
        <w:jc w:val="center"/>
      </w:pPr>
      <w:r>
        <w:t xml:space="preserve">Figure </w:t>
      </w:r>
      <w:r>
        <w:fldChar w:fldCharType="begin"/>
      </w:r>
      <w:r>
        <w:instrText xml:space="preserve"> SEQ Figure \* ARABIC </w:instrText>
      </w:r>
      <w:r>
        <w:fldChar w:fldCharType="separate"/>
      </w:r>
      <w:r w:rsidR="00D71083">
        <w:rPr>
          <w:noProof/>
        </w:rPr>
        <w:t>15</w:t>
      </w:r>
      <w:r>
        <w:fldChar w:fldCharType="end"/>
      </w:r>
      <w:r>
        <w:t>: CSI-RS and SRS based beam tracking</w:t>
      </w:r>
    </w:p>
    <w:p w14:paraId="5D515164" w14:textId="77777777" w:rsidR="005E7DF4" w:rsidRDefault="005E7DF4" w:rsidP="005E7DF4">
      <w:r>
        <w:t>In the first method P3 and U3 procedures are used for beam tracking and updates, based assumptions of beam correspondence. In this case, the gNB initiates P3 based on CSI-RS with repetition. The UE uses this to update UE Rx (Tx) beam and then transmits SRS for U3 where the gNB updates Rx (Tx) beams. Based on this procedure, the gNB updates the CSI-RS Tx beam and the UE updates the Rx beam for TCI state and Tx beam spatial relation update. No additional signalling is needed to indicate the updated beam.</w:t>
      </w:r>
    </w:p>
    <w:p w14:paraId="13AC4172" w14:textId="77777777" w:rsidR="005E7DF4" w:rsidRDefault="005E7DF4" w:rsidP="005E7DF4">
      <w:pPr>
        <w:keepNext/>
        <w:jc w:val="center"/>
      </w:pPr>
      <w:r w:rsidRPr="00E621DD">
        <w:rPr>
          <w:noProof/>
        </w:rPr>
        <w:drawing>
          <wp:inline distT="0" distB="0" distL="0" distR="0" wp14:anchorId="61F127FD" wp14:editId="7B980334">
            <wp:extent cx="6301829" cy="2406832"/>
            <wp:effectExtent l="0" t="0" r="3810" b="0"/>
            <wp:docPr id="6" name="Picture 5">
              <a:extLst xmlns:a="http://schemas.openxmlformats.org/drawingml/2006/main">
                <a:ext uri="{FF2B5EF4-FFF2-40B4-BE49-F238E27FC236}">
                  <a16:creationId xmlns:a16="http://schemas.microsoft.com/office/drawing/2014/main" id="{4776268E-E53B-447F-A0DB-779E7078456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4776268E-E53B-447F-A0DB-779E70784562}"/>
                        </a:ext>
                      </a:extLst>
                    </pic:cNvPr>
                    <pic:cNvPicPr>
                      <a:picLocks noChangeAspect="1"/>
                    </pic:cNvPicPr>
                  </pic:nvPicPr>
                  <pic:blipFill>
                    <a:blip r:embed="rId41"/>
                    <a:stretch>
                      <a:fillRect/>
                    </a:stretch>
                  </pic:blipFill>
                  <pic:spPr>
                    <a:xfrm>
                      <a:off x="0" y="0"/>
                      <a:ext cx="6301829" cy="2406832"/>
                    </a:xfrm>
                    <a:prstGeom prst="rect">
                      <a:avLst/>
                    </a:prstGeom>
                  </pic:spPr>
                </pic:pic>
              </a:graphicData>
            </a:graphic>
          </wp:inline>
        </w:drawing>
      </w:r>
    </w:p>
    <w:p w14:paraId="52577D44" w14:textId="2DDD1E3C" w:rsidR="005E7DF4" w:rsidRDefault="005E7DF4" w:rsidP="005E7DF4">
      <w:pPr>
        <w:pStyle w:val="Caption"/>
        <w:jc w:val="center"/>
      </w:pPr>
      <w:r>
        <w:t xml:space="preserve">Figure </w:t>
      </w:r>
      <w:r>
        <w:fldChar w:fldCharType="begin"/>
      </w:r>
      <w:r>
        <w:instrText xml:space="preserve"> SEQ Figure \* ARABIC </w:instrText>
      </w:r>
      <w:r>
        <w:fldChar w:fldCharType="separate"/>
      </w:r>
      <w:r w:rsidR="00D71083">
        <w:rPr>
          <w:noProof/>
        </w:rPr>
        <w:t>16</w:t>
      </w:r>
      <w:r>
        <w:fldChar w:fldCharType="end"/>
      </w:r>
      <w:r>
        <w:t>: CSI-RS and CRI based beam tracking</w:t>
      </w:r>
    </w:p>
    <w:p w14:paraId="016D8528" w14:textId="77777777" w:rsidR="005E7DF4" w:rsidRDefault="005E7DF4" w:rsidP="005E7DF4">
      <w:pPr>
        <w:rPr>
          <w:lang w:val="en-US"/>
        </w:rPr>
      </w:pPr>
      <w:r>
        <w:rPr>
          <w:lang w:val="en-US"/>
        </w:rPr>
        <w:t xml:space="preserve">In the second proposed method, P3 and P3 procedures are used. The gNB initiates CSI-RS based P2 procedure and the UE reports CRI after gNB Tx (Rx) beam acquisition. Based on this CRI, the gNB initiates P3 procedure using CSI-RS with repetition for the UE to update the Rx (Tx) beam. The UE is not expected to signal the choice of selected beam to gNB. These procedures make use of flexible beam mapping to the same TCI states and therefore reduce indication and tracking latency by foregoing the need for MAC-CE update of TCI states. </w:t>
      </w:r>
    </w:p>
    <w:p w14:paraId="6199EEC6" w14:textId="77777777" w:rsidR="005E7DF4" w:rsidRDefault="005E7DF4" w:rsidP="005E7DF4">
      <w:pPr>
        <w:rPr>
          <w:lang w:val="en-US"/>
        </w:rPr>
      </w:pPr>
      <w:r w:rsidRPr="00A657D8">
        <w:rPr>
          <w:lang w:val="en-US"/>
        </w:rPr>
        <w:t>The SRS based scheme requires 1 DL-UL switch and the CRI based scheme requires 1 DL-UL and 1 UL-DL switch and avoids MAC-CE signaling. Scheduling offset for AP CSI-RS is required for P3 procedure in</w:t>
      </w:r>
      <w:r>
        <w:rPr>
          <w:lang w:val="en-US"/>
        </w:rPr>
        <w:t xml:space="preserve"> both the schemes. For the </w:t>
      </w:r>
      <w:r w:rsidRPr="00535A20">
        <w:t>SRS based scheme</w:t>
      </w:r>
      <w:r>
        <w:t>,</w:t>
      </w:r>
      <w:r w:rsidRPr="00535A20">
        <w:t xml:space="preserve"> </w:t>
      </w:r>
      <w:r w:rsidRPr="00535A20">
        <w:rPr>
          <w:i/>
          <w:iCs/>
        </w:rPr>
        <w:t>SRS-spatialrelationInfo</w:t>
      </w:r>
      <w:r w:rsidRPr="00535A20">
        <w:t xml:space="preserve"> is configured and PUSCH/PUCCH/SRS follows spatial filter of the SRS resource of configured spatial relation information</w:t>
      </w:r>
      <w:r>
        <w:t xml:space="preserve">. For the </w:t>
      </w:r>
      <w:r w:rsidRPr="00535A20">
        <w:rPr>
          <w:lang w:val="en-US"/>
        </w:rPr>
        <w:t>CRI based scheme</w:t>
      </w:r>
      <w:r>
        <w:rPr>
          <w:lang w:val="en-US"/>
        </w:rPr>
        <w:t>,</w:t>
      </w:r>
      <w:r w:rsidRPr="00535A20">
        <w:rPr>
          <w:lang w:val="en-US"/>
        </w:rPr>
        <w:t xml:space="preserve"> </w:t>
      </w:r>
      <w:r w:rsidRPr="00535A20">
        <w:rPr>
          <w:i/>
          <w:iCs/>
          <w:lang w:val="en-US"/>
        </w:rPr>
        <w:t>PUCCH/SRS-spatialRelationInfo</w:t>
      </w:r>
      <w:r w:rsidRPr="00535A20">
        <w:rPr>
          <w:lang w:val="en-US"/>
        </w:rPr>
        <w:t xml:space="preserve"> is not configured. PUCCH/PUSCH/SRS follows the QCL-D of the TCI state of configured CORESET with lowest index.</w:t>
      </w:r>
    </w:p>
    <w:p w14:paraId="696A1851" w14:textId="77777777" w:rsidR="005E7DF4" w:rsidRDefault="005E7DF4" w:rsidP="005E7DF4">
      <w:pPr>
        <w:rPr>
          <w:lang w:val="en-US"/>
        </w:rPr>
      </w:pPr>
      <w:r w:rsidRPr="006A6AFA">
        <w:rPr>
          <w:lang w:val="en-US"/>
        </w:rPr>
        <w:t>For flexible beam tracking MAC-CE based update of TCI states can be performed</w:t>
      </w:r>
      <w:r>
        <w:rPr>
          <w:lang w:val="en-US"/>
        </w:rPr>
        <w:t>. The u</w:t>
      </w:r>
      <w:r w:rsidRPr="006A6AFA">
        <w:rPr>
          <w:lang w:val="en-US"/>
        </w:rPr>
        <w:t xml:space="preserve">pdate is based on </w:t>
      </w:r>
      <w:r>
        <w:rPr>
          <w:lang w:val="en-US"/>
        </w:rPr>
        <w:t xml:space="preserve">hierarchical beam management where the </w:t>
      </w:r>
      <w:r w:rsidRPr="006A6AFA">
        <w:rPr>
          <w:lang w:val="en-US"/>
        </w:rPr>
        <w:t>UE measure</w:t>
      </w:r>
      <w:r>
        <w:rPr>
          <w:lang w:val="en-US"/>
        </w:rPr>
        <w:t>s</w:t>
      </w:r>
      <w:r w:rsidRPr="006A6AFA">
        <w:rPr>
          <w:lang w:val="en-US"/>
        </w:rPr>
        <w:t xml:space="preserve"> </w:t>
      </w:r>
      <w:r>
        <w:rPr>
          <w:lang w:val="en-US"/>
        </w:rPr>
        <w:t xml:space="preserve">L1-RSRP </w:t>
      </w:r>
      <w:r w:rsidRPr="006A6AFA">
        <w:rPr>
          <w:lang w:val="en-US"/>
        </w:rPr>
        <w:t>on SS/PBCH block and report</w:t>
      </w:r>
      <w:r>
        <w:rPr>
          <w:lang w:val="en-US"/>
        </w:rPr>
        <w:t>s a SSB-R</w:t>
      </w:r>
      <w:r w:rsidRPr="006A6AFA">
        <w:rPr>
          <w:lang w:val="en-US"/>
        </w:rPr>
        <w:t>I</w:t>
      </w:r>
      <w:r>
        <w:rPr>
          <w:lang w:val="en-US"/>
        </w:rPr>
        <w:t xml:space="preserve">. </w:t>
      </w:r>
      <w:r w:rsidRPr="006A6AFA">
        <w:rPr>
          <w:lang w:val="en-US"/>
        </w:rPr>
        <w:t xml:space="preserve">The gNB can update the active TCI </w:t>
      </w:r>
      <w:r w:rsidRPr="006A6AFA">
        <w:rPr>
          <w:lang w:val="en-US"/>
        </w:rPr>
        <w:lastRenderedPageBreak/>
        <w:t>state list of CSI-RS resource with the target SS/PBCH blocks</w:t>
      </w:r>
      <w:r>
        <w:rPr>
          <w:lang w:val="en-US"/>
        </w:rPr>
        <w:t xml:space="preserve">. </w:t>
      </w:r>
      <w:r w:rsidRPr="006A6AFA">
        <w:rPr>
          <w:lang w:val="en-US"/>
        </w:rPr>
        <w:t>This can help the UE to keep track of the CSI-RS QCL Type D with respect to the SS/PBCH blocks</w:t>
      </w:r>
      <w:r>
        <w:rPr>
          <w:lang w:val="en-US"/>
        </w:rPr>
        <w:t xml:space="preserve"> without actually changing the TCI state. </w:t>
      </w:r>
    </w:p>
    <w:p w14:paraId="2633C06E" w14:textId="77777777" w:rsidR="005E7DF4" w:rsidRDefault="005E7DF4" w:rsidP="005E7DF4">
      <w:pPr>
        <w:keepNext/>
        <w:jc w:val="center"/>
      </w:pPr>
      <w:r w:rsidRPr="006A6AFA">
        <w:rPr>
          <w:noProof/>
        </w:rPr>
        <w:drawing>
          <wp:inline distT="0" distB="0" distL="0" distR="0" wp14:anchorId="11BFCA1E" wp14:editId="05B9ADDB">
            <wp:extent cx="3643952" cy="1696944"/>
            <wp:effectExtent l="0" t="0" r="0" b="0"/>
            <wp:docPr id="21" name="Picture 6">
              <a:extLst xmlns:a="http://schemas.openxmlformats.org/drawingml/2006/main">
                <a:ext uri="{FF2B5EF4-FFF2-40B4-BE49-F238E27FC236}">
                  <a16:creationId xmlns:a16="http://schemas.microsoft.com/office/drawing/2014/main" id="{D1512B73-590A-4819-B157-700889CC4FE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a:extLst>
                        <a:ext uri="{FF2B5EF4-FFF2-40B4-BE49-F238E27FC236}">
                          <a16:creationId xmlns:a16="http://schemas.microsoft.com/office/drawing/2014/main" id="{D1512B73-590A-4819-B157-700889CC4FE4}"/>
                        </a:ext>
                      </a:extLst>
                    </pic:cNvPr>
                    <pic:cNvPicPr>
                      <a:picLocks noChangeAspect="1"/>
                    </pic:cNvPicPr>
                  </pic:nvPicPr>
                  <pic:blipFill>
                    <a:blip r:embed="rId42"/>
                    <a:stretch>
                      <a:fillRect/>
                    </a:stretch>
                  </pic:blipFill>
                  <pic:spPr>
                    <a:xfrm>
                      <a:off x="0" y="0"/>
                      <a:ext cx="3656877" cy="1702963"/>
                    </a:xfrm>
                    <a:prstGeom prst="rect">
                      <a:avLst/>
                    </a:prstGeom>
                  </pic:spPr>
                </pic:pic>
              </a:graphicData>
            </a:graphic>
          </wp:inline>
        </w:drawing>
      </w:r>
    </w:p>
    <w:p w14:paraId="2A6A101B" w14:textId="30BFB387" w:rsidR="005E7DF4" w:rsidRDefault="005E7DF4" w:rsidP="005E7DF4">
      <w:pPr>
        <w:pStyle w:val="Caption"/>
        <w:jc w:val="center"/>
      </w:pPr>
      <w:r>
        <w:t xml:space="preserve">Figure </w:t>
      </w:r>
      <w:r>
        <w:fldChar w:fldCharType="begin"/>
      </w:r>
      <w:r>
        <w:instrText xml:space="preserve"> SEQ Figure \* ARABIC </w:instrText>
      </w:r>
      <w:r>
        <w:fldChar w:fldCharType="separate"/>
      </w:r>
      <w:r w:rsidR="00D71083">
        <w:rPr>
          <w:noProof/>
        </w:rPr>
        <w:t>17</w:t>
      </w:r>
      <w:r>
        <w:fldChar w:fldCharType="end"/>
      </w:r>
      <w:r>
        <w:t>: TCI State update for CSI-RS for flexible beam mapping</w:t>
      </w:r>
    </w:p>
    <w:p w14:paraId="41F8B4F9" w14:textId="77777777" w:rsidR="005E7DF4" w:rsidRPr="00535A20" w:rsidRDefault="005E7DF4" w:rsidP="005E7DF4">
      <w:pPr>
        <w:rPr>
          <w:lang w:val="en-US"/>
        </w:rPr>
      </w:pPr>
    </w:p>
    <w:p w14:paraId="7D439423" w14:textId="1D7D3727" w:rsidR="005E7DF4" w:rsidRPr="00A77D4F" w:rsidRDefault="005E7DF4" w:rsidP="005E7DF4">
      <w:pPr>
        <w:rPr>
          <w:b/>
          <w:bCs/>
          <w:i/>
          <w:iCs/>
          <w:lang w:val="en-US"/>
        </w:rPr>
      </w:pPr>
      <w:bookmarkStart w:id="11" w:name="_Hlk47731982"/>
      <w:r w:rsidRPr="00A77D4F">
        <w:rPr>
          <w:b/>
          <w:bCs/>
          <w:i/>
          <w:iCs/>
          <w:lang w:val="en-US"/>
        </w:rPr>
        <w:t>Proposal</w:t>
      </w:r>
      <w:r w:rsidR="00F5037F">
        <w:rPr>
          <w:b/>
          <w:bCs/>
          <w:i/>
          <w:iCs/>
          <w:lang w:val="en-US"/>
        </w:rPr>
        <w:t xml:space="preserve"> </w:t>
      </w:r>
      <w:r w:rsidR="00D409A2">
        <w:rPr>
          <w:b/>
          <w:bCs/>
          <w:i/>
          <w:iCs/>
          <w:lang w:val="en-US"/>
        </w:rPr>
        <w:t>2</w:t>
      </w:r>
      <w:r w:rsidR="00A50A9E">
        <w:rPr>
          <w:b/>
          <w:bCs/>
          <w:i/>
          <w:iCs/>
          <w:lang w:val="en-US"/>
        </w:rPr>
        <w:t>3</w:t>
      </w:r>
      <w:r w:rsidRPr="00A77D4F">
        <w:rPr>
          <w:b/>
          <w:bCs/>
          <w:i/>
          <w:iCs/>
          <w:lang w:val="en-US"/>
        </w:rPr>
        <w:t xml:space="preserve">: SRS/CRI based flexible beam mapping can be used to reduce beam refinement and tracking latency. </w:t>
      </w:r>
    </w:p>
    <w:bookmarkEnd w:id="11"/>
    <w:p w14:paraId="79F4FCB6" w14:textId="79752CD8" w:rsidR="00C24399" w:rsidRPr="009C2192" w:rsidRDefault="00217F1F" w:rsidP="00D3591E">
      <w:pPr>
        <w:pStyle w:val="Heading1"/>
        <w:pBdr>
          <w:top w:val="single" w:sz="12" w:space="4" w:color="auto"/>
        </w:pBdr>
        <w:ind w:left="0" w:firstLine="0"/>
        <w:rPr>
          <w:lang w:val="en-US"/>
        </w:rPr>
      </w:pPr>
      <w:r w:rsidRPr="009C2192">
        <w:rPr>
          <w:rFonts w:cs="Arial"/>
          <w:sz w:val="32"/>
          <w:szCs w:val="18"/>
          <w:lang w:val="en-US"/>
        </w:rPr>
        <w:t>Conclusion</w:t>
      </w:r>
    </w:p>
    <w:p w14:paraId="37B127FD" w14:textId="38BFA346" w:rsidR="00C62484" w:rsidRDefault="00217F1F" w:rsidP="00837927">
      <w:pPr>
        <w:rPr>
          <w:lang w:val="en-US"/>
        </w:rPr>
      </w:pPr>
      <w:r>
        <w:rPr>
          <w:lang w:val="en-US"/>
        </w:rPr>
        <w:t xml:space="preserve">In this paper, beam management enhancement for Rel-17 feMIMO has been discussed. </w:t>
      </w:r>
      <w:r w:rsidR="00C97AB0">
        <w:rPr>
          <w:lang w:val="en-US"/>
        </w:rPr>
        <w:t xml:space="preserve">The main proposals </w:t>
      </w:r>
      <w:r w:rsidR="00F23D65">
        <w:rPr>
          <w:lang w:val="en-US"/>
        </w:rPr>
        <w:t>from this paper are outlined here:</w:t>
      </w:r>
    </w:p>
    <w:p w14:paraId="5D1B9C94" w14:textId="53E5CFA6" w:rsidR="00415EC0" w:rsidRDefault="00415EC0" w:rsidP="00415EC0">
      <w:pPr>
        <w:rPr>
          <w:b/>
          <w:bCs/>
          <w:i/>
          <w:iCs/>
        </w:rPr>
      </w:pPr>
      <w:r w:rsidRPr="00415EC0">
        <w:rPr>
          <w:b/>
          <w:bCs/>
          <w:i/>
          <w:iCs/>
        </w:rPr>
        <w:t>Proposals:</w:t>
      </w:r>
    </w:p>
    <w:p w14:paraId="5C51C026" w14:textId="77777777" w:rsidR="00DD6F53" w:rsidRPr="006D57B6" w:rsidRDefault="00DD6F53" w:rsidP="00DD6F53">
      <w:pPr>
        <w:pStyle w:val="ListParagraph"/>
        <w:numPr>
          <w:ilvl w:val="0"/>
          <w:numId w:val="49"/>
        </w:numPr>
        <w:spacing w:after="160" w:line="256" w:lineRule="auto"/>
        <w:contextualSpacing/>
        <w:rPr>
          <w:b/>
          <w:bCs/>
          <w:i w:val="0"/>
          <w:iCs w:val="0"/>
          <w:u w:val="single"/>
        </w:rPr>
      </w:pPr>
      <w:r w:rsidRPr="00E73775">
        <w:rPr>
          <w:b/>
          <w:bCs/>
          <w:i w:val="0"/>
          <w:iCs w:val="0"/>
        </w:rPr>
        <w:t>For UL PC parameters other than PL-RS a channel dependent setting of P0, alpha and closed loop index should be configured per TCI state</w:t>
      </w:r>
    </w:p>
    <w:p w14:paraId="47455ED3" w14:textId="77777777" w:rsidR="00DD6F53" w:rsidRPr="009252E7" w:rsidRDefault="00DD6F53" w:rsidP="00DD6F53">
      <w:pPr>
        <w:pStyle w:val="ListParagraph"/>
        <w:numPr>
          <w:ilvl w:val="0"/>
          <w:numId w:val="49"/>
        </w:numPr>
        <w:spacing w:after="160" w:line="256" w:lineRule="auto"/>
        <w:contextualSpacing/>
        <w:rPr>
          <w:b/>
          <w:bCs/>
          <w:i w:val="0"/>
          <w:iCs w:val="0"/>
          <w:u w:val="single"/>
        </w:rPr>
      </w:pPr>
      <w:r w:rsidRPr="00A2766C">
        <w:rPr>
          <w:b/>
          <w:bCs/>
          <w:i w:val="0"/>
          <w:iCs w:val="0"/>
        </w:rPr>
        <w:t>For PL-RS CSI RS for CSI acquisition is precluded</w:t>
      </w:r>
    </w:p>
    <w:p w14:paraId="4B53A981" w14:textId="77777777" w:rsidR="00DD6F53" w:rsidRPr="00FD6737" w:rsidRDefault="00DD6F53" w:rsidP="00DD6F53">
      <w:pPr>
        <w:pStyle w:val="ListParagraph"/>
        <w:numPr>
          <w:ilvl w:val="0"/>
          <w:numId w:val="49"/>
        </w:numPr>
        <w:spacing w:after="160" w:line="256" w:lineRule="auto"/>
        <w:contextualSpacing/>
        <w:rPr>
          <w:b/>
          <w:bCs/>
          <w:i w:val="0"/>
          <w:iCs w:val="0"/>
          <w:u w:val="single"/>
        </w:rPr>
      </w:pPr>
      <w:r w:rsidRPr="001C222D">
        <w:rPr>
          <w:b/>
          <w:bCs/>
        </w:rPr>
        <w:t>CSI-RS resources for CSI, CSI-RS resources for BM</w:t>
      </w:r>
      <w:r>
        <w:rPr>
          <w:b/>
          <w:bCs/>
          <w:i w:val="0"/>
          <w:iCs w:val="0"/>
        </w:rPr>
        <w:t xml:space="preserve"> with repetition ON,</w:t>
      </w:r>
      <w:r w:rsidRPr="001C222D">
        <w:rPr>
          <w:b/>
          <w:bCs/>
        </w:rPr>
        <w:t xml:space="preserve"> </w:t>
      </w:r>
      <w:r>
        <w:rPr>
          <w:b/>
          <w:bCs/>
          <w:i w:val="0"/>
          <w:iCs w:val="0"/>
        </w:rPr>
        <w:t xml:space="preserve">aperiodic CSI-RS and </w:t>
      </w:r>
      <w:r w:rsidRPr="001C222D">
        <w:rPr>
          <w:b/>
          <w:bCs/>
        </w:rPr>
        <w:t>CSI-RS for tracking</w:t>
      </w:r>
      <w:r>
        <w:rPr>
          <w:b/>
          <w:bCs/>
          <w:i w:val="0"/>
          <w:iCs w:val="0"/>
        </w:rPr>
        <w:t xml:space="preserve"> can share the same Rel-17 DL or joint DL/UL TCI state as the PDSCH and all or a subset of CORESETs in a CC</w:t>
      </w:r>
    </w:p>
    <w:p w14:paraId="639AA66F" w14:textId="77777777" w:rsidR="00DD6F53" w:rsidRPr="00FD6737" w:rsidRDefault="00DD6F53" w:rsidP="00DD6F53">
      <w:pPr>
        <w:pStyle w:val="ListParagraph"/>
        <w:numPr>
          <w:ilvl w:val="0"/>
          <w:numId w:val="49"/>
        </w:numPr>
        <w:spacing w:after="160" w:line="256" w:lineRule="auto"/>
        <w:contextualSpacing/>
        <w:rPr>
          <w:b/>
          <w:bCs/>
        </w:rPr>
      </w:pPr>
      <w:r w:rsidRPr="00FD6737">
        <w:rPr>
          <w:rFonts w:eastAsia="Batang"/>
          <w:b/>
          <w:bCs/>
        </w:rPr>
        <w:t>SRS resources or resource sets for BM can share the same indicated Rel-17 TCI state as dynamic-grant or configured-grant based PUSCH, all or subset of dedicated PUCCH resources in a CC</w:t>
      </w:r>
    </w:p>
    <w:p w14:paraId="3EEFD1BB" w14:textId="77777777" w:rsidR="00DD6F53" w:rsidRPr="002F66F3" w:rsidRDefault="00DD6F53" w:rsidP="00DD6F53">
      <w:pPr>
        <w:pStyle w:val="ListParagraph"/>
        <w:numPr>
          <w:ilvl w:val="0"/>
          <w:numId w:val="49"/>
        </w:numPr>
        <w:spacing w:after="160" w:line="256" w:lineRule="auto"/>
        <w:contextualSpacing/>
        <w:rPr>
          <w:b/>
          <w:bCs/>
          <w:i w:val="0"/>
          <w:iCs w:val="0"/>
          <w:u w:val="single"/>
        </w:rPr>
      </w:pPr>
      <w:r>
        <w:rPr>
          <w:b/>
          <w:bCs/>
          <w:i w:val="0"/>
          <w:iCs w:val="0"/>
        </w:rPr>
        <w:t>For DL RSs that cannot share the same indicated TCI state as the PDSCH and all or subset of CORESETs in a CC, Alt. 2 is adopted.</w:t>
      </w:r>
    </w:p>
    <w:p w14:paraId="114DD1DF" w14:textId="77777777" w:rsidR="00DD6F53" w:rsidRPr="00711DC8" w:rsidRDefault="00DD6F53" w:rsidP="00DD6F53">
      <w:pPr>
        <w:pStyle w:val="ListParagraph"/>
        <w:numPr>
          <w:ilvl w:val="0"/>
          <w:numId w:val="49"/>
        </w:numPr>
        <w:spacing w:after="160" w:line="256" w:lineRule="auto"/>
        <w:contextualSpacing/>
        <w:rPr>
          <w:b/>
          <w:bCs/>
          <w:i w:val="0"/>
          <w:iCs w:val="0"/>
          <w:u w:val="single"/>
        </w:rPr>
      </w:pPr>
      <w:r w:rsidRPr="009166EE">
        <w:rPr>
          <w:b/>
          <w:bCs/>
        </w:rPr>
        <w:t>SSB is not required to be supported as an additional DL QCL source RS for the unified TCI framework.</w:t>
      </w:r>
    </w:p>
    <w:p w14:paraId="717910CE" w14:textId="77777777" w:rsidR="00DD6F53" w:rsidRDefault="00DD6F53" w:rsidP="00DD6F53">
      <w:pPr>
        <w:pStyle w:val="bullet1"/>
        <w:numPr>
          <w:ilvl w:val="0"/>
          <w:numId w:val="49"/>
        </w:numPr>
        <w:rPr>
          <w:b/>
          <w:bCs/>
          <w:i/>
          <w:iCs/>
          <w:lang w:val="en-US"/>
        </w:rPr>
      </w:pPr>
      <w:r>
        <w:rPr>
          <w:b/>
          <w:bCs/>
          <w:i/>
          <w:iCs/>
        </w:rPr>
        <w:t xml:space="preserve">SRS for BM is not </w:t>
      </w:r>
      <w:r w:rsidRPr="009166EE">
        <w:rPr>
          <w:b/>
          <w:bCs/>
          <w:i/>
          <w:iCs/>
          <w:lang w:val="en-US"/>
        </w:rPr>
        <w:t>is not required to be supported as an additional DL QCL source RS for the unified TCI framework.</w:t>
      </w:r>
    </w:p>
    <w:p w14:paraId="4C86A2E6" w14:textId="77777777" w:rsidR="00DD6F53" w:rsidRPr="00D40A12" w:rsidRDefault="00DD6F53" w:rsidP="00DD6F53">
      <w:pPr>
        <w:pStyle w:val="ListParagraph"/>
        <w:numPr>
          <w:ilvl w:val="0"/>
          <w:numId w:val="49"/>
        </w:numPr>
        <w:spacing w:after="160" w:line="256" w:lineRule="auto"/>
        <w:contextualSpacing/>
        <w:rPr>
          <w:b/>
          <w:bCs/>
          <w:i w:val="0"/>
          <w:iCs w:val="0"/>
          <w:u w:val="single"/>
        </w:rPr>
      </w:pPr>
      <w:r w:rsidRPr="00412437">
        <w:rPr>
          <w:b/>
          <w:bCs/>
          <w:i w:val="0"/>
          <w:iCs w:val="0"/>
        </w:rPr>
        <w:t>For SRS antenna switching, in addition to Rel-17 joint DL/UL TCI state, also support separate DL TCI state to guarantee the channel reciprocity for CSI measurement.</w:t>
      </w:r>
    </w:p>
    <w:p w14:paraId="64243954" w14:textId="77777777" w:rsidR="00DD6F53" w:rsidRPr="005C77CE" w:rsidRDefault="00DD6F53" w:rsidP="00DD6F53">
      <w:pPr>
        <w:pStyle w:val="ListParagraph"/>
        <w:numPr>
          <w:ilvl w:val="0"/>
          <w:numId w:val="49"/>
        </w:numPr>
        <w:spacing w:after="160" w:line="256" w:lineRule="auto"/>
        <w:contextualSpacing/>
        <w:rPr>
          <w:b/>
          <w:bCs/>
          <w:i w:val="0"/>
          <w:iCs w:val="0"/>
          <w:u w:val="single"/>
        </w:rPr>
      </w:pPr>
      <w:r w:rsidRPr="007E70BE">
        <w:rPr>
          <w:b/>
          <w:bCs/>
          <w:i w:val="0"/>
          <w:iCs w:val="0"/>
        </w:rPr>
        <w:t>M, N&gt;1 should only be considered for multi-DCI multi-TRP where each TCI state is associated with a CORESETPoolIndex.</w:t>
      </w:r>
    </w:p>
    <w:p w14:paraId="5CB83B4F" w14:textId="77777777" w:rsidR="00DD6F53" w:rsidRPr="0004282F" w:rsidRDefault="00DD6F53" w:rsidP="00DD6F53">
      <w:pPr>
        <w:pStyle w:val="ListParagraph"/>
        <w:numPr>
          <w:ilvl w:val="0"/>
          <w:numId w:val="49"/>
        </w:numPr>
        <w:spacing w:after="160" w:line="256" w:lineRule="auto"/>
        <w:contextualSpacing/>
        <w:rPr>
          <w:b/>
          <w:bCs/>
          <w:i w:val="0"/>
          <w:iCs w:val="0"/>
          <w:u w:val="single"/>
        </w:rPr>
      </w:pPr>
      <w:r>
        <w:rPr>
          <w:b/>
          <w:bCs/>
        </w:rPr>
        <w:t>Separate</w:t>
      </w:r>
      <w:r w:rsidRPr="00DA4406">
        <w:rPr>
          <w:b/>
          <w:bCs/>
        </w:rPr>
        <w:t xml:space="preserve"> UL TCI states</w:t>
      </w:r>
      <w:r>
        <w:rPr>
          <w:b/>
          <w:bCs/>
        </w:rPr>
        <w:t xml:space="preserve"> and joint DL/UL TCI states</w:t>
      </w:r>
      <w:r w:rsidRPr="00DA4406">
        <w:rPr>
          <w:b/>
          <w:bCs/>
        </w:rPr>
        <w:t xml:space="preserve"> will share the </w:t>
      </w:r>
      <w:r>
        <w:rPr>
          <w:b/>
          <w:bCs/>
        </w:rPr>
        <w:t xml:space="preserve">same TCI state pool as </w:t>
      </w:r>
      <w:r w:rsidRPr="00DA4406">
        <w:rPr>
          <w:b/>
          <w:bCs/>
        </w:rPr>
        <w:t>DL TCI states.</w:t>
      </w:r>
    </w:p>
    <w:p w14:paraId="22C81FD7" w14:textId="77777777" w:rsidR="00DD6F53" w:rsidRPr="00220606" w:rsidRDefault="00DD6F53" w:rsidP="00DD6F53">
      <w:pPr>
        <w:pStyle w:val="ListParagraph"/>
        <w:numPr>
          <w:ilvl w:val="0"/>
          <w:numId w:val="49"/>
        </w:numPr>
        <w:spacing w:after="160" w:line="256" w:lineRule="auto"/>
        <w:contextualSpacing/>
        <w:rPr>
          <w:b/>
          <w:bCs/>
          <w:i w:val="0"/>
          <w:iCs w:val="0"/>
          <w:u w:val="single"/>
        </w:rPr>
      </w:pPr>
      <w:r w:rsidRPr="006C688A">
        <w:rPr>
          <w:b/>
          <w:bCs/>
          <w:lang w:eastAsia="ko-KR"/>
        </w:rPr>
        <w:t xml:space="preserve">TCI state usage can be configured via MAC-CE where the type of TCI state configured to each codepoint is separately configured. </w:t>
      </w:r>
      <w:r>
        <w:rPr>
          <w:b/>
          <w:bCs/>
          <w:lang w:eastAsia="ko-KR"/>
        </w:rPr>
        <w:t xml:space="preserve">The UE when indicated with a TCI codepoint associates the codepoint </w:t>
      </w:r>
      <w:r>
        <w:rPr>
          <w:b/>
          <w:bCs/>
          <w:i w:val="0"/>
          <w:iCs w:val="0"/>
          <w:lang w:eastAsia="ko-KR"/>
        </w:rPr>
        <w:t xml:space="preserve">with </w:t>
      </w:r>
      <w:r>
        <w:rPr>
          <w:b/>
          <w:bCs/>
          <w:lang w:eastAsia="ko-KR"/>
        </w:rPr>
        <w:t>separate DL</w:t>
      </w:r>
      <w:r>
        <w:rPr>
          <w:b/>
          <w:bCs/>
          <w:i w:val="0"/>
          <w:iCs w:val="0"/>
          <w:lang w:eastAsia="ko-KR"/>
        </w:rPr>
        <w:t xml:space="preserve">, separate </w:t>
      </w:r>
      <w:r>
        <w:rPr>
          <w:b/>
          <w:bCs/>
          <w:lang w:eastAsia="ko-KR"/>
        </w:rPr>
        <w:t>UL</w:t>
      </w:r>
      <w:r>
        <w:rPr>
          <w:b/>
          <w:bCs/>
          <w:i w:val="0"/>
          <w:iCs w:val="0"/>
          <w:lang w:eastAsia="ko-KR"/>
        </w:rPr>
        <w:t>, or a separate DL and UL</w:t>
      </w:r>
      <w:r>
        <w:rPr>
          <w:b/>
          <w:bCs/>
          <w:lang w:eastAsia="ko-KR"/>
        </w:rPr>
        <w:t xml:space="preserve"> TCI state based on the MAC-CE configuration for the indicated codepoint.</w:t>
      </w:r>
    </w:p>
    <w:p w14:paraId="727A4249" w14:textId="77777777" w:rsidR="00DD6F53" w:rsidRPr="0033332E" w:rsidRDefault="00DD6F53" w:rsidP="00DD6F53">
      <w:pPr>
        <w:pStyle w:val="ListParagraph"/>
        <w:numPr>
          <w:ilvl w:val="0"/>
          <w:numId w:val="49"/>
        </w:numPr>
        <w:spacing w:after="160" w:line="256" w:lineRule="auto"/>
        <w:contextualSpacing/>
        <w:rPr>
          <w:b/>
          <w:bCs/>
        </w:rPr>
      </w:pPr>
      <w:r w:rsidRPr="0033332E">
        <w:rPr>
          <w:b/>
          <w:bCs/>
        </w:rPr>
        <w:t xml:space="preserve">For DCI based TCI state indication associated with a non-serving cell for L1/L2 centric inter cell mobility, TA should be adjusted for UL transmission where the TAG could be associated with a PCID or a group of TCI states corresponding to a PCID. </w:t>
      </w:r>
    </w:p>
    <w:p w14:paraId="574DD9C9" w14:textId="77777777" w:rsidR="00DD6F53" w:rsidRPr="000F638F" w:rsidRDefault="00DD6F53" w:rsidP="00DD6F53">
      <w:pPr>
        <w:pStyle w:val="ListParagraph"/>
        <w:numPr>
          <w:ilvl w:val="0"/>
          <w:numId w:val="49"/>
        </w:numPr>
        <w:spacing w:after="160" w:line="256" w:lineRule="auto"/>
        <w:contextualSpacing/>
        <w:rPr>
          <w:b/>
          <w:bCs/>
          <w:i w:val="0"/>
          <w:iCs w:val="0"/>
          <w:u w:val="single"/>
        </w:rPr>
      </w:pPr>
      <w:r w:rsidRPr="00A835F0">
        <w:rPr>
          <w:b/>
          <w:bCs/>
          <w:i w:val="0"/>
          <w:iCs w:val="0"/>
        </w:rPr>
        <w:t>SSB and CSI-RS for BM associated with non-serving cell are sufficient for L1-RSRP measurement for L1/L2 based in</w:t>
      </w:r>
      <w:r>
        <w:rPr>
          <w:b/>
          <w:bCs/>
          <w:i w:val="0"/>
          <w:iCs w:val="0"/>
        </w:rPr>
        <w:t>t</w:t>
      </w:r>
      <w:r w:rsidRPr="00A835F0">
        <w:rPr>
          <w:b/>
          <w:bCs/>
          <w:i w:val="0"/>
          <w:iCs w:val="0"/>
        </w:rPr>
        <w:t>er-cell mobility</w:t>
      </w:r>
    </w:p>
    <w:p w14:paraId="60A8EA2E" w14:textId="77777777" w:rsidR="00DD6F53" w:rsidRDefault="00DD6F53" w:rsidP="00DD6F53">
      <w:pPr>
        <w:pStyle w:val="ListParagraph"/>
        <w:numPr>
          <w:ilvl w:val="0"/>
          <w:numId w:val="49"/>
        </w:numPr>
        <w:spacing w:before="240" w:after="160" w:line="256" w:lineRule="auto"/>
        <w:contextualSpacing/>
        <w:rPr>
          <w:b/>
          <w:bCs/>
          <w:i w:val="0"/>
          <w:iCs w:val="0"/>
        </w:rPr>
      </w:pPr>
      <w:r w:rsidRPr="007B3B66">
        <w:rPr>
          <w:b/>
          <w:bCs/>
        </w:rPr>
        <w:lastRenderedPageBreak/>
        <w:t>Both joint and separate TCI states are supported for MAC-CE+DCI based beam indication in the case of Rel-17 L1/L2 centric mobility.</w:t>
      </w:r>
    </w:p>
    <w:p w14:paraId="4B2CD1B5" w14:textId="77777777" w:rsidR="00DD6F53" w:rsidRPr="006F078E" w:rsidRDefault="00DD6F53" w:rsidP="00DD6F53">
      <w:pPr>
        <w:pStyle w:val="ListParagraph"/>
        <w:numPr>
          <w:ilvl w:val="0"/>
          <w:numId w:val="49"/>
        </w:numPr>
        <w:spacing w:before="240" w:after="160" w:line="256" w:lineRule="auto"/>
        <w:contextualSpacing/>
        <w:rPr>
          <w:b/>
          <w:bCs/>
        </w:rPr>
      </w:pPr>
      <w:r w:rsidRPr="006F078E">
        <w:rPr>
          <w:b/>
          <w:bCs/>
        </w:rPr>
        <w:t>For UE event driven L1/L2 centric mobility</w:t>
      </w:r>
    </w:p>
    <w:p w14:paraId="1175F548" w14:textId="77777777" w:rsidR="00DD6F53" w:rsidRPr="00095191" w:rsidRDefault="00DD6F53" w:rsidP="00DD6F53">
      <w:pPr>
        <w:pStyle w:val="ListParagraph"/>
        <w:numPr>
          <w:ilvl w:val="0"/>
          <w:numId w:val="48"/>
        </w:numPr>
        <w:ind w:left="1170" w:hanging="270"/>
        <w:rPr>
          <w:b/>
          <w:bCs/>
        </w:rPr>
      </w:pPr>
      <w:r w:rsidRPr="00095191">
        <w:rPr>
          <w:b/>
          <w:bCs/>
        </w:rPr>
        <w:t>Dedicated PUCCH resource can be configured where UE transmits an SR when L1-RSRP of at least one of the non-serving cell beams exceeds that of the serving cell beam(s) by a threshold</w:t>
      </w:r>
    </w:p>
    <w:p w14:paraId="754F8D8A" w14:textId="77777777" w:rsidR="00DD6F53" w:rsidRDefault="00DD6F53" w:rsidP="00DD6F53">
      <w:pPr>
        <w:pStyle w:val="ListParagraph"/>
        <w:numPr>
          <w:ilvl w:val="0"/>
          <w:numId w:val="48"/>
        </w:numPr>
        <w:ind w:left="1170" w:hanging="270"/>
        <w:rPr>
          <w:b/>
          <w:bCs/>
        </w:rPr>
      </w:pPr>
      <w:r w:rsidRPr="00095191">
        <w:rPr>
          <w:b/>
          <w:bCs/>
        </w:rPr>
        <w:t>On reception of PUCCH SR for mobility, gNB can trigger an aperiodic L1-RSRP report where the UE reports the RS index and the corresponding L1-RSRP for up to K non-serving cell beams</w:t>
      </w:r>
    </w:p>
    <w:p w14:paraId="07F5E4CB" w14:textId="77777777" w:rsidR="00DD6F53" w:rsidRDefault="00DD6F53" w:rsidP="00DD6F53">
      <w:pPr>
        <w:pStyle w:val="ListParagraph"/>
        <w:numPr>
          <w:ilvl w:val="0"/>
          <w:numId w:val="49"/>
        </w:numPr>
        <w:spacing w:line="256" w:lineRule="auto"/>
        <w:contextualSpacing/>
        <w:rPr>
          <w:b/>
          <w:bCs/>
          <w:i w:val="0"/>
          <w:iCs w:val="0"/>
        </w:rPr>
      </w:pPr>
      <w:r w:rsidRPr="0025050A">
        <w:rPr>
          <w:b/>
          <w:bCs/>
        </w:rPr>
        <w:t>For DCI formats 1_1 and 1_2 without DL assignment, the UCI carrying the HARQ feedback should be mapped to high priority HARQ codebook and PUCCH resources associated with priority index 1 when the UE is configured with two priority indexes. If UE is configured with single priority index, the UCI carrying the HARQ feedback for beam indication should be prioritized over other UCI.</w:t>
      </w:r>
    </w:p>
    <w:p w14:paraId="7F56E462" w14:textId="77777777" w:rsidR="00DD6F53" w:rsidRDefault="00DD6F53" w:rsidP="00DD6F53">
      <w:pPr>
        <w:pStyle w:val="ListParagraph"/>
        <w:numPr>
          <w:ilvl w:val="0"/>
          <w:numId w:val="49"/>
        </w:numPr>
        <w:spacing w:line="256" w:lineRule="auto"/>
        <w:contextualSpacing/>
        <w:rPr>
          <w:b/>
          <w:bCs/>
          <w:i w:val="0"/>
          <w:iCs w:val="0"/>
        </w:rPr>
      </w:pPr>
      <w:r w:rsidRPr="0025050A">
        <w:rPr>
          <w:b/>
          <w:bCs/>
        </w:rPr>
        <w:t>For separate UL beam indication using UL TCI state</w:t>
      </w:r>
    </w:p>
    <w:p w14:paraId="43847CFC" w14:textId="77777777" w:rsidR="00DD6F53" w:rsidRDefault="00DD6F53" w:rsidP="00DD6F53">
      <w:pPr>
        <w:pStyle w:val="ListParagraph"/>
        <w:numPr>
          <w:ilvl w:val="1"/>
          <w:numId w:val="50"/>
        </w:numPr>
        <w:spacing w:line="256" w:lineRule="auto"/>
        <w:contextualSpacing/>
        <w:rPr>
          <w:b/>
          <w:bCs/>
          <w:i w:val="0"/>
          <w:iCs w:val="0"/>
        </w:rPr>
      </w:pPr>
      <w:r w:rsidRPr="0025050A">
        <w:rPr>
          <w:b/>
          <w:bCs/>
        </w:rPr>
        <w:t>When current DCI formats are re-used, the TCI state is applicable to all UL signals and channels</w:t>
      </w:r>
    </w:p>
    <w:p w14:paraId="4CBBB347" w14:textId="77777777" w:rsidR="00DD6F53" w:rsidRDefault="00DD6F53" w:rsidP="00DD6F53">
      <w:pPr>
        <w:pStyle w:val="ListParagraph"/>
        <w:numPr>
          <w:ilvl w:val="1"/>
          <w:numId w:val="50"/>
        </w:numPr>
        <w:spacing w:line="256" w:lineRule="auto"/>
        <w:contextualSpacing/>
        <w:rPr>
          <w:b/>
          <w:bCs/>
          <w:i w:val="0"/>
          <w:iCs w:val="0"/>
        </w:rPr>
      </w:pPr>
      <w:r w:rsidRPr="0025050A">
        <w:rPr>
          <w:b/>
          <w:bCs/>
        </w:rPr>
        <w:t>UL DCI formats 0_1, 0_2 can be used with SRI field being reinterpreted as the TCI codepoint in DCI for the case when separate UL TCI is indicated or when there is only UL data to be scheduled.</w:t>
      </w:r>
    </w:p>
    <w:p w14:paraId="57D97B91" w14:textId="77777777" w:rsidR="00DD6F53" w:rsidRDefault="00DD6F53" w:rsidP="00DD6F53">
      <w:pPr>
        <w:pStyle w:val="ListParagraph"/>
        <w:numPr>
          <w:ilvl w:val="1"/>
          <w:numId w:val="50"/>
        </w:numPr>
        <w:spacing w:line="256" w:lineRule="auto"/>
        <w:contextualSpacing/>
        <w:rPr>
          <w:b/>
          <w:bCs/>
          <w:i w:val="0"/>
          <w:iCs w:val="0"/>
        </w:rPr>
      </w:pPr>
      <w:r w:rsidRPr="0025050A">
        <w:rPr>
          <w:b/>
          <w:bCs/>
        </w:rPr>
        <w:t>DL DCI formats 1_1,1_2 can be used with implicit indication of UL TCI using TCI in DCI field where UE maps the indicated codepoints to UL TCI states based on the MAC-CE activation of TCI states in DCI codepoints</w:t>
      </w:r>
    </w:p>
    <w:p w14:paraId="4D663C2C" w14:textId="77777777" w:rsidR="00DD6F53" w:rsidRDefault="00DD6F53" w:rsidP="00DD6F53">
      <w:pPr>
        <w:pStyle w:val="ListParagraph"/>
        <w:numPr>
          <w:ilvl w:val="0"/>
          <w:numId w:val="49"/>
        </w:numPr>
        <w:spacing w:line="256" w:lineRule="auto"/>
        <w:contextualSpacing/>
        <w:rPr>
          <w:b/>
          <w:bCs/>
          <w:i w:val="0"/>
          <w:iCs w:val="0"/>
        </w:rPr>
      </w:pPr>
      <w:r w:rsidRPr="00E13ADE">
        <w:rPr>
          <w:b/>
          <w:bCs/>
        </w:rPr>
        <w:t>Consider NR MBS framework for group-common DCI transmission to a UE group for joint TCI state activation using a new beam indication RNTI for scrambling the CRC of the group-common DCI.</w:t>
      </w:r>
    </w:p>
    <w:p w14:paraId="661F3D4C" w14:textId="77777777" w:rsidR="00DD6F53" w:rsidRPr="00B43311" w:rsidRDefault="00DD6F53" w:rsidP="00DD6F53">
      <w:pPr>
        <w:pStyle w:val="ListParagraph"/>
        <w:numPr>
          <w:ilvl w:val="0"/>
          <w:numId w:val="49"/>
        </w:numPr>
        <w:tabs>
          <w:tab w:val="num" w:pos="720"/>
          <w:tab w:val="num" w:pos="1440"/>
        </w:tabs>
        <w:spacing w:line="256" w:lineRule="auto"/>
        <w:contextualSpacing/>
        <w:jc w:val="both"/>
        <w:rPr>
          <w:rFonts w:eastAsiaTheme="minorHAnsi"/>
          <w:b/>
          <w:i w:val="0"/>
          <w:iCs w:val="0"/>
        </w:rPr>
      </w:pPr>
      <w:r w:rsidRPr="00B43311">
        <w:rPr>
          <w:b/>
          <w:bCs/>
        </w:rPr>
        <w:t>For MP-UE, in the case of UE-</w:t>
      </w:r>
      <w:r w:rsidRPr="00B43311">
        <w:rPr>
          <w:rFonts w:eastAsia="Batang"/>
          <w:b/>
          <w:bCs/>
        </w:rPr>
        <w:t xml:space="preserve">initiated panel activation and selection, for CSI/beam measurement/reporting, Option 1-1A may be assumed. </w:t>
      </w:r>
    </w:p>
    <w:p w14:paraId="577F7A3A" w14:textId="77777777" w:rsidR="00DD6F53" w:rsidRDefault="00DD6F53" w:rsidP="00DD6F53">
      <w:pPr>
        <w:pStyle w:val="ListParagraph"/>
        <w:numPr>
          <w:ilvl w:val="0"/>
          <w:numId w:val="49"/>
        </w:numPr>
        <w:tabs>
          <w:tab w:val="num" w:pos="720"/>
          <w:tab w:val="num" w:pos="1440"/>
        </w:tabs>
        <w:spacing w:line="256" w:lineRule="auto"/>
        <w:contextualSpacing/>
        <w:jc w:val="both"/>
        <w:rPr>
          <w:b/>
          <w:i w:val="0"/>
          <w:iCs w:val="0"/>
        </w:rPr>
      </w:pPr>
      <w:r w:rsidRPr="00B43311">
        <w:rPr>
          <w:b/>
        </w:rPr>
        <w:t xml:space="preserve">For MPE mitigation for Rel-17, </w:t>
      </w:r>
    </w:p>
    <w:p w14:paraId="5080F94E" w14:textId="77777777" w:rsidR="00DD6F53" w:rsidRPr="00D14808" w:rsidRDefault="00DD6F53" w:rsidP="00DD6F53">
      <w:pPr>
        <w:pStyle w:val="ListParagraph"/>
        <w:numPr>
          <w:ilvl w:val="1"/>
          <w:numId w:val="51"/>
        </w:numPr>
        <w:spacing w:line="256" w:lineRule="auto"/>
        <w:contextualSpacing/>
        <w:jc w:val="both"/>
        <w:rPr>
          <w:b/>
          <w:i w:val="0"/>
          <w:iCs w:val="0"/>
        </w:rPr>
      </w:pPr>
      <w:r w:rsidRPr="00D14808">
        <w:rPr>
          <w:b/>
          <w:i w:val="0"/>
          <w:iCs w:val="0"/>
        </w:rPr>
        <w:t xml:space="preserve">RAN4 solution for MAC-CE based P-MPR reporting is augmented with MPE recovery information indicating alterative UL beam with lower P-MPR or duty cycle constraints, where UE panel indication can be implicit. </w:t>
      </w:r>
    </w:p>
    <w:p w14:paraId="7EE9174C" w14:textId="77777777" w:rsidR="00DD6F53" w:rsidRPr="00D14808" w:rsidRDefault="00DD6F53" w:rsidP="00DD6F53">
      <w:pPr>
        <w:pStyle w:val="ListParagraph"/>
        <w:numPr>
          <w:ilvl w:val="1"/>
          <w:numId w:val="51"/>
        </w:numPr>
        <w:tabs>
          <w:tab w:val="num" w:pos="720"/>
          <w:tab w:val="num" w:pos="1440"/>
        </w:tabs>
        <w:spacing w:line="256" w:lineRule="auto"/>
        <w:contextualSpacing/>
        <w:jc w:val="both"/>
        <w:rPr>
          <w:b/>
          <w:i w:val="0"/>
          <w:iCs w:val="0"/>
        </w:rPr>
      </w:pPr>
      <w:r w:rsidRPr="00D14808">
        <w:rPr>
          <w:b/>
          <w:i w:val="0"/>
          <w:iCs w:val="0"/>
        </w:rPr>
        <w:t>No additional reporting is needed since the gains compared to DL based UL panel selection are not very large.</w:t>
      </w:r>
    </w:p>
    <w:p w14:paraId="4F2FC960" w14:textId="77777777" w:rsidR="00DD6F53" w:rsidRDefault="00DD6F53" w:rsidP="00DD6F53">
      <w:pPr>
        <w:pStyle w:val="ListParagraph"/>
        <w:numPr>
          <w:ilvl w:val="0"/>
          <w:numId w:val="49"/>
        </w:numPr>
        <w:spacing w:line="256" w:lineRule="auto"/>
        <w:contextualSpacing/>
        <w:rPr>
          <w:b/>
          <w:bCs/>
          <w:i w:val="0"/>
          <w:iCs w:val="0"/>
        </w:rPr>
      </w:pPr>
      <w:r w:rsidRPr="00A77D4F">
        <w:rPr>
          <w:b/>
          <w:bCs/>
        </w:rPr>
        <w:t>To reduce beam acquisition latency QCL relations between different SSB beams can be indicated to the UE</w:t>
      </w:r>
    </w:p>
    <w:p w14:paraId="774D50FF" w14:textId="77777777" w:rsidR="00DD6F53" w:rsidRDefault="00DD6F53" w:rsidP="00DD6F53">
      <w:pPr>
        <w:pStyle w:val="ListParagraph"/>
        <w:numPr>
          <w:ilvl w:val="0"/>
          <w:numId w:val="49"/>
        </w:numPr>
        <w:spacing w:line="256" w:lineRule="auto"/>
        <w:contextualSpacing/>
        <w:rPr>
          <w:b/>
          <w:bCs/>
          <w:i w:val="0"/>
          <w:iCs w:val="0"/>
        </w:rPr>
      </w:pPr>
      <w:r w:rsidRPr="00A77D4F">
        <w:rPr>
          <w:b/>
          <w:bCs/>
        </w:rPr>
        <w:t>QCL relation between SSB and CSI-RS resource sets can be configured via MAC-CE signaling to further speed up narrow beam acquisition latency</w:t>
      </w:r>
    </w:p>
    <w:p w14:paraId="673165B3" w14:textId="6E315079" w:rsidR="00F5037F" w:rsidRPr="00DD6F53" w:rsidRDefault="00DD6F53" w:rsidP="00DD6F53">
      <w:pPr>
        <w:pStyle w:val="ListParagraph"/>
        <w:numPr>
          <w:ilvl w:val="0"/>
          <w:numId w:val="49"/>
        </w:numPr>
        <w:spacing w:line="256" w:lineRule="auto"/>
        <w:contextualSpacing/>
        <w:rPr>
          <w:b/>
          <w:bCs/>
        </w:rPr>
      </w:pPr>
      <w:r w:rsidRPr="00A77D4F">
        <w:rPr>
          <w:b/>
          <w:bCs/>
        </w:rPr>
        <w:t>SRS/CRI based flexible beam mapping can be used to reduce beam refinement and tracking latency</w:t>
      </w:r>
    </w:p>
    <w:p w14:paraId="3D3A6B90" w14:textId="77777777" w:rsidR="00217F1F" w:rsidRPr="00C2288B" w:rsidRDefault="00217F1F" w:rsidP="00C2288B">
      <w:pPr>
        <w:rPr>
          <w:lang w:val="en-US"/>
        </w:rPr>
      </w:pPr>
    </w:p>
    <w:p w14:paraId="05D83324" w14:textId="77777777" w:rsidR="002A4EFE" w:rsidRPr="00263538" w:rsidRDefault="002A4EFE" w:rsidP="00BC783B">
      <w:pPr>
        <w:pStyle w:val="Heading1"/>
        <w:pBdr>
          <w:top w:val="single" w:sz="12" w:space="4" w:color="auto"/>
        </w:pBdr>
        <w:ind w:left="0" w:firstLine="0"/>
        <w:rPr>
          <w:rFonts w:cs="Arial"/>
          <w:sz w:val="32"/>
          <w:szCs w:val="18"/>
          <w:lang w:val="en-US" w:eastAsia="zh-CN"/>
        </w:rPr>
      </w:pPr>
      <w:r w:rsidRPr="00263538">
        <w:rPr>
          <w:rFonts w:cs="Arial"/>
          <w:sz w:val="32"/>
          <w:szCs w:val="18"/>
          <w:lang w:val="en-US"/>
        </w:rPr>
        <w:t>References</w:t>
      </w:r>
    </w:p>
    <w:p w14:paraId="5691FCB4" w14:textId="03EA1FDC" w:rsidR="00ED1975" w:rsidRDefault="00ED1975" w:rsidP="006C3E79">
      <w:pPr>
        <w:pStyle w:val="Default"/>
        <w:numPr>
          <w:ilvl w:val="0"/>
          <w:numId w:val="9"/>
        </w:numPr>
        <w:spacing w:before="60"/>
        <w:ind w:left="810" w:hanging="630"/>
        <w:jc w:val="both"/>
        <w:rPr>
          <w:rFonts w:ascii="Times New Roman" w:eastAsia="SimSun" w:hAnsi="Times New Roman" w:cs="Times New Roman"/>
          <w:color w:val="auto"/>
          <w:sz w:val="18"/>
          <w:szCs w:val="18"/>
          <w:lang w:eastAsia="zh-CN"/>
        </w:rPr>
      </w:pPr>
      <w:bookmarkStart w:id="12" w:name="_Ref47732651"/>
      <w:bookmarkStart w:id="13" w:name="_Hlk47700964"/>
      <w:bookmarkStart w:id="14" w:name="_Ref47692869"/>
      <w:r w:rsidRPr="008D2E98">
        <w:rPr>
          <w:rFonts w:ascii="Times New Roman" w:eastAsia="SimSun" w:hAnsi="Times New Roman" w:cs="Times New Roman"/>
          <w:color w:val="auto"/>
          <w:sz w:val="18"/>
          <w:szCs w:val="18"/>
          <w:lang w:eastAsia="zh-CN"/>
        </w:rPr>
        <w:t>RP-193133, New WID: Further Enhancements on MIMO for NR, Samsung, 3GPP TSG RAN #86, Sitges, Spain, December 2019.</w:t>
      </w:r>
      <w:bookmarkEnd w:id="12"/>
      <w:r w:rsidRPr="008D2E98">
        <w:rPr>
          <w:rFonts w:ascii="Times New Roman" w:eastAsia="SimSun" w:hAnsi="Times New Roman" w:cs="Times New Roman"/>
          <w:color w:val="auto"/>
          <w:sz w:val="18"/>
          <w:szCs w:val="18"/>
          <w:lang w:eastAsia="zh-CN"/>
        </w:rPr>
        <w:t xml:space="preserve"> </w:t>
      </w:r>
    </w:p>
    <w:p w14:paraId="47D4E76E" w14:textId="39A8D7AC" w:rsidR="00D66957" w:rsidRPr="008D2E98" w:rsidRDefault="00AA5A50" w:rsidP="006C3E79">
      <w:pPr>
        <w:pStyle w:val="Default"/>
        <w:numPr>
          <w:ilvl w:val="0"/>
          <w:numId w:val="9"/>
        </w:numPr>
        <w:spacing w:before="60"/>
        <w:ind w:left="810" w:hanging="630"/>
        <w:jc w:val="both"/>
        <w:rPr>
          <w:rFonts w:ascii="Times New Roman" w:eastAsia="SimSun" w:hAnsi="Times New Roman" w:cs="Times New Roman"/>
          <w:color w:val="auto"/>
          <w:sz w:val="18"/>
          <w:szCs w:val="18"/>
          <w:lang w:eastAsia="zh-CN"/>
        </w:rPr>
      </w:pPr>
      <w:bookmarkStart w:id="15" w:name="_Ref79150108"/>
      <w:r>
        <w:rPr>
          <w:rFonts w:ascii="Times New Roman" w:eastAsia="SimSun" w:hAnsi="Times New Roman" w:cs="Times New Roman"/>
          <w:color w:val="auto"/>
          <w:sz w:val="18"/>
          <w:szCs w:val="18"/>
          <w:lang w:eastAsia="zh-CN"/>
        </w:rPr>
        <w:t>RP-211586, Revised WID: Further Enhancements on MIMO for NR, 3GPP TSG RAN#</w:t>
      </w:r>
      <w:r w:rsidR="00CB7E60">
        <w:rPr>
          <w:rFonts w:ascii="Times New Roman" w:eastAsia="SimSun" w:hAnsi="Times New Roman" w:cs="Times New Roman"/>
          <w:color w:val="auto"/>
          <w:sz w:val="18"/>
          <w:szCs w:val="18"/>
          <w:lang w:eastAsia="zh-CN"/>
        </w:rPr>
        <w:t>92e, June 2021.</w:t>
      </w:r>
      <w:bookmarkEnd w:id="15"/>
    </w:p>
    <w:p w14:paraId="0C4889A2" w14:textId="5BB3BC99" w:rsidR="00E30BEB" w:rsidRPr="008D2E98" w:rsidRDefault="00E30BEB" w:rsidP="006C3E79">
      <w:pPr>
        <w:pStyle w:val="Default"/>
        <w:numPr>
          <w:ilvl w:val="0"/>
          <w:numId w:val="9"/>
        </w:numPr>
        <w:spacing w:before="60"/>
        <w:ind w:left="810" w:hanging="630"/>
        <w:jc w:val="both"/>
        <w:rPr>
          <w:rFonts w:ascii="Times New Roman" w:eastAsia="SimSun" w:hAnsi="Times New Roman" w:cs="Times New Roman"/>
          <w:color w:val="auto"/>
          <w:sz w:val="18"/>
          <w:szCs w:val="18"/>
          <w:lang w:eastAsia="zh-CN"/>
        </w:rPr>
      </w:pPr>
      <w:bookmarkStart w:id="16" w:name="_Ref54369575"/>
      <w:bookmarkEnd w:id="13"/>
      <w:r w:rsidRPr="008D2E98">
        <w:rPr>
          <w:rFonts w:ascii="Times New Roman" w:eastAsia="SimSun" w:hAnsi="Times New Roman" w:cs="Times New Roman"/>
          <w:color w:val="auto"/>
          <w:sz w:val="18"/>
          <w:szCs w:val="18"/>
          <w:lang w:eastAsia="zh-CN"/>
        </w:rPr>
        <w:t>R1-200</w:t>
      </w:r>
      <w:r w:rsidR="000B0352" w:rsidRPr="008D2E98">
        <w:rPr>
          <w:rFonts w:ascii="Times New Roman" w:eastAsia="SimSun" w:hAnsi="Times New Roman" w:cs="Times New Roman"/>
          <w:color w:val="auto"/>
          <w:sz w:val="18"/>
          <w:szCs w:val="18"/>
          <w:lang w:eastAsia="zh-CN"/>
        </w:rPr>
        <w:t xml:space="preserve">7151, </w:t>
      </w:r>
      <w:r w:rsidRPr="008D2E98">
        <w:rPr>
          <w:rFonts w:ascii="Times New Roman" w:eastAsia="SimSun" w:hAnsi="Times New Roman" w:cs="Times New Roman"/>
          <w:color w:val="auto"/>
          <w:sz w:val="18"/>
          <w:szCs w:val="18"/>
          <w:lang w:eastAsia="zh-CN"/>
        </w:rPr>
        <w:t>Moderator summary for multi-beam enhancement: EVM</w:t>
      </w:r>
      <w:r w:rsidR="000B0352" w:rsidRPr="008D2E98">
        <w:rPr>
          <w:rFonts w:ascii="Times New Roman" w:eastAsia="SimSun" w:hAnsi="Times New Roman" w:cs="Times New Roman"/>
          <w:color w:val="auto"/>
          <w:sz w:val="18"/>
          <w:szCs w:val="18"/>
          <w:lang w:eastAsia="zh-CN"/>
        </w:rPr>
        <w:t>, Samsung, RAN1#102-e.</w:t>
      </w:r>
      <w:bookmarkEnd w:id="16"/>
      <w:r w:rsidR="000B0352" w:rsidRPr="008D2E98">
        <w:rPr>
          <w:rFonts w:ascii="Times New Roman" w:eastAsia="SimSun" w:hAnsi="Times New Roman" w:cs="Times New Roman"/>
          <w:color w:val="auto"/>
          <w:sz w:val="18"/>
          <w:szCs w:val="18"/>
          <w:lang w:eastAsia="zh-CN"/>
        </w:rPr>
        <w:t xml:space="preserve"> </w:t>
      </w:r>
    </w:p>
    <w:p w14:paraId="5D131057" w14:textId="4AD8CC06" w:rsidR="00455E02" w:rsidRPr="008D2E98" w:rsidRDefault="00455E02" w:rsidP="006C3E79">
      <w:pPr>
        <w:pStyle w:val="Default"/>
        <w:numPr>
          <w:ilvl w:val="0"/>
          <w:numId w:val="9"/>
        </w:numPr>
        <w:spacing w:before="60"/>
        <w:ind w:left="810" w:hanging="630"/>
        <w:jc w:val="both"/>
        <w:rPr>
          <w:rFonts w:ascii="Times New Roman" w:eastAsia="SimSun" w:hAnsi="Times New Roman" w:cs="Times New Roman"/>
          <w:color w:val="auto"/>
          <w:sz w:val="18"/>
          <w:szCs w:val="18"/>
          <w:lang w:eastAsia="zh-CN"/>
        </w:rPr>
      </w:pPr>
      <w:bookmarkStart w:id="17" w:name="_Ref54379344"/>
      <w:r w:rsidRPr="008D2E98">
        <w:rPr>
          <w:rFonts w:ascii="Times New Roman" w:eastAsia="SimSun" w:hAnsi="Times New Roman" w:cs="Times New Roman"/>
          <w:color w:val="auto"/>
          <w:sz w:val="18"/>
          <w:szCs w:val="18"/>
          <w:lang w:eastAsia="zh-CN"/>
        </w:rPr>
        <w:t>R4-</w:t>
      </w:r>
      <w:r w:rsidR="00267A30" w:rsidRPr="008D2E98">
        <w:rPr>
          <w:rFonts w:ascii="Times New Roman" w:eastAsia="SimSun" w:hAnsi="Times New Roman" w:cs="Times New Roman"/>
          <w:color w:val="auto"/>
          <w:sz w:val="18"/>
          <w:szCs w:val="18"/>
          <w:lang w:eastAsia="zh-CN"/>
        </w:rPr>
        <w:t>2011734, WF on MPE Enhancements, Oppo, RAN4#96e, August 2020.</w:t>
      </w:r>
      <w:bookmarkEnd w:id="17"/>
      <w:r w:rsidR="00267A30" w:rsidRPr="008D2E98">
        <w:rPr>
          <w:rFonts w:ascii="Times New Roman" w:eastAsia="SimSun" w:hAnsi="Times New Roman" w:cs="Times New Roman"/>
          <w:color w:val="auto"/>
          <w:sz w:val="18"/>
          <w:szCs w:val="18"/>
          <w:lang w:eastAsia="zh-CN"/>
        </w:rPr>
        <w:t xml:space="preserve"> </w:t>
      </w:r>
    </w:p>
    <w:p w14:paraId="7A17D413" w14:textId="1113689A" w:rsidR="00267A30" w:rsidRPr="008D2E98" w:rsidRDefault="00267A30" w:rsidP="006C3E79">
      <w:pPr>
        <w:pStyle w:val="Default"/>
        <w:numPr>
          <w:ilvl w:val="0"/>
          <w:numId w:val="9"/>
        </w:numPr>
        <w:spacing w:before="60"/>
        <w:ind w:left="810" w:hanging="630"/>
        <w:jc w:val="both"/>
        <w:rPr>
          <w:rFonts w:ascii="Times New Roman" w:eastAsia="SimSun" w:hAnsi="Times New Roman" w:cs="Times New Roman"/>
          <w:color w:val="auto"/>
          <w:sz w:val="18"/>
          <w:szCs w:val="18"/>
          <w:lang w:eastAsia="zh-CN"/>
        </w:rPr>
      </w:pPr>
      <w:bookmarkStart w:id="18" w:name="_Ref54379355"/>
      <w:r w:rsidRPr="008D2E98">
        <w:rPr>
          <w:rFonts w:ascii="Times New Roman" w:eastAsia="SimSun" w:hAnsi="Times New Roman" w:cs="Times New Roman"/>
          <w:color w:val="auto"/>
          <w:sz w:val="18"/>
          <w:szCs w:val="18"/>
          <w:lang w:eastAsia="zh-CN"/>
        </w:rPr>
        <w:t>R4</w:t>
      </w:r>
      <w:r w:rsidR="00892FD7" w:rsidRPr="008D2E98">
        <w:rPr>
          <w:rFonts w:ascii="Times New Roman" w:eastAsia="SimSun" w:hAnsi="Times New Roman" w:cs="Times New Roman"/>
          <w:color w:val="auto"/>
          <w:sz w:val="18"/>
          <w:szCs w:val="18"/>
          <w:lang w:eastAsia="zh-CN"/>
        </w:rPr>
        <w:t>-2011733, LS in MPE Enhancements, Nokia, RAN4#96e, August 2020.</w:t>
      </w:r>
      <w:bookmarkEnd w:id="18"/>
    </w:p>
    <w:p w14:paraId="65B42ACF" w14:textId="639CDB76" w:rsidR="00682841" w:rsidRPr="008D2E98" w:rsidRDefault="00D975DD" w:rsidP="006C3E79">
      <w:pPr>
        <w:pStyle w:val="Default"/>
        <w:numPr>
          <w:ilvl w:val="0"/>
          <w:numId w:val="9"/>
        </w:numPr>
        <w:spacing w:before="60"/>
        <w:ind w:left="810" w:hanging="630"/>
        <w:jc w:val="both"/>
        <w:rPr>
          <w:rFonts w:ascii="Times New Roman" w:eastAsia="SimSun" w:hAnsi="Times New Roman" w:cs="Times New Roman"/>
          <w:color w:val="auto"/>
          <w:sz w:val="18"/>
          <w:szCs w:val="18"/>
          <w:lang w:eastAsia="zh-CN"/>
        </w:rPr>
      </w:pPr>
      <w:r w:rsidRPr="008D2E98">
        <w:rPr>
          <w:rFonts w:ascii="Times New Roman" w:eastAsia="SimSun" w:hAnsi="Times New Roman" w:cs="Times New Roman"/>
          <w:color w:val="auto"/>
          <w:sz w:val="18"/>
          <w:szCs w:val="18"/>
          <w:lang w:eastAsia="zh-CN"/>
        </w:rPr>
        <w:t>3GPP TS 38.133 v16.4.0, Requirements for Support of Radio Resource Management (Release 16)</w:t>
      </w:r>
      <w:bookmarkEnd w:id="14"/>
    </w:p>
    <w:p w14:paraId="42DA418D" w14:textId="2728DD07" w:rsidR="00682841" w:rsidRPr="008D2E98" w:rsidRDefault="00682841" w:rsidP="006C3E79">
      <w:pPr>
        <w:pStyle w:val="Default"/>
        <w:numPr>
          <w:ilvl w:val="0"/>
          <w:numId w:val="9"/>
        </w:numPr>
        <w:spacing w:before="60"/>
        <w:ind w:left="810" w:hanging="630"/>
        <w:jc w:val="both"/>
        <w:rPr>
          <w:rFonts w:ascii="Times New Roman" w:eastAsia="SimSun" w:hAnsi="Times New Roman" w:cs="Times New Roman"/>
          <w:color w:val="auto"/>
          <w:sz w:val="18"/>
          <w:szCs w:val="18"/>
          <w:lang w:eastAsia="zh-CN"/>
        </w:rPr>
      </w:pPr>
      <w:r w:rsidRPr="008D2E98">
        <w:rPr>
          <w:rFonts w:ascii="Times New Roman" w:eastAsia="SimSun" w:hAnsi="Times New Roman" w:cs="Times New Roman"/>
          <w:color w:val="auto"/>
          <w:sz w:val="18"/>
          <w:szCs w:val="18"/>
          <w:lang w:eastAsia="zh-CN"/>
        </w:rPr>
        <w:t>3GPP TS 38.211 v16.2.0, NR Physical Channels and Modulation (Release 16)</w:t>
      </w:r>
    </w:p>
    <w:p w14:paraId="4A11906B" w14:textId="2105A830" w:rsidR="00682841" w:rsidRPr="008D2E98" w:rsidRDefault="00682841" w:rsidP="006C3E79">
      <w:pPr>
        <w:pStyle w:val="Default"/>
        <w:numPr>
          <w:ilvl w:val="0"/>
          <w:numId w:val="9"/>
        </w:numPr>
        <w:spacing w:before="60"/>
        <w:ind w:left="810" w:hanging="630"/>
        <w:jc w:val="both"/>
        <w:rPr>
          <w:rFonts w:ascii="Times New Roman" w:eastAsia="SimSun" w:hAnsi="Times New Roman" w:cs="Times New Roman"/>
          <w:color w:val="auto"/>
          <w:sz w:val="18"/>
          <w:szCs w:val="18"/>
          <w:lang w:eastAsia="zh-CN"/>
        </w:rPr>
      </w:pPr>
      <w:r w:rsidRPr="008D2E98">
        <w:rPr>
          <w:rFonts w:ascii="Times New Roman" w:eastAsia="SimSun" w:hAnsi="Times New Roman" w:cs="Times New Roman"/>
          <w:color w:val="auto"/>
          <w:sz w:val="18"/>
          <w:szCs w:val="18"/>
          <w:lang w:eastAsia="zh-CN"/>
        </w:rPr>
        <w:t>3GPP TS 38.212 v16.2.0, NR Multiplexing and Channel Coding (Release 16)</w:t>
      </w:r>
    </w:p>
    <w:p w14:paraId="1EDE3CAE" w14:textId="7111F53A" w:rsidR="00682841" w:rsidRPr="008D2E98" w:rsidRDefault="00682841" w:rsidP="006C3E79">
      <w:pPr>
        <w:pStyle w:val="Default"/>
        <w:numPr>
          <w:ilvl w:val="0"/>
          <w:numId w:val="9"/>
        </w:numPr>
        <w:spacing w:before="60"/>
        <w:ind w:left="810" w:hanging="630"/>
        <w:jc w:val="both"/>
        <w:rPr>
          <w:rFonts w:ascii="Times New Roman" w:eastAsia="SimSun" w:hAnsi="Times New Roman" w:cs="Times New Roman"/>
          <w:color w:val="auto"/>
          <w:sz w:val="18"/>
          <w:szCs w:val="18"/>
          <w:lang w:eastAsia="zh-CN"/>
        </w:rPr>
      </w:pPr>
      <w:r w:rsidRPr="008D2E98">
        <w:rPr>
          <w:rFonts w:ascii="Times New Roman" w:eastAsia="SimSun" w:hAnsi="Times New Roman" w:cs="Times New Roman"/>
          <w:color w:val="auto"/>
          <w:sz w:val="18"/>
          <w:szCs w:val="18"/>
          <w:lang w:eastAsia="zh-CN"/>
        </w:rPr>
        <w:t>3GPP TS 38.213 v16.2.0, NR Physical Layer Procedures for Control (Release 16)</w:t>
      </w:r>
    </w:p>
    <w:p w14:paraId="74987B54" w14:textId="4721BD9B" w:rsidR="0039564D" w:rsidRPr="008D2E98" w:rsidRDefault="00682841" w:rsidP="006C3E79">
      <w:pPr>
        <w:pStyle w:val="Default"/>
        <w:numPr>
          <w:ilvl w:val="0"/>
          <w:numId w:val="9"/>
        </w:numPr>
        <w:spacing w:before="60"/>
        <w:ind w:left="810" w:hanging="630"/>
        <w:jc w:val="both"/>
        <w:rPr>
          <w:sz w:val="18"/>
          <w:szCs w:val="18"/>
          <w:lang w:eastAsia="zh-CN"/>
        </w:rPr>
      </w:pPr>
      <w:r w:rsidRPr="008D2E98">
        <w:rPr>
          <w:rFonts w:ascii="Times New Roman" w:eastAsia="SimSun" w:hAnsi="Times New Roman" w:cs="Times New Roman"/>
          <w:color w:val="auto"/>
          <w:sz w:val="18"/>
          <w:szCs w:val="18"/>
          <w:lang w:eastAsia="zh-CN"/>
        </w:rPr>
        <w:t>3GPP TS 38.214 v16.2.0, NR Physical Layer Procedures for Data (Release 16)</w:t>
      </w:r>
    </w:p>
    <w:p w14:paraId="18629E83" w14:textId="2CD4BC65" w:rsidR="00570D79" w:rsidRPr="008D2E98" w:rsidRDefault="00570D79" w:rsidP="006C3E79">
      <w:pPr>
        <w:pStyle w:val="EX"/>
        <w:numPr>
          <w:ilvl w:val="0"/>
          <w:numId w:val="9"/>
        </w:numPr>
        <w:spacing w:before="60" w:after="0"/>
        <w:ind w:left="810" w:hanging="630"/>
        <w:rPr>
          <w:sz w:val="18"/>
          <w:szCs w:val="18"/>
          <w:lang w:val="en-US" w:eastAsia="ko-KR"/>
        </w:rPr>
      </w:pPr>
      <w:bookmarkStart w:id="19" w:name="_Ref47717059"/>
      <w:r w:rsidRPr="008D2E98">
        <w:rPr>
          <w:sz w:val="18"/>
          <w:szCs w:val="18"/>
          <w:lang w:val="de-DE"/>
        </w:rPr>
        <w:t xml:space="preserve">IST-WINNER II Deliverable 1.1.2 v.1.2, </w:t>
      </w:r>
      <w:r w:rsidRPr="008D2E98">
        <w:rPr>
          <w:sz w:val="18"/>
          <w:szCs w:val="18"/>
        </w:rPr>
        <w:t>"</w:t>
      </w:r>
      <w:r w:rsidRPr="008D2E98">
        <w:rPr>
          <w:sz w:val="18"/>
          <w:szCs w:val="18"/>
          <w:lang w:val="de-DE"/>
        </w:rPr>
        <w:t>WINNER II Channel Models</w:t>
      </w:r>
      <w:r w:rsidRPr="008D2E98">
        <w:rPr>
          <w:sz w:val="18"/>
          <w:szCs w:val="18"/>
        </w:rPr>
        <w:t>"</w:t>
      </w:r>
      <w:r w:rsidRPr="008D2E98">
        <w:rPr>
          <w:sz w:val="18"/>
          <w:szCs w:val="18"/>
          <w:lang w:val="de-DE"/>
        </w:rPr>
        <w:t>, IST-WINNER2, Tech. Rep., 2007 (</w:t>
      </w:r>
      <w:hyperlink r:id="rId43" w:history="1">
        <w:r w:rsidRPr="008D2E98">
          <w:rPr>
            <w:color w:val="0000FF"/>
            <w:sz w:val="18"/>
            <w:szCs w:val="18"/>
            <w:u w:val="single"/>
            <w:lang w:val="de-DE"/>
          </w:rPr>
          <w:t>http://www.ist-winner.org/deliverables.html</w:t>
        </w:r>
      </w:hyperlink>
      <w:r w:rsidRPr="008D2E98">
        <w:rPr>
          <w:sz w:val="18"/>
          <w:szCs w:val="18"/>
          <w:lang w:val="de-DE"/>
        </w:rPr>
        <w:t>)</w:t>
      </w:r>
      <w:r w:rsidRPr="008D2E98">
        <w:rPr>
          <w:sz w:val="18"/>
          <w:szCs w:val="18"/>
          <w:lang w:val="en-US"/>
        </w:rPr>
        <w:t>.</w:t>
      </w:r>
      <w:bookmarkEnd w:id="19"/>
    </w:p>
    <w:p w14:paraId="784C290F" w14:textId="0FF37E68" w:rsidR="00570D79" w:rsidRPr="008D2E98" w:rsidRDefault="00570D79" w:rsidP="006C3E79">
      <w:pPr>
        <w:pStyle w:val="EX"/>
        <w:numPr>
          <w:ilvl w:val="0"/>
          <w:numId w:val="9"/>
        </w:numPr>
        <w:spacing w:before="60" w:after="0"/>
        <w:ind w:left="810" w:hanging="630"/>
        <w:rPr>
          <w:sz w:val="18"/>
          <w:szCs w:val="18"/>
          <w:lang w:val="en-US" w:eastAsia="ko-KR"/>
        </w:rPr>
      </w:pPr>
      <w:bookmarkStart w:id="20" w:name="_Ref47717155"/>
      <w:r w:rsidRPr="008D2E98">
        <w:rPr>
          <w:sz w:val="18"/>
          <w:szCs w:val="18"/>
          <w:lang w:val="en-US"/>
        </w:rPr>
        <w:t>3GPP TR 38.901 v16.1.0, Study on channel model for frequencies from 0.5 to 100 GHz (Release 16)</w:t>
      </w:r>
      <w:bookmarkEnd w:id="20"/>
    </w:p>
    <w:p w14:paraId="0B450E83" w14:textId="66F79CC7" w:rsidR="00616893" w:rsidRPr="008D2E98" w:rsidRDefault="00616893" w:rsidP="006C3E79">
      <w:pPr>
        <w:pStyle w:val="EX"/>
        <w:numPr>
          <w:ilvl w:val="0"/>
          <w:numId w:val="9"/>
        </w:numPr>
        <w:spacing w:before="60" w:after="0"/>
        <w:ind w:left="810" w:hanging="630"/>
        <w:rPr>
          <w:sz w:val="18"/>
          <w:szCs w:val="18"/>
          <w:lang w:val="en-US" w:eastAsia="ko-KR"/>
        </w:rPr>
      </w:pPr>
      <w:bookmarkStart w:id="21" w:name="_Ref47721443"/>
      <w:r w:rsidRPr="008D2E98">
        <w:rPr>
          <w:sz w:val="18"/>
          <w:szCs w:val="18"/>
          <w:lang w:val="en-US"/>
        </w:rPr>
        <w:t>3GPP TR 36.839 v11.1.0, Mobility enhancements in heterogeneous networks (Release 11)</w:t>
      </w:r>
      <w:bookmarkEnd w:id="21"/>
    </w:p>
    <w:p w14:paraId="2C51393A" w14:textId="1218D04A" w:rsidR="001F0D94" w:rsidRPr="008D2E98" w:rsidRDefault="001F0D94" w:rsidP="006C3E79">
      <w:pPr>
        <w:pStyle w:val="Default"/>
        <w:numPr>
          <w:ilvl w:val="0"/>
          <w:numId w:val="9"/>
        </w:numPr>
        <w:spacing w:before="60"/>
        <w:ind w:left="810" w:hanging="630"/>
        <w:jc w:val="both"/>
        <w:rPr>
          <w:rFonts w:ascii="Times New Roman" w:eastAsia="SimSun" w:hAnsi="Times New Roman" w:cs="Times New Roman"/>
          <w:color w:val="auto"/>
          <w:sz w:val="18"/>
          <w:szCs w:val="18"/>
          <w:lang w:eastAsia="zh-CN"/>
        </w:rPr>
      </w:pPr>
      <w:r w:rsidRPr="008D2E98">
        <w:rPr>
          <w:rFonts w:ascii="Times New Roman" w:eastAsia="SimSun" w:hAnsi="Times New Roman" w:cs="Times New Roman"/>
          <w:color w:val="auto"/>
          <w:sz w:val="18"/>
          <w:szCs w:val="18"/>
          <w:lang w:eastAsia="zh-CN"/>
        </w:rPr>
        <w:t>RP-192227, Revised WID on NR RF Requirement Enhancements for FR2, Newport Beach, US, Sept 16-20, 2019 (revision of RP-191290).</w:t>
      </w:r>
    </w:p>
    <w:p w14:paraId="430D3D23" w14:textId="47A8CF2D" w:rsidR="001F0D94" w:rsidRPr="008D2E98" w:rsidRDefault="001F0D94" w:rsidP="006C3E79">
      <w:pPr>
        <w:pStyle w:val="Default"/>
        <w:numPr>
          <w:ilvl w:val="0"/>
          <w:numId w:val="9"/>
        </w:numPr>
        <w:spacing w:before="60"/>
        <w:ind w:left="810" w:hanging="630"/>
        <w:jc w:val="both"/>
        <w:rPr>
          <w:rFonts w:ascii="Times New Roman" w:eastAsia="SimSun" w:hAnsi="Times New Roman" w:cs="Times New Roman"/>
          <w:color w:val="auto"/>
          <w:sz w:val="18"/>
          <w:szCs w:val="18"/>
          <w:lang w:eastAsia="zh-CN"/>
        </w:rPr>
      </w:pPr>
      <w:bookmarkStart w:id="22" w:name="_Ref47690750"/>
      <w:r w:rsidRPr="008D2E98">
        <w:rPr>
          <w:rFonts w:ascii="Times New Roman" w:eastAsia="SimSun" w:hAnsi="Times New Roman" w:cs="Times New Roman"/>
          <w:color w:val="auto"/>
          <w:sz w:val="18"/>
          <w:szCs w:val="18"/>
          <w:lang w:eastAsia="zh-CN"/>
        </w:rPr>
        <w:lastRenderedPageBreak/>
        <w:t>R4-1913057 WF on FR2 MPE Enhancement, Qualcomm, 3GPP TSG-RAN WG4 Meeting #92-Bis, Chongqing, China, 14-18 Oct 2019.</w:t>
      </w:r>
      <w:bookmarkEnd w:id="22"/>
    </w:p>
    <w:p w14:paraId="7509F97D" w14:textId="424E9E08" w:rsidR="00F974CD" w:rsidRDefault="00F974CD" w:rsidP="00F974CD">
      <w:pPr>
        <w:rPr>
          <w:lang w:val="en-US"/>
        </w:rPr>
      </w:pPr>
    </w:p>
    <w:p w14:paraId="5D1183C1" w14:textId="77777777" w:rsidR="008D2E98" w:rsidRPr="00C2288B" w:rsidRDefault="008D2E98" w:rsidP="00F974CD">
      <w:pPr>
        <w:rPr>
          <w:lang w:val="en-US"/>
        </w:rPr>
      </w:pPr>
    </w:p>
    <w:p w14:paraId="7A95B9EA" w14:textId="72DC153A" w:rsidR="0084499E" w:rsidRDefault="00F974CD" w:rsidP="001A6B75">
      <w:pPr>
        <w:pStyle w:val="Heading1"/>
        <w:numPr>
          <w:ilvl w:val="0"/>
          <w:numId w:val="0"/>
        </w:numPr>
        <w:pBdr>
          <w:top w:val="single" w:sz="12" w:space="4" w:color="auto"/>
        </w:pBdr>
        <w:rPr>
          <w:rFonts w:cs="Arial"/>
          <w:sz w:val="32"/>
          <w:szCs w:val="18"/>
          <w:lang w:val="en-US"/>
        </w:rPr>
      </w:pPr>
      <w:r>
        <w:rPr>
          <w:rFonts w:cs="Arial"/>
          <w:sz w:val="32"/>
          <w:szCs w:val="18"/>
          <w:lang w:val="en-US"/>
        </w:rPr>
        <w:t>Appendix: SLS Evaluation Assumptions</w:t>
      </w:r>
    </w:p>
    <w:p w14:paraId="00275892" w14:textId="3292ECC4" w:rsidR="0025111B" w:rsidRPr="0025111B" w:rsidRDefault="0025111B" w:rsidP="0025111B">
      <w:pPr>
        <w:rPr>
          <w:lang w:val="en-US"/>
        </w:rPr>
      </w:pPr>
      <w:r>
        <w:rPr>
          <w:lang w:val="en-US"/>
        </w:rPr>
        <w:t xml:space="preserve">The general evaluation assumptions agreed in </w:t>
      </w:r>
      <w:r>
        <w:rPr>
          <w:lang w:val="en-US"/>
        </w:rPr>
        <w:fldChar w:fldCharType="begin"/>
      </w:r>
      <w:r>
        <w:rPr>
          <w:lang w:val="en-US"/>
        </w:rPr>
        <w:instrText xml:space="preserve"> REF _Ref54369575 \r \h </w:instrText>
      </w:r>
      <w:r>
        <w:rPr>
          <w:lang w:val="en-US"/>
        </w:rPr>
      </w:r>
      <w:r>
        <w:rPr>
          <w:lang w:val="en-US"/>
        </w:rPr>
        <w:fldChar w:fldCharType="separate"/>
      </w:r>
      <w:r>
        <w:rPr>
          <w:lang w:val="en-US"/>
        </w:rPr>
        <w:t>[2]</w:t>
      </w:r>
      <w:r>
        <w:rPr>
          <w:lang w:val="en-US"/>
        </w:rPr>
        <w:fldChar w:fldCharType="end"/>
      </w:r>
      <w:r>
        <w:rPr>
          <w:lang w:val="en-US"/>
        </w:rPr>
        <w:t xml:space="preserve"> are used. The following </w:t>
      </w:r>
      <w:r w:rsidR="00E714FC">
        <w:rPr>
          <w:lang w:val="en-US"/>
        </w:rPr>
        <w:t>are a few specific details considered in our evaluations.</w:t>
      </w:r>
    </w:p>
    <w:tbl>
      <w:tblPr>
        <w:tblStyle w:val="TableGrid1"/>
        <w:tblW w:w="9355" w:type="dxa"/>
        <w:jc w:val="center"/>
        <w:tblLook w:val="04A0" w:firstRow="1" w:lastRow="0" w:firstColumn="1" w:lastColumn="0" w:noHBand="0" w:noVBand="1"/>
      </w:tblPr>
      <w:tblGrid>
        <w:gridCol w:w="2425"/>
        <w:gridCol w:w="6930"/>
      </w:tblGrid>
      <w:tr w:rsidR="00B21A0D" w:rsidRPr="00F04030" w14:paraId="2C13AF2E" w14:textId="77777777" w:rsidTr="003B7E7C">
        <w:trPr>
          <w:trHeight w:val="698"/>
          <w:jc w:val="center"/>
        </w:trPr>
        <w:tc>
          <w:tcPr>
            <w:tcW w:w="2425" w:type="dxa"/>
            <w:vAlign w:val="center"/>
            <w:hideMark/>
          </w:tcPr>
          <w:p w14:paraId="2160AAC6" w14:textId="77777777" w:rsidR="00B21A0D" w:rsidRPr="00344118" w:rsidRDefault="00B21A0D" w:rsidP="00F111D5">
            <w:pPr>
              <w:tabs>
                <w:tab w:val="left" w:pos="2857"/>
              </w:tabs>
              <w:overflowPunct/>
              <w:autoSpaceDE/>
              <w:autoSpaceDN/>
              <w:adjustRightInd/>
              <w:spacing w:after="0"/>
              <w:jc w:val="center"/>
              <w:textAlignment w:val="auto"/>
              <w:rPr>
                <w:rFonts w:ascii="Arial" w:eastAsia="Times New Roman" w:hAnsi="Arial" w:cs="Arial"/>
                <w:b/>
                <w:bCs/>
                <w:sz w:val="24"/>
                <w:szCs w:val="24"/>
                <w:lang w:val="en-US"/>
              </w:rPr>
            </w:pPr>
            <w:r w:rsidRPr="00344118">
              <w:rPr>
                <w:rFonts w:ascii="Arial" w:eastAsia="Times New Roman" w:hAnsi="Arial" w:cs="Arial"/>
                <w:b/>
                <w:bCs/>
                <w:kern w:val="24"/>
                <w:sz w:val="24"/>
                <w:szCs w:val="24"/>
                <w:lang w:val="en-US"/>
              </w:rPr>
              <w:t>Simulation Parameters</w:t>
            </w:r>
          </w:p>
        </w:tc>
        <w:tc>
          <w:tcPr>
            <w:tcW w:w="6930" w:type="dxa"/>
            <w:vAlign w:val="center"/>
            <w:hideMark/>
          </w:tcPr>
          <w:p w14:paraId="148421DC" w14:textId="32FA19A3" w:rsidR="00B21A0D" w:rsidRPr="00344118" w:rsidRDefault="00C43C30" w:rsidP="00F111D5">
            <w:pPr>
              <w:overflowPunct/>
              <w:autoSpaceDE/>
              <w:autoSpaceDN/>
              <w:adjustRightInd/>
              <w:spacing w:after="0"/>
              <w:jc w:val="center"/>
              <w:textAlignment w:val="auto"/>
              <w:rPr>
                <w:rFonts w:ascii="Arial" w:eastAsia="Times New Roman" w:hAnsi="Arial" w:cs="Arial"/>
                <w:b/>
                <w:bCs/>
                <w:sz w:val="24"/>
                <w:szCs w:val="24"/>
                <w:lang w:val="en-US"/>
              </w:rPr>
            </w:pPr>
            <w:r>
              <w:rPr>
                <w:rFonts w:ascii="Arial" w:eastAsia="Times New Roman" w:hAnsi="Arial" w:cs="Arial"/>
                <w:b/>
                <w:bCs/>
                <w:sz w:val="24"/>
                <w:szCs w:val="24"/>
                <w:lang w:val="en-US"/>
              </w:rPr>
              <w:t>Dense Urban Macro, Indoor Hotspot</w:t>
            </w:r>
          </w:p>
        </w:tc>
      </w:tr>
      <w:tr w:rsidR="00B21DF7" w:rsidRPr="00F04030" w14:paraId="12E65AAD" w14:textId="77777777" w:rsidTr="003B7E7C">
        <w:trPr>
          <w:trHeight w:val="182"/>
          <w:jc w:val="center"/>
        </w:trPr>
        <w:tc>
          <w:tcPr>
            <w:tcW w:w="2425" w:type="dxa"/>
            <w:vAlign w:val="center"/>
            <w:hideMark/>
          </w:tcPr>
          <w:p w14:paraId="3A65482F" w14:textId="77777777" w:rsidR="00B21DF7" w:rsidRPr="00321B15" w:rsidRDefault="00B21DF7" w:rsidP="00F111D5">
            <w:pPr>
              <w:overflowPunct/>
              <w:autoSpaceDE/>
              <w:autoSpaceDN/>
              <w:adjustRightInd/>
              <w:spacing w:after="0"/>
              <w:jc w:val="center"/>
              <w:textAlignment w:val="auto"/>
              <w:rPr>
                <w:rFonts w:ascii="Arial" w:eastAsia="Times New Roman" w:hAnsi="Arial" w:cs="Arial"/>
                <w:sz w:val="20"/>
                <w:szCs w:val="20"/>
                <w:lang w:val="en-US"/>
              </w:rPr>
            </w:pPr>
            <w:r w:rsidRPr="00321B15">
              <w:rPr>
                <w:rFonts w:ascii="Arial" w:eastAsia="Times New Roman" w:hAnsi="Arial" w:cs="Arial"/>
                <w:kern w:val="24"/>
                <w:sz w:val="20"/>
                <w:szCs w:val="20"/>
                <w:lang w:val="en-US"/>
              </w:rPr>
              <w:t>Carrier Frequency</w:t>
            </w:r>
          </w:p>
        </w:tc>
        <w:tc>
          <w:tcPr>
            <w:tcW w:w="6930" w:type="dxa"/>
            <w:vAlign w:val="center"/>
            <w:hideMark/>
          </w:tcPr>
          <w:p w14:paraId="0BCB5772" w14:textId="04105943" w:rsidR="00B21DF7" w:rsidRPr="00321B15" w:rsidRDefault="00B21A0D" w:rsidP="00F111D5">
            <w:pPr>
              <w:overflowPunct/>
              <w:autoSpaceDE/>
              <w:autoSpaceDN/>
              <w:adjustRightInd/>
              <w:spacing w:after="0"/>
              <w:jc w:val="center"/>
              <w:textAlignment w:val="auto"/>
              <w:rPr>
                <w:rFonts w:eastAsia="Times New Roman"/>
                <w:sz w:val="20"/>
                <w:szCs w:val="20"/>
                <w:lang w:val="en-US"/>
              </w:rPr>
            </w:pPr>
            <w:r w:rsidRPr="00321B15">
              <w:rPr>
                <w:rFonts w:eastAsia="Times New Roman"/>
                <w:kern w:val="24"/>
                <w:sz w:val="20"/>
                <w:szCs w:val="20"/>
                <w:lang w:val="en-US"/>
              </w:rPr>
              <w:t>30</w:t>
            </w:r>
            <w:r w:rsidR="00B21DF7" w:rsidRPr="00321B15">
              <w:rPr>
                <w:rFonts w:eastAsia="Times New Roman"/>
                <w:kern w:val="24"/>
                <w:sz w:val="20"/>
                <w:szCs w:val="20"/>
                <w:lang w:val="en-US"/>
              </w:rPr>
              <w:t>GHz</w:t>
            </w:r>
          </w:p>
        </w:tc>
      </w:tr>
      <w:tr w:rsidR="00024C66" w:rsidRPr="00F04030" w14:paraId="21F8C61D" w14:textId="77777777" w:rsidTr="003B7E7C">
        <w:trPr>
          <w:trHeight w:val="312"/>
          <w:jc w:val="center"/>
        </w:trPr>
        <w:tc>
          <w:tcPr>
            <w:tcW w:w="2425" w:type="dxa"/>
            <w:vAlign w:val="center"/>
            <w:hideMark/>
          </w:tcPr>
          <w:p w14:paraId="2A316369" w14:textId="77777777" w:rsidR="00024C66" w:rsidRPr="00321B15" w:rsidRDefault="00024C66" w:rsidP="00F111D5">
            <w:pPr>
              <w:overflowPunct/>
              <w:autoSpaceDE/>
              <w:autoSpaceDN/>
              <w:adjustRightInd/>
              <w:spacing w:after="0"/>
              <w:jc w:val="center"/>
              <w:textAlignment w:val="auto"/>
              <w:rPr>
                <w:rFonts w:ascii="Arial" w:eastAsia="Times New Roman" w:hAnsi="Arial" w:cs="Arial"/>
                <w:sz w:val="20"/>
                <w:szCs w:val="20"/>
                <w:lang w:val="en-US"/>
              </w:rPr>
            </w:pPr>
            <w:r w:rsidRPr="00321B15">
              <w:rPr>
                <w:rFonts w:ascii="Arial" w:eastAsia="Times New Roman" w:hAnsi="Arial" w:cs="Arial"/>
                <w:kern w:val="24"/>
                <w:sz w:val="20"/>
                <w:szCs w:val="20"/>
                <w:lang w:val="en-US"/>
              </w:rPr>
              <w:t>Simulation BW</w:t>
            </w:r>
          </w:p>
        </w:tc>
        <w:tc>
          <w:tcPr>
            <w:tcW w:w="6930" w:type="dxa"/>
            <w:vAlign w:val="center"/>
            <w:hideMark/>
          </w:tcPr>
          <w:p w14:paraId="43BF6E57" w14:textId="4ABDF214" w:rsidR="00024C66" w:rsidRPr="00321B15" w:rsidRDefault="00F111D5" w:rsidP="00F111D5">
            <w:pPr>
              <w:overflowPunct/>
              <w:autoSpaceDE/>
              <w:autoSpaceDN/>
              <w:adjustRightInd/>
              <w:spacing w:after="0"/>
              <w:jc w:val="center"/>
              <w:textAlignment w:val="auto"/>
              <w:rPr>
                <w:rFonts w:eastAsia="Times New Roman"/>
                <w:sz w:val="20"/>
                <w:szCs w:val="20"/>
                <w:lang w:val="en-US"/>
              </w:rPr>
            </w:pPr>
            <w:r w:rsidRPr="00321B15">
              <w:rPr>
                <w:rFonts w:eastAsia="Times New Roman"/>
                <w:kern w:val="24"/>
                <w:sz w:val="20"/>
                <w:szCs w:val="20"/>
                <w:lang w:val="en-US"/>
              </w:rPr>
              <w:t>5</w:t>
            </w:r>
            <w:r w:rsidR="00024C66" w:rsidRPr="00321B15">
              <w:rPr>
                <w:rFonts w:eastAsia="Times New Roman"/>
                <w:kern w:val="24"/>
                <w:sz w:val="20"/>
                <w:szCs w:val="20"/>
                <w:lang w:val="en-US"/>
              </w:rPr>
              <w:t>0MHz</w:t>
            </w:r>
          </w:p>
        </w:tc>
      </w:tr>
      <w:tr w:rsidR="00024C66" w:rsidRPr="00F04030" w14:paraId="27F7B684" w14:textId="77777777" w:rsidTr="003B7E7C">
        <w:trPr>
          <w:trHeight w:val="312"/>
          <w:jc w:val="center"/>
        </w:trPr>
        <w:tc>
          <w:tcPr>
            <w:tcW w:w="2425" w:type="dxa"/>
            <w:vAlign w:val="center"/>
            <w:hideMark/>
          </w:tcPr>
          <w:p w14:paraId="5FD51D73" w14:textId="77777777" w:rsidR="00024C66" w:rsidRPr="00321B15" w:rsidRDefault="00024C66" w:rsidP="00F111D5">
            <w:pPr>
              <w:overflowPunct/>
              <w:autoSpaceDE/>
              <w:autoSpaceDN/>
              <w:adjustRightInd/>
              <w:spacing w:after="0"/>
              <w:jc w:val="center"/>
              <w:textAlignment w:val="auto"/>
              <w:rPr>
                <w:rFonts w:ascii="Arial" w:eastAsia="Times New Roman" w:hAnsi="Arial" w:cs="Arial"/>
                <w:sz w:val="20"/>
                <w:szCs w:val="20"/>
                <w:lang w:val="en-US"/>
              </w:rPr>
            </w:pPr>
            <w:r w:rsidRPr="00321B15">
              <w:rPr>
                <w:rFonts w:ascii="Arial" w:eastAsia="Times New Roman" w:hAnsi="Arial" w:cs="Arial"/>
                <w:kern w:val="24"/>
                <w:sz w:val="20"/>
                <w:szCs w:val="20"/>
                <w:lang w:val="en-US"/>
              </w:rPr>
              <w:t>Sub-carrier Spacing and Slot Length</w:t>
            </w:r>
          </w:p>
        </w:tc>
        <w:tc>
          <w:tcPr>
            <w:tcW w:w="6930" w:type="dxa"/>
            <w:vAlign w:val="center"/>
            <w:hideMark/>
          </w:tcPr>
          <w:p w14:paraId="0DD7B998" w14:textId="790F7FBB" w:rsidR="00024C66" w:rsidRPr="00321B15" w:rsidRDefault="00F111D5" w:rsidP="00F111D5">
            <w:pPr>
              <w:overflowPunct/>
              <w:autoSpaceDE/>
              <w:autoSpaceDN/>
              <w:adjustRightInd/>
              <w:spacing w:after="0"/>
              <w:jc w:val="center"/>
              <w:textAlignment w:val="auto"/>
              <w:rPr>
                <w:rFonts w:eastAsia="Times New Roman"/>
                <w:sz w:val="20"/>
                <w:szCs w:val="20"/>
                <w:lang w:val="en-US"/>
              </w:rPr>
            </w:pPr>
            <w:r w:rsidRPr="00321B15">
              <w:rPr>
                <w:rFonts w:eastAsia="Times New Roman"/>
                <w:kern w:val="24"/>
                <w:sz w:val="20"/>
                <w:szCs w:val="20"/>
                <w:lang w:val="en-US"/>
              </w:rPr>
              <w:t>120 kHz SCS</w:t>
            </w:r>
            <w:r w:rsidR="00024C66" w:rsidRPr="00321B15">
              <w:rPr>
                <w:rFonts w:eastAsia="Times New Roman"/>
                <w:kern w:val="24"/>
                <w:sz w:val="20"/>
                <w:szCs w:val="20"/>
                <w:lang w:val="en-US"/>
              </w:rPr>
              <w:t>, 14 OFDM Symbol slot</w:t>
            </w:r>
          </w:p>
        </w:tc>
      </w:tr>
      <w:tr w:rsidR="00B21DF7" w:rsidRPr="00F04030" w14:paraId="1C061D6F" w14:textId="77777777" w:rsidTr="003B7E7C">
        <w:trPr>
          <w:trHeight w:val="182"/>
          <w:jc w:val="center"/>
        </w:trPr>
        <w:tc>
          <w:tcPr>
            <w:tcW w:w="2425" w:type="dxa"/>
            <w:vAlign w:val="center"/>
            <w:hideMark/>
          </w:tcPr>
          <w:p w14:paraId="6521A591" w14:textId="77777777" w:rsidR="00B21DF7" w:rsidRPr="00321B15" w:rsidRDefault="00B21DF7" w:rsidP="00F111D5">
            <w:pPr>
              <w:overflowPunct/>
              <w:autoSpaceDE/>
              <w:autoSpaceDN/>
              <w:adjustRightInd/>
              <w:spacing w:after="0"/>
              <w:jc w:val="center"/>
              <w:textAlignment w:val="auto"/>
              <w:rPr>
                <w:rFonts w:ascii="Arial" w:eastAsia="Times New Roman" w:hAnsi="Arial" w:cs="Arial"/>
                <w:sz w:val="20"/>
                <w:szCs w:val="20"/>
                <w:lang w:val="en-US"/>
              </w:rPr>
            </w:pPr>
            <w:r w:rsidRPr="00321B15">
              <w:rPr>
                <w:rFonts w:ascii="Arial" w:eastAsia="Times New Roman" w:hAnsi="Arial" w:cs="Arial"/>
                <w:kern w:val="24"/>
                <w:sz w:val="20"/>
                <w:szCs w:val="20"/>
                <w:lang w:val="en-US"/>
              </w:rPr>
              <w:t>Channel Model</w:t>
            </w:r>
          </w:p>
        </w:tc>
        <w:tc>
          <w:tcPr>
            <w:tcW w:w="6930" w:type="dxa"/>
            <w:vAlign w:val="center"/>
            <w:hideMark/>
          </w:tcPr>
          <w:p w14:paraId="43A7EB99" w14:textId="6F628FD3" w:rsidR="00B21DF7" w:rsidRPr="00321B15" w:rsidRDefault="00B21DF7" w:rsidP="00F111D5">
            <w:pPr>
              <w:overflowPunct/>
              <w:autoSpaceDE/>
              <w:autoSpaceDN/>
              <w:adjustRightInd/>
              <w:spacing w:after="0"/>
              <w:jc w:val="center"/>
              <w:textAlignment w:val="auto"/>
              <w:rPr>
                <w:rFonts w:eastAsia="Times New Roman"/>
                <w:sz w:val="20"/>
                <w:szCs w:val="20"/>
                <w:lang w:val="en-US"/>
              </w:rPr>
            </w:pPr>
            <w:r w:rsidRPr="00321B15">
              <w:rPr>
                <w:rFonts w:eastAsia="Times New Roman"/>
                <w:kern w:val="24"/>
                <w:sz w:val="20"/>
                <w:szCs w:val="20"/>
                <w:lang w:val="en-US"/>
              </w:rPr>
              <w:t>5G-UM</w:t>
            </w:r>
            <w:r w:rsidR="00787FAC">
              <w:rPr>
                <w:rFonts w:eastAsia="Times New Roman"/>
                <w:kern w:val="24"/>
                <w:sz w:val="20"/>
                <w:szCs w:val="20"/>
                <w:lang w:val="en-US"/>
              </w:rPr>
              <w:t xml:space="preserve">A </w:t>
            </w:r>
            <w:r w:rsidR="001A6B75" w:rsidRPr="00321B15">
              <w:rPr>
                <w:rFonts w:eastAsia="Times New Roman"/>
                <w:kern w:val="24"/>
                <w:sz w:val="20"/>
                <w:szCs w:val="20"/>
                <w:lang w:val="en-US"/>
              </w:rPr>
              <w:t>(LOS)</w:t>
            </w:r>
            <w:r w:rsidR="00787FAC">
              <w:rPr>
                <w:rFonts w:eastAsia="Times New Roman"/>
                <w:kern w:val="24"/>
                <w:sz w:val="20"/>
                <w:szCs w:val="20"/>
                <w:lang w:val="en-US"/>
              </w:rPr>
              <w:t>, InH</w:t>
            </w:r>
          </w:p>
        </w:tc>
      </w:tr>
      <w:tr w:rsidR="00B21DF7" w:rsidRPr="00F04030" w14:paraId="6CBD7A37" w14:textId="77777777" w:rsidTr="003B7E7C">
        <w:trPr>
          <w:trHeight w:val="182"/>
          <w:jc w:val="center"/>
        </w:trPr>
        <w:tc>
          <w:tcPr>
            <w:tcW w:w="2425" w:type="dxa"/>
            <w:vAlign w:val="center"/>
            <w:hideMark/>
          </w:tcPr>
          <w:p w14:paraId="31A3DE6D" w14:textId="77777777" w:rsidR="00B21DF7" w:rsidRPr="00321B15" w:rsidRDefault="00B21DF7" w:rsidP="00F111D5">
            <w:pPr>
              <w:overflowPunct/>
              <w:autoSpaceDE/>
              <w:autoSpaceDN/>
              <w:adjustRightInd/>
              <w:spacing w:after="0"/>
              <w:jc w:val="center"/>
              <w:textAlignment w:val="auto"/>
              <w:rPr>
                <w:rFonts w:ascii="Arial" w:eastAsia="Times New Roman" w:hAnsi="Arial" w:cs="Arial"/>
                <w:sz w:val="20"/>
                <w:szCs w:val="20"/>
                <w:lang w:val="en-US"/>
              </w:rPr>
            </w:pPr>
            <w:r w:rsidRPr="00321B15">
              <w:rPr>
                <w:rFonts w:ascii="Arial" w:eastAsia="Times New Roman" w:hAnsi="Arial" w:cs="Arial"/>
                <w:kern w:val="24"/>
                <w:sz w:val="20"/>
                <w:szCs w:val="20"/>
                <w:lang w:val="en-US"/>
              </w:rPr>
              <w:t>Inter-Site Distance</w:t>
            </w:r>
          </w:p>
        </w:tc>
        <w:tc>
          <w:tcPr>
            <w:tcW w:w="6930" w:type="dxa"/>
            <w:vAlign w:val="center"/>
            <w:hideMark/>
          </w:tcPr>
          <w:p w14:paraId="02EA2C98" w14:textId="716D743A" w:rsidR="00B21DF7" w:rsidRPr="00321B15" w:rsidRDefault="00787FAC" w:rsidP="00F111D5">
            <w:pPr>
              <w:overflowPunct/>
              <w:autoSpaceDE/>
              <w:autoSpaceDN/>
              <w:adjustRightInd/>
              <w:spacing w:after="0"/>
              <w:jc w:val="center"/>
              <w:textAlignment w:val="auto"/>
              <w:rPr>
                <w:rFonts w:eastAsia="Times New Roman"/>
                <w:sz w:val="20"/>
                <w:szCs w:val="20"/>
                <w:lang w:val="en-US"/>
              </w:rPr>
            </w:pPr>
            <w:r>
              <w:rPr>
                <w:rFonts w:eastAsia="Times New Roman"/>
                <w:kern w:val="24"/>
                <w:sz w:val="20"/>
                <w:szCs w:val="20"/>
                <w:lang w:val="en-US"/>
              </w:rPr>
              <w:t xml:space="preserve">UMA = </w:t>
            </w:r>
            <w:r w:rsidR="00B21DF7" w:rsidRPr="00321B15">
              <w:rPr>
                <w:rFonts w:eastAsia="Times New Roman"/>
                <w:kern w:val="24"/>
                <w:sz w:val="20"/>
                <w:szCs w:val="20"/>
                <w:lang w:val="en-US"/>
              </w:rPr>
              <w:t>200m</w:t>
            </w:r>
            <w:r>
              <w:rPr>
                <w:rFonts w:eastAsia="Times New Roman"/>
                <w:kern w:val="24"/>
                <w:sz w:val="20"/>
                <w:szCs w:val="20"/>
                <w:lang w:val="en-US"/>
              </w:rPr>
              <w:t>, InH = 20m</w:t>
            </w:r>
          </w:p>
        </w:tc>
      </w:tr>
      <w:tr w:rsidR="00B21DF7" w:rsidRPr="00F04030" w14:paraId="48EFCD2B" w14:textId="77777777" w:rsidTr="003B7E7C">
        <w:trPr>
          <w:trHeight w:val="626"/>
          <w:jc w:val="center"/>
        </w:trPr>
        <w:tc>
          <w:tcPr>
            <w:tcW w:w="2425" w:type="dxa"/>
            <w:vAlign w:val="center"/>
            <w:hideMark/>
          </w:tcPr>
          <w:p w14:paraId="3C067643" w14:textId="77777777" w:rsidR="00B21DF7" w:rsidRPr="00321B15" w:rsidRDefault="00B21DF7" w:rsidP="00F111D5">
            <w:pPr>
              <w:overflowPunct/>
              <w:autoSpaceDE/>
              <w:autoSpaceDN/>
              <w:adjustRightInd/>
              <w:spacing w:after="0"/>
              <w:jc w:val="center"/>
              <w:textAlignment w:val="auto"/>
              <w:rPr>
                <w:rFonts w:ascii="Arial" w:eastAsia="Times New Roman" w:hAnsi="Arial" w:cs="Arial"/>
                <w:sz w:val="20"/>
                <w:szCs w:val="20"/>
                <w:lang w:val="en-US"/>
              </w:rPr>
            </w:pPr>
            <w:r w:rsidRPr="00321B15">
              <w:rPr>
                <w:rFonts w:ascii="Arial" w:eastAsia="Times New Roman" w:hAnsi="Arial" w:cs="Arial"/>
                <w:kern w:val="24"/>
                <w:sz w:val="20"/>
                <w:szCs w:val="20"/>
                <w:lang w:val="en-US"/>
              </w:rPr>
              <w:t>BS Antenna Configuration</w:t>
            </w:r>
          </w:p>
        </w:tc>
        <w:tc>
          <w:tcPr>
            <w:tcW w:w="6930" w:type="dxa"/>
            <w:vAlign w:val="center"/>
            <w:hideMark/>
          </w:tcPr>
          <w:p w14:paraId="3D6B0ED5" w14:textId="77777777" w:rsidR="00727E10" w:rsidRDefault="00727E10" w:rsidP="005A7E8A">
            <w:pPr>
              <w:overflowPunct/>
              <w:autoSpaceDE/>
              <w:autoSpaceDN/>
              <w:adjustRightInd/>
              <w:spacing w:after="0"/>
              <w:jc w:val="center"/>
              <w:textAlignment w:val="auto"/>
              <w:rPr>
                <w:rFonts w:eastAsia="Times New Roman"/>
                <w:kern w:val="24"/>
                <w:sz w:val="20"/>
                <w:szCs w:val="20"/>
                <w:lang w:val="en-US"/>
              </w:rPr>
            </w:pPr>
          </w:p>
          <w:p w14:paraId="3F5F802A" w14:textId="38F22B11" w:rsidR="00F04030" w:rsidRDefault="005A7E8A" w:rsidP="005A7E8A">
            <w:pPr>
              <w:overflowPunct/>
              <w:autoSpaceDE/>
              <w:autoSpaceDN/>
              <w:adjustRightInd/>
              <w:spacing w:after="0"/>
              <w:jc w:val="center"/>
              <w:textAlignment w:val="auto"/>
              <w:rPr>
                <w:rFonts w:eastAsia="Times New Roman"/>
                <w:sz w:val="20"/>
                <w:szCs w:val="20"/>
                <w:lang w:val="en-US"/>
              </w:rPr>
            </w:pPr>
            <w:r>
              <w:rPr>
                <w:rFonts w:eastAsia="Times New Roman"/>
                <w:kern w:val="24"/>
                <w:sz w:val="20"/>
                <w:szCs w:val="20"/>
                <w:lang w:val="en-US"/>
              </w:rPr>
              <w:t xml:space="preserve">Narrow Beam - </w:t>
            </w:r>
            <w:r w:rsidR="00F111D5" w:rsidRPr="00321B15">
              <w:rPr>
                <w:rFonts w:eastAsia="Times New Roman"/>
                <w:kern w:val="24"/>
                <w:sz w:val="20"/>
                <w:szCs w:val="20"/>
                <w:lang w:val="en-US"/>
              </w:rPr>
              <w:t>(M,</w:t>
            </w:r>
            <w:r w:rsidR="0052248A" w:rsidRPr="00321B15">
              <w:rPr>
                <w:rFonts w:eastAsia="Times New Roman"/>
                <w:kern w:val="24"/>
                <w:sz w:val="20"/>
                <w:szCs w:val="20"/>
                <w:lang w:val="en-US"/>
              </w:rPr>
              <w:t xml:space="preserve"> </w:t>
            </w:r>
            <w:r w:rsidR="00F111D5" w:rsidRPr="00321B15">
              <w:rPr>
                <w:rFonts w:eastAsia="Times New Roman"/>
                <w:kern w:val="24"/>
                <w:sz w:val="20"/>
                <w:szCs w:val="20"/>
                <w:lang w:val="en-US"/>
              </w:rPr>
              <w:t>N,</w:t>
            </w:r>
            <w:r w:rsidR="0052248A" w:rsidRPr="00321B15">
              <w:rPr>
                <w:rFonts w:eastAsia="Times New Roman"/>
                <w:kern w:val="24"/>
                <w:sz w:val="20"/>
                <w:szCs w:val="20"/>
                <w:lang w:val="en-US"/>
              </w:rPr>
              <w:t xml:space="preserve"> </w:t>
            </w:r>
            <w:r w:rsidR="00F111D5" w:rsidRPr="00321B15">
              <w:rPr>
                <w:rFonts w:eastAsia="Times New Roman"/>
                <w:kern w:val="24"/>
                <w:sz w:val="20"/>
                <w:szCs w:val="20"/>
                <w:lang w:val="en-US"/>
              </w:rPr>
              <w:t>P,</w:t>
            </w:r>
            <w:r w:rsidR="0052248A" w:rsidRPr="00321B15">
              <w:rPr>
                <w:rFonts w:eastAsia="Times New Roman"/>
                <w:kern w:val="24"/>
                <w:sz w:val="20"/>
                <w:szCs w:val="20"/>
                <w:lang w:val="en-US"/>
              </w:rPr>
              <w:t xml:space="preserve"> </w:t>
            </w:r>
            <w:r w:rsidR="00F111D5" w:rsidRPr="00321B15">
              <w:rPr>
                <w:rFonts w:eastAsia="Times New Roman"/>
                <w:kern w:val="24"/>
                <w:sz w:val="20"/>
                <w:szCs w:val="20"/>
                <w:lang w:val="en-US"/>
              </w:rPr>
              <w:t>M</w:t>
            </w:r>
            <w:r w:rsidR="00A2004D" w:rsidRPr="00321B15">
              <w:rPr>
                <w:rFonts w:eastAsia="Times New Roman"/>
                <w:kern w:val="24"/>
                <w:sz w:val="20"/>
                <w:szCs w:val="20"/>
                <w:lang w:val="en-US"/>
              </w:rPr>
              <w:t>g, Ng</w:t>
            </w:r>
            <w:r w:rsidR="00F111D5" w:rsidRPr="00321B15">
              <w:rPr>
                <w:rFonts w:eastAsia="Times New Roman"/>
                <w:kern w:val="24"/>
                <w:sz w:val="20"/>
                <w:szCs w:val="20"/>
                <w:lang w:val="en-US"/>
              </w:rPr>
              <w:t>)</w:t>
            </w:r>
            <w:r w:rsidR="00A2004D" w:rsidRPr="00321B15">
              <w:rPr>
                <w:rFonts w:eastAsia="Times New Roman"/>
                <w:kern w:val="24"/>
                <w:sz w:val="20"/>
                <w:szCs w:val="20"/>
                <w:lang w:val="en-US"/>
              </w:rPr>
              <w:t xml:space="preserve"> = (</w:t>
            </w:r>
            <w:r w:rsidR="00727E10">
              <w:rPr>
                <w:rFonts w:eastAsia="Times New Roman"/>
                <w:kern w:val="24"/>
                <w:sz w:val="20"/>
                <w:szCs w:val="20"/>
                <w:lang w:val="en-US"/>
              </w:rPr>
              <w:t>4</w:t>
            </w:r>
            <w:r w:rsidR="00F04030" w:rsidRPr="00321B15">
              <w:rPr>
                <w:rFonts w:eastAsia="Times New Roman"/>
                <w:kern w:val="24"/>
                <w:sz w:val="20"/>
                <w:szCs w:val="20"/>
                <w:lang w:val="en-US"/>
              </w:rPr>
              <w:t>,</w:t>
            </w:r>
            <w:r w:rsidR="00727E10">
              <w:rPr>
                <w:rFonts w:eastAsia="Times New Roman"/>
                <w:kern w:val="24"/>
                <w:sz w:val="20"/>
                <w:szCs w:val="20"/>
                <w:lang w:val="en-US"/>
              </w:rPr>
              <w:t>8</w:t>
            </w:r>
            <w:r w:rsidR="00A2004D" w:rsidRPr="00321B15">
              <w:rPr>
                <w:rFonts w:eastAsia="Times New Roman"/>
                <w:kern w:val="24"/>
                <w:sz w:val="20"/>
                <w:szCs w:val="20"/>
                <w:lang w:val="en-US"/>
              </w:rPr>
              <w:t>,2,</w:t>
            </w:r>
            <w:r w:rsidR="00F04030" w:rsidRPr="00321B15">
              <w:rPr>
                <w:rFonts w:eastAsia="Times New Roman"/>
                <w:kern w:val="24"/>
                <w:sz w:val="20"/>
                <w:szCs w:val="20"/>
                <w:lang w:val="en-US"/>
              </w:rPr>
              <w:t>1,1</w:t>
            </w:r>
            <w:r w:rsidR="00A2004D" w:rsidRPr="00321B15">
              <w:rPr>
                <w:rFonts w:eastAsia="Times New Roman"/>
                <w:kern w:val="24"/>
                <w:sz w:val="20"/>
                <w:szCs w:val="20"/>
                <w:lang w:val="en-US"/>
              </w:rPr>
              <w:t>)</w:t>
            </w:r>
            <w:r>
              <w:rPr>
                <w:rFonts w:eastAsia="Times New Roman"/>
                <w:kern w:val="24"/>
                <w:sz w:val="20"/>
                <w:szCs w:val="20"/>
                <w:lang w:val="en-US"/>
              </w:rPr>
              <w:t>, 64</w:t>
            </w:r>
            <w:r w:rsidR="00F04030" w:rsidRPr="00321B15">
              <w:rPr>
                <w:rFonts w:eastAsia="Times New Roman"/>
                <w:sz w:val="20"/>
                <w:szCs w:val="20"/>
                <w:lang w:val="en-US"/>
              </w:rPr>
              <w:t xml:space="preserve"> DFT Beams</w:t>
            </w:r>
            <w:r w:rsidR="00A5750B" w:rsidRPr="00321B15">
              <w:rPr>
                <w:rFonts w:eastAsia="Times New Roman"/>
                <w:sz w:val="20"/>
                <w:szCs w:val="20"/>
                <w:lang w:val="en-US"/>
              </w:rPr>
              <w:t xml:space="preserve"> (</w:t>
            </w:r>
            <w:r>
              <w:rPr>
                <w:rFonts w:eastAsia="Times New Roman"/>
                <w:sz w:val="20"/>
                <w:szCs w:val="20"/>
                <w:lang w:val="en-US"/>
              </w:rPr>
              <w:t>2x oversampling in horizontal domain)</w:t>
            </w:r>
          </w:p>
          <w:p w14:paraId="35687E50" w14:textId="77777777" w:rsidR="005A7E8A" w:rsidRDefault="005A7E8A" w:rsidP="005A7E8A">
            <w:pPr>
              <w:overflowPunct/>
              <w:autoSpaceDE/>
              <w:autoSpaceDN/>
              <w:adjustRightInd/>
              <w:spacing w:after="0"/>
              <w:jc w:val="center"/>
              <w:textAlignment w:val="auto"/>
              <w:rPr>
                <w:rFonts w:eastAsia="Times New Roman"/>
                <w:sz w:val="20"/>
                <w:szCs w:val="20"/>
                <w:lang w:val="en-US"/>
              </w:rPr>
            </w:pPr>
          </w:p>
          <w:p w14:paraId="5AE0B00E" w14:textId="3CE1AE8D" w:rsidR="005A7E8A" w:rsidRDefault="005A7E8A" w:rsidP="005A7E8A">
            <w:pPr>
              <w:overflowPunct/>
              <w:autoSpaceDE/>
              <w:autoSpaceDN/>
              <w:adjustRightInd/>
              <w:spacing w:after="0"/>
              <w:jc w:val="center"/>
              <w:textAlignment w:val="auto"/>
              <w:rPr>
                <w:rFonts w:eastAsia="Times New Roman"/>
                <w:sz w:val="20"/>
                <w:szCs w:val="20"/>
                <w:lang w:val="en-US"/>
              </w:rPr>
            </w:pPr>
            <w:r>
              <w:rPr>
                <w:rFonts w:eastAsia="Times New Roman"/>
                <w:kern w:val="24"/>
                <w:sz w:val="20"/>
                <w:szCs w:val="20"/>
                <w:lang w:val="en-US"/>
              </w:rPr>
              <w:t xml:space="preserve">Wide Beam - </w:t>
            </w:r>
            <w:r w:rsidRPr="00321B15">
              <w:rPr>
                <w:rFonts w:eastAsia="Times New Roman"/>
                <w:kern w:val="24"/>
                <w:sz w:val="20"/>
                <w:szCs w:val="20"/>
                <w:lang w:val="en-US"/>
              </w:rPr>
              <w:t>(M, N, P, Mg, Ng) = (</w:t>
            </w:r>
            <w:r w:rsidR="00727E10">
              <w:rPr>
                <w:rFonts w:eastAsia="Times New Roman"/>
                <w:kern w:val="24"/>
                <w:sz w:val="20"/>
                <w:szCs w:val="20"/>
                <w:lang w:val="en-US"/>
              </w:rPr>
              <w:t>2</w:t>
            </w:r>
            <w:r w:rsidRPr="00321B15">
              <w:rPr>
                <w:rFonts w:eastAsia="Times New Roman"/>
                <w:kern w:val="24"/>
                <w:sz w:val="20"/>
                <w:szCs w:val="20"/>
                <w:lang w:val="en-US"/>
              </w:rPr>
              <w:t>,</w:t>
            </w:r>
            <w:r w:rsidR="00727E10">
              <w:rPr>
                <w:rFonts w:eastAsia="Times New Roman"/>
                <w:kern w:val="24"/>
                <w:sz w:val="20"/>
                <w:szCs w:val="20"/>
                <w:lang w:val="en-US"/>
              </w:rPr>
              <w:t>4</w:t>
            </w:r>
            <w:r w:rsidRPr="00321B15">
              <w:rPr>
                <w:rFonts w:eastAsia="Times New Roman"/>
                <w:kern w:val="24"/>
                <w:sz w:val="20"/>
                <w:szCs w:val="20"/>
                <w:lang w:val="en-US"/>
              </w:rPr>
              <w:t>,2,1,1)</w:t>
            </w:r>
            <w:r>
              <w:rPr>
                <w:rFonts w:eastAsia="Times New Roman"/>
                <w:kern w:val="24"/>
                <w:sz w:val="20"/>
                <w:szCs w:val="20"/>
                <w:lang w:val="en-US"/>
              </w:rPr>
              <w:t xml:space="preserve">, </w:t>
            </w:r>
            <w:r w:rsidR="008F68E9">
              <w:rPr>
                <w:rFonts w:eastAsia="Times New Roman"/>
                <w:kern w:val="24"/>
                <w:sz w:val="20"/>
                <w:szCs w:val="20"/>
                <w:lang w:val="en-US"/>
              </w:rPr>
              <w:t>32</w:t>
            </w:r>
            <w:r w:rsidRPr="00321B15">
              <w:rPr>
                <w:rFonts w:eastAsia="Times New Roman"/>
                <w:sz w:val="20"/>
                <w:szCs w:val="20"/>
                <w:lang w:val="en-US"/>
              </w:rPr>
              <w:t xml:space="preserve"> DFT Beams (</w:t>
            </w:r>
            <w:r>
              <w:rPr>
                <w:rFonts w:eastAsia="Times New Roman"/>
                <w:sz w:val="20"/>
                <w:szCs w:val="20"/>
                <w:lang w:val="en-US"/>
              </w:rPr>
              <w:t>2x oversampling in horizontal</w:t>
            </w:r>
            <w:r w:rsidR="008F68E9">
              <w:rPr>
                <w:rFonts w:eastAsia="Times New Roman"/>
                <w:sz w:val="20"/>
                <w:szCs w:val="20"/>
                <w:lang w:val="en-US"/>
              </w:rPr>
              <w:t xml:space="preserve"> and vertical</w:t>
            </w:r>
            <w:r>
              <w:rPr>
                <w:rFonts w:eastAsia="Times New Roman"/>
                <w:sz w:val="20"/>
                <w:szCs w:val="20"/>
                <w:lang w:val="en-US"/>
              </w:rPr>
              <w:t xml:space="preserve"> domain</w:t>
            </w:r>
            <w:r w:rsidR="008F68E9">
              <w:rPr>
                <w:rFonts w:eastAsia="Times New Roman"/>
                <w:sz w:val="20"/>
                <w:szCs w:val="20"/>
                <w:lang w:val="en-US"/>
              </w:rPr>
              <w:t>s</w:t>
            </w:r>
            <w:r>
              <w:rPr>
                <w:rFonts w:eastAsia="Times New Roman"/>
                <w:sz w:val="20"/>
                <w:szCs w:val="20"/>
                <w:lang w:val="en-US"/>
              </w:rPr>
              <w:t>)</w:t>
            </w:r>
          </w:p>
          <w:p w14:paraId="14FA216B" w14:textId="77777777" w:rsidR="005A7E8A" w:rsidRDefault="005A7E8A" w:rsidP="005A7E8A">
            <w:pPr>
              <w:overflowPunct/>
              <w:autoSpaceDE/>
              <w:autoSpaceDN/>
              <w:adjustRightInd/>
              <w:spacing w:after="0"/>
              <w:jc w:val="center"/>
              <w:textAlignment w:val="auto"/>
              <w:rPr>
                <w:rFonts w:eastAsia="Times New Roman"/>
                <w:sz w:val="20"/>
                <w:szCs w:val="20"/>
                <w:lang w:val="en-US"/>
              </w:rPr>
            </w:pPr>
          </w:p>
          <w:p w14:paraId="4A3406A5" w14:textId="552D2133" w:rsidR="005A7E8A" w:rsidRPr="00321B15" w:rsidRDefault="005A7E8A" w:rsidP="005A7E8A">
            <w:pPr>
              <w:overflowPunct/>
              <w:autoSpaceDE/>
              <w:autoSpaceDN/>
              <w:adjustRightInd/>
              <w:spacing w:after="0"/>
              <w:jc w:val="center"/>
              <w:textAlignment w:val="auto"/>
              <w:rPr>
                <w:rFonts w:eastAsia="Times New Roman"/>
                <w:sz w:val="20"/>
                <w:szCs w:val="20"/>
                <w:lang w:val="en-US"/>
              </w:rPr>
            </w:pPr>
          </w:p>
        </w:tc>
      </w:tr>
      <w:tr w:rsidR="00024C66" w:rsidRPr="00F04030" w14:paraId="1F67E354" w14:textId="77777777" w:rsidTr="003B7E7C">
        <w:trPr>
          <w:trHeight w:val="182"/>
          <w:jc w:val="center"/>
        </w:trPr>
        <w:tc>
          <w:tcPr>
            <w:tcW w:w="2425" w:type="dxa"/>
            <w:vAlign w:val="center"/>
            <w:hideMark/>
          </w:tcPr>
          <w:p w14:paraId="329ED3AC" w14:textId="77777777" w:rsidR="00024C66" w:rsidRPr="00321B15" w:rsidRDefault="00024C66" w:rsidP="00F111D5">
            <w:pPr>
              <w:overflowPunct/>
              <w:autoSpaceDE/>
              <w:autoSpaceDN/>
              <w:adjustRightInd/>
              <w:spacing w:after="0"/>
              <w:jc w:val="center"/>
              <w:textAlignment w:val="auto"/>
              <w:rPr>
                <w:rFonts w:ascii="Arial" w:eastAsia="Times New Roman" w:hAnsi="Arial" w:cs="Arial"/>
                <w:sz w:val="20"/>
                <w:szCs w:val="20"/>
                <w:lang w:val="en-US"/>
              </w:rPr>
            </w:pPr>
            <w:r w:rsidRPr="00321B15">
              <w:rPr>
                <w:rFonts w:ascii="Arial" w:eastAsia="Times New Roman" w:hAnsi="Arial" w:cs="Arial"/>
                <w:kern w:val="24"/>
                <w:sz w:val="20"/>
                <w:szCs w:val="20"/>
                <w:lang w:val="en-US"/>
              </w:rPr>
              <w:t>UE Antenna Configuration</w:t>
            </w:r>
          </w:p>
        </w:tc>
        <w:tc>
          <w:tcPr>
            <w:tcW w:w="6930" w:type="dxa"/>
            <w:vAlign w:val="center"/>
            <w:hideMark/>
          </w:tcPr>
          <w:p w14:paraId="0720C321" w14:textId="77777777" w:rsidR="00C43C30" w:rsidRDefault="00C43C30" w:rsidP="00BF3EDF">
            <w:pPr>
              <w:overflowPunct/>
              <w:autoSpaceDE/>
              <w:autoSpaceDN/>
              <w:adjustRightInd/>
              <w:spacing w:after="0"/>
              <w:jc w:val="center"/>
              <w:textAlignment w:val="auto"/>
              <w:rPr>
                <w:rFonts w:eastAsia="Times New Roman"/>
                <w:kern w:val="24"/>
                <w:sz w:val="20"/>
                <w:szCs w:val="20"/>
                <w:lang w:val="en-US"/>
              </w:rPr>
            </w:pPr>
          </w:p>
          <w:p w14:paraId="521A28AA" w14:textId="2DA3FCAA" w:rsidR="00BF3EDF" w:rsidRPr="00321B15" w:rsidRDefault="00727E10" w:rsidP="00BF3EDF">
            <w:pPr>
              <w:overflowPunct/>
              <w:autoSpaceDE/>
              <w:autoSpaceDN/>
              <w:adjustRightInd/>
              <w:spacing w:after="0"/>
              <w:jc w:val="center"/>
              <w:textAlignment w:val="auto"/>
              <w:rPr>
                <w:rFonts w:eastAsia="Times New Roman"/>
                <w:kern w:val="24"/>
                <w:sz w:val="20"/>
                <w:szCs w:val="20"/>
                <w:lang w:val="en-US"/>
              </w:rPr>
            </w:pPr>
            <w:r>
              <w:rPr>
                <w:rFonts w:eastAsia="Times New Roman"/>
                <w:kern w:val="24"/>
                <w:sz w:val="20"/>
                <w:szCs w:val="20"/>
                <w:lang w:val="en-US"/>
              </w:rPr>
              <w:t xml:space="preserve">Narrow Beam - </w:t>
            </w:r>
            <w:r w:rsidR="00F04030" w:rsidRPr="00321B15">
              <w:rPr>
                <w:rFonts w:eastAsia="Times New Roman"/>
                <w:kern w:val="24"/>
                <w:sz w:val="20"/>
                <w:szCs w:val="20"/>
                <w:lang w:val="en-US"/>
              </w:rPr>
              <w:t>(M,</w:t>
            </w:r>
            <w:r w:rsidR="0052248A" w:rsidRPr="00321B15">
              <w:rPr>
                <w:rFonts w:eastAsia="Times New Roman"/>
                <w:kern w:val="24"/>
                <w:sz w:val="20"/>
                <w:szCs w:val="20"/>
                <w:lang w:val="en-US"/>
              </w:rPr>
              <w:t xml:space="preserve"> </w:t>
            </w:r>
            <w:r w:rsidR="00F04030" w:rsidRPr="00321B15">
              <w:rPr>
                <w:rFonts w:eastAsia="Times New Roman"/>
                <w:kern w:val="24"/>
                <w:sz w:val="20"/>
                <w:szCs w:val="20"/>
                <w:lang w:val="en-US"/>
              </w:rPr>
              <w:t>N,</w:t>
            </w:r>
            <w:r w:rsidR="0052248A" w:rsidRPr="00321B15">
              <w:rPr>
                <w:rFonts w:eastAsia="Times New Roman"/>
                <w:kern w:val="24"/>
                <w:sz w:val="20"/>
                <w:szCs w:val="20"/>
                <w:lang w:val="en-US"/>
              </w:rPr>
              <w:t xml:space="preserve"> </w:t>
            </w:r>
            <w:r w:rsidR="00F04030" w:rsidRPr="00321B15">
              <w:rPr>
                <w:rFonts w:eastAsia="Times New Roman"/>
                <w:kern w:val="24"/>
                <w:sz w:val="20"/>
                <w:szCs w:val="20"/>
                <w:lang w:val="en-US"/>
              </w:rPr>
              <w:t>P,</w:t>
            </w:r>
            <w:r w:rsidR="0052248A" w:rsidRPr="00321B15">
              <w:rPr>
                <w:rFonts w:eastAsia="Times New Roman"/>
                <w:kern w:val="24"/>
                <w:sz w:val="20"/>
                <w:szCs w:val="20"/>
                <w:lang w:val="en-US"/>
              </w:rPr>
              <w:t xml:space="preserve"> </w:t>
            </w:r>
            <w:r w:rsidR="00F04030" w:rsidRPr="00321B15">
              <w:rPr>
                <w:rFonts w:eastAsia="Times New Roman"/>
                <w:kern w:val="24"/>
                <w:sz w:val="20"/>
                <w:szCs w:val="20"/>
                <w:lang w:val="en-US"/>
              </w:rPr>
              <w:t>Mg, Ng) = (</w:t>
            </w:r>
            <w:r>
              <w:rPr>
                <w:rFonts w:eastAsia="Times New Roman"/>
                <w:kern w:val="24"/>
                <w:sz w:val="20"/>
                <w:szCs w:val="20"/>
                <w:lang w:val="en-US"/>
              </w:rPr>
              <w:t>1</w:t>
            </w:r>
            <w:r w:rsidR="00F04030" w:rsidRPr="00321B15">
              <w:rPr>
                <w:rFonts w:eastAsia="Times New Roman"/>
                <w:kern w:val="24"/>
                <w:sz w:val="20"/>
                <w:szCs w:val="20"/>
                <w:lang w:val="en-US"/>
              </w:rPr>
              <w:t>,</w:t>
            </w:r>
            <w:r>
              <w:rPr>
                <w:rFonts w:eastAsia="Times New Roman"/>
                <w:kern w:val="24"/>
                <w:sz w:val="20"/>
                <w:szCs w:val="20"/>
                <w:lang w:val="en-US"/>
              </w:rPr>
              <w:t>4</w:t>
            </w:r>
            <w:r w:rsidR="00F04030" w:rsidRPr="00321B15">
              <w:rPr>
                <w:rFonts w:eastAsia="Times New Roman"/>
                <w:kern w:val="24"/>
                <w:sz w:val="20"/>
                <w:szCs w:val="20"/>
                <w:lang w:val="en-US"/>
              </w:rPr>
              <w:t>,2,1,</w:t>
            </w:r>
            <w:r>
              <w:rPr>
                <w:rFonts w:eastAsia="Times New Roman"/>
                <w:kern w:val="24"/>
                <w:sz w:val="20"/>
                <w:szCs w:val="20"/>
                <w:lang w:val="en-US"/>
              </w:rPr>
              <w:t>3</w:t>
            </w:r>
            <w:r w:rsidR="00F04030" w:rsidRPr="00321B15">
              <w:rPr>
                <w:rFonts w:eastAsia="Times New Roman"/>
                <w:kern w:val="24"/>
                <w:sz w:val="20"/>
                <w:szCs w:val="20"/>
                <w:lang w:val="en-US"/>
              </w:rPr>
              <w:t>)</w:t>
            </w:r>
            <w:r w:rsidR="00BF3EDF" w:rsidRPr="00321B15">
              <w:rPr>
                <w:rFonts w:eastAsia="Times New Roman"/>
                <w:kern w:val="24"/>
                <w:sz w:val="20"/>
                <w:szCs w:val="20"/>
                <w:lang w:val="en-US"/>
              </w:rPr>
              <w:t>:</w:t>
            </w:r>
            <w:r w:rsidR="0052248A" w:rsidRPr="00321B15">
              <w:rPr>
                <w:rFonts w:eastAsia="Times New Roman"/>
                <w:kern w:val="24"/>
                <w:sz w:val="20"/>
                <w:szCs w:val="20"/>
                <w:lang w:val="en-US"/>
              </w:rPr>
              <w:t xml:space="preserve"> 2 Panels (0</w:t>
            </w:r>
            <m:oMath>
              <m:r>
                <w:rPr>
                  <w:rFonts w:ascii="Cambria Math" w:eastAsia="Times New Roman" w:hAnsi="Cambria Math"/>
                  <w:kern w:val="24"/>
                  <w:sz w:val="20"/>
                  <w:szCs w:val="20"/>
                  <w:lang w:val="en-US"/>
                </w:rPr>
                <m:t>°,9</m:t>
              </m:r>
              <m:r>
                <m:rPr>
                  <m:sty m:val="p"/>
                </m:rPr>
                <w:rPr>
                  <w:rFonts w:ascii="Cambria Math" w:eastAsia="Times New Roman" w:hAnsi="Cambria Math"/>
                  <w:kern w:val="24"/>
                  <w:sz w:val="20"/>
                  <w:szCs w:val="20"/>
                  <w:lang w:val="en-US"/>
                </w:rPr>
                <m:t>0</m:t>
              </m:r>
              <m:r>
                <w:rPr>
                  <w:rFonts w:ascii="Cambria Math" w:eastAsia="Times New Roman" w:hAnsi="Cambria Math"/>
                  <w:kern w:val="24"/>
                  <w:sz w:val="20"/>
                  <w:szCs w:val="20"/>
                  <w:lang w:val="en-US"/>
                </w:rPr>
                <m:t>°, 27</m:t>
              </m:r>
              <m:r>
                <m:rPr>
                  <m:sty m:val="p"/>
                </m:rPr>
                <w:rPr>
                  <w:rFonts w:ascii="Cambria Math" w:eastAsia="Times New Roman" w:hAnsi="Cambria Math"/>
                  <w:kern w:val="24"/>
                  <w:sz w:val="20"/>
                  <w:szCs w:val="20"/>
                  <w:lang w:val="en-US"/>
                </w:rPr>
                <m:t>0</m:t>
              </m:r>
              <m:r>
                <w:rPr>
                  <w:rFonts w:ascii="Cambria Math" w:eastAsia="Times New Roman" w:hAnsi="Cambria Math"/>
                  <w:kern w:val="24"/>
                  <w:sz w:val="20"/>
                  <w:szCs w:val="20"/>
                  <w:lang w:val="en-US"/>
                </w:rPr>
                <m:t>°</m:t>
              </m:r>
            </m:oMath>
            <w:r w:rsidR="0052248A" w:rsidRPr="00321B15">
              <w:rPr>
                <w:rFonts w:eastAsia="Times New Roman"/>
                <w:kern w:val="24"/>
                <w:sz w:val="20"/>
                <w:szCs w:val="20"/>
                <w:lang w:val="en-US"/>
              </w:rPr>
              <w:t>)</w:t>
            </w:r>
            <w:r w:rsidR="00F04030" w:rsidRPr="00321B15">
              <w:rPr>
                <w:rFonts w:eastAsia="Times New Roman"/>
                <w:kern w:val="24"/>
                <w:sz w:val="20"/>
                <w:szCs w:val="20"/>
                <w:lang w:val="en-US"/>
              </w:rPr>
              <w:t xml:space="preserve"> </w:t>
            </w:r>
            <w:r w:rsidR="00BF3EDF" w:rsidRPr="00321B15">
              <w:rPr>
                <w:rFonts w:eastAsia="Times New Roman"/>
                <w:kern w:val="24"/>
                <w:sz w:val="20"/>
                <w:szCs w:val="20"/>
                <w:lang w:val="en-US"/>
              </w:rPr>
              <w:t xml:space="preserve"> </w:t>
            </w:r>
          </w:p>
          <w:p w14:paraId="71D9B365" w14:textId="2D1EB98F" w:rsidR="00024C66" w:rsidRDefault="00727E10" w:rsidP="00BF3EDF">
            <w:pPr>
              <w:overflowPunct/>
              <w:autoSpaceDE/>
              <w:autoSpaceDN/>
              <w:adjustRightInd/>
              <w:spacing w:after="0"/>
              <w:jc w:val="center"/>
              <w:textAlignment w:val="auto"/>
              <w:rPr>
                <w:rFonts w:eastAsia="Times New Roman"/>
                <w:sz w:val="20"/>
                <w:szCs w:val="20"/>
                <w:lang w:val="en-US"/>
              </w:rPr>
            </w:pPr>
            <w:r>
              <w:rPr>
                <w:rFonts w:eastAsia="Times New Roman"/>
                <w:sz w:val="20"/>
                <w:szCs w:val="20"/>
                <w:lang w:val="en-US"/>
              </w:rPr>
              <w:t xml:space="preserve">8 </w:t>
            </w:r>
            <w:r w:rsidR="00F04030" w:rsidRPr="00321B15">
              <w:rPr>
                <w:rFonts w:eastAsia="Times New Roman"/>
                <w:sz w:val="20"/>
                <w:szCs w:val="20"/>
                <w:lang w:val="en-US"/>
              </w:rPr>
              <w:t>DFT Beams</w:t>
            </w:r>
            <w:r w:rsidR="00BF3EDF" w:rsidRPr="00321B15">
              <w:rPr>
                <w:rFonts w:eastAsia="Times New Roman"/>
                <w:sz w:val="20"/>
                <w:szCs w:val="20"/>
                <w:lang w:val="en-US"/>
              </w:rPr>
              <w:t xml:space="preserve"> per panel</w:t>
            </w:r>
            <w:r w:rsidR="00A5750B" w:rsidRPr="00321B15">
              <w:rPr>
                <w:rFonts w:eastAsia="Times New Roman"/>
                <w:sz w:val="20"/>
                <w:szCs w:val="20"/>
                <w:lang w:val="en-US"/>
              </w:rPr>
              <w:t xml:space="preserve"> (</w:t>
            </w:r>
            <w:r w:rsidR="00C43C30">
              <w:rPr>
                <w:rFonts w:eastAsia="Times New Roman"/>
                <w:sz w:val="20"/>
                <w:szCs w:val="20"/>
                <w:lang w:val="en-US"/>
              </w:rPr>
              <w:t>2x horizontal oversampling</w:t>
            </w:r>
            <w:r w:rsidR="00A5750B" w:rsidRPr="00321B15">
              <w:rPr>
                <w:rFonts w:eastAsia="Times New Roman"/>
                <w:sz w:val="20"/>
                <w:szCs w:val="20"/>
                <w:lang w:val="en-US"/>
              </w:rPr>
              <w:t>)</w:t>
            </w:r>
          </w:p>
          <w:p w14:paraId="0EC16DF5" w14:textId="77777777" w:rsidR="00C43C30" w:rsidRDefault="00C43C30" w:rsidP="00BF3EDF">
            <w:pPr>
              <w:overflowPunct/>
              <w:autoSpaceDE/>
              <w:autoSpaceDN/>
              <w:adjustRightInd/>
              <w:spacing w:after="0"/>
              <w:jc w:val="center"/>
              <w:textAlignment w:val="auto"/>
              <w:rPr>
                <w:rFonts w:eastAsia="Times New Roman"/>
                <w:sz w:val="20"/>
                <w:szCs w:val="20"/>
                <w:lang w:val="en-US"/>
              </w:rPr>
            </w:pPr>
          </w:p>
          <w:p w14:paraId="1D4DAFDB" w14:textId="09B01A7F" w:rsidR="00C43C30" w:rsidRPr="00321B15" w:rsidRDefault="00C43C30" w:rsidP="00C43C30">
            <w:pPr>
              <w:overflowPunct/>
              <w:autoSpaceDE/>
              <w:autoSpaceDN/>
              <w:adjustRightInd/>
              <w:spacing w:after="0"/>
              <w:jc w:val="center"/>
              <w:textAlignment w:val="auto"/>
              <w:rPr>
                <w:rFonts w:eastAsia="Times New Roman"/>
                <w:kern w:val="24"/>
                <w:sz w:val="20"/>
                <w:szCs w:val="20"/>
                <w:lang w:val="en-US"/>
              </w:rPr>
            </w:pPr>
            <w:r>
              <w:rPr>
                <w:rFonts w:eastAsia="Times New Roman"/>
                <w:kern w:val="24"/>
                <w:sz w:val="20"/>
                <w:szCs w:val="20"/>
                <w:lang w:val="en-US"/>
              </w:rPr>
              <w:t xml:space="preserve">Wide Beam - </w:t>
            </w:r>
            <w:r w:rsidRPr="00321B15">
              <w:rPr>
                <w:rFonts w:eastAsia="Times New Roman"/>
                <w:kern w:val="24"/>
                <w:sz w:val="20"/>
                <w:szCs w:val="20"/>
                <w:lang w:val="en-US"/>
              </w:rPr>
              <w:t>(M, N, P, Mg, Ng) = (</w:t>
            </w:r>
            <w:r>
              <w:rPr>
                <w:rFonts w:eastAsia="Times New Roman"/>
                <w:kern w:val="24"/>
                <w:sz w:val="20"/>
                <w:szCs w:val="20"/>
                <w:lang w:val="en-US"/>
              </w:rPr>
              <w:t>1</w:t>
            </w:r>
            <w:r w:rsidRPr="00321B15">
              <w:rPr>
                <w:rFonts w:eastAsia="Times New Roman"/>
                <w:kern w:val="24"/>
                <w:sz w:val="20"/>
                <w:szCs w:val="20"/>
                <w:lang w:val="en-US"/>
              </w:rPr>
              <w:t>,</w:t>
            </w:r>
            <w:r>
              <w:rPr>
                <w:rFonts w:eastAsia="Times New Roman"/>
                <w:kern w:val="24"/>
                <w:sz w:val="20"/>
                <w:szCs w:val="20"/>
                <w:lang w:val="en-US"/>
              </w:rPr>
              <w:t>2</w:t>
            </w:r>
            <w:r w:rsidRPr="00321B15">
              <w:rPr>
                <w:rFonts w:eastAsia="Times New Roman"/>
                <w:kern w:val="24"/>
                <w:sz w:val="20"/>
                <w:szCs w:val="20"/>
                <w:lang w:val="en-US"/>
              </w:rPr>
              <w:t>,2,1,</w:t>
            </w:r>
            <w:r>
              <w:rPr>
                <w:rFonts w:eastAsia="Times New Roman"/>
                <w:kern w:val="24"/>
                <w:sz w:val="20"/>
                <w:szCs w:val="20"/>
                <w:lang w:val="en-US"/>
              </w:rPr>
              <w:t>3</w:t>
            </w:r>
            <w:r w:rsidRPr="00321B15">
              <w:rPr>
                <w:rFonts w:eastAsia="Times New Roman"/>
                <w:kern w:val="24"/>
                <w:sz w:val="20"/>
                <w:szCs w:val="20"/>
                <w:lang w:val="en-US"/>
              </w:rPr>
              <w:t>): 2 Panels (0</w:t>
            </w:r>
            <m:oMath>
              <m:r>
                <w:rPr>
                  <w:rFonts w:ascii="Cambria Math" w:eastAsia="Times New Roman" w:hAnsi="Cambria Math"/>
                  <w:kern w:val="24"/>
                  <w:sz w:val="20"/>
                  <w:szCs w:val="20"/>
                  <w:lang w:val="en-US"/>
                </w:rPr>
                <m:t>°,9</m:t>
              </m:r>
              <m:r>
                <m:rPr>
                  <m:sty m:val="p"/>
                </m:rPr>
                <w:rPr>
                  <w:rFonts w:ascii="Cambria Math" w:eastAsia="Times New Roman" w:hAnsi="Cambria Math"/>
                  <w:kern w:val="24"/>
                  <w:sz w:val="20"/>
                  <w:szCs w:val="20"/>
                  <w:lang w:val="en-US"/>
                </w:rPr>
                <m:t>0</m:t>
              </m:r>
              <m:r>
                <w:rPr>
                  <w:rFonts w:ascii="Cambria Math" w:eastAsia="Times New Roman" w:hAnsi="Cambria Math"/>
                  <w:kern w:val="24"/>
                  <w:sz w:val="20"/>
                  <w:szCs w:val="20"/>
                  <w:lang w:val="en-US"/>
                </w:rPr>
                <m:t>°, 27</m:t>
              </m:r>
              <m:r>
                <m:rPr>
                  <m:sty m:val="p"/>
                </m:rPr>
                <w:rPr>
                  <w:rFonts w:ascii="Cambria Math" w:eastAsia="Times New Roman" w:hAnsi="Cambria Math"/>
                  <w:kern w:val="24"/>
                  <w:sz w:val="20"/>
                  <w:szCs w:val="20"/>
                  <w:lang w:val="en-US"/>
                </w:rPr>
                <m:t>0</m:t>
              </m:r>
              <m:r>
                <w:rPr>
                  <w:rFonts w:ascii="Cambria Math" w:eastAsia="Times New Roman" w:hAnsi="Cambria Math"/>
                  <w:kern w:val="24"/>
                  <w:sz w:val="20"/>
                  <w:szCs w:val="20"/>
                  <w:lang w:val="en-US"/>
                </w:rPr>
                <m:t>°</m:t>
              </m:r>
            </m:oMath>
            <w:r w:rsidRPr="00321B15">
              <w:rPr>
                <w:rFonts w:eastAsia="Times New Roman"/>
                <w:kern w:val="24"/>
                <w:sz w:val="20"/>
                <w:szCs w:val="20"/>
                <w:lang w:val="en-US"/>
              </w:rPr>
              <w:t xml:space="preserve">)  </w:t>
            </w:r>
          </w:p>
          <w:p w14:paraId="5359E28D" w14:textId="5690BD04" w:rsidR="00C43C30" w:rsidRDefault="00C43C30" w:rsidP="00C43C30">
            <w:pPr>
              <w:overflowPunct/>
              <w:autoSpaceDE/>
              <w:autoSpaceDN/>
              <w:adjustRightInd/>
              <w:spacing w:after="0"/>
              <w:jc w:val="center"/>
              <w:textAlignment w:val="auto"/>
              <w:rPr>
                <w:rFonts w:eastAsia="Times New Roman"/>
                <w:sz w:val="20"/>
                <w:szCs w:val="20"/>
                <w:lang w:val="en-US"/>
              </w:rPr>
            </w:pPr>
            <w:r>
              <w:rPr>
                <w:rFonts w:eastAsia="Times New Roman"/>
                <w:sz w:val="20"/>
                <w:szCs w:val="20"/>
                <w:lang w:val="en-US"/>
              </w:rPr>
              <w:t xml:space="preserve">4 </w:t>
            </w:r>
            <w:r w:rsidRPr="00321B15">
              <w:rPr>
                <w:rFonts w:eastAsia="Times New Roman"/>
                <w:sz w:val="20"/>
                <w:szCs w:val="20"/>
                <w:lang w:val="en-US"/>
              </w:rPr>
              <w:t>DFT Beams per panel (</w:t>
            </w:r>
            <w:r>
              <w:rPr>
                <w:rFonts w:eastAsia="Times New Roman"/>
                <w:sz w:val="20"/>
                <w:szCs w:val="20"/>
                <w:lang w:val="en-US"/>
              </w:rPr>
              <w:t>2x horizontal oversampling</w:t>
            </w:r>
            <w:r w:rsidRPr="00321B15">
              <w:rPr>
                <w:rFonts w:eastAsia="Times New Roman"/>
                <w:sz w:val="20"/>
                <w:szCs w:val="20"/>
                <w:lang w:val="en-US"/>
              </w:rPr>
              <w:t>)</w:t>
            </w:r>
          </w:p>
          <w:p w14:paraId="3039DF18" w14:textId="77777777" w:rsidR="00C43C30" w:rsidRDefault="00C43C30" w:rsidP="00C43C30">
            <w:pPr>
              <w:overflowPunct/>
              <w:autoSpaceDE/>
              <w:autoSpaceDN/>
              <w:adjustRightInd/>
              <w:spacing w:after="0"/>
              <w:jc w:val="center"/>
              <w:textAlignment w:val="auto"/>
              <w:rPr>
                <w:rFonts w:eastAsia="Times New Roman"/>
                <w:sz w:val="20"/>
                <w:szCs w:val="20"/>
                <w:lang w:val="en-US"/>
              </w:rPr>
            </w:pPr>
          </w:p>
          <w:p w14:paraId="7347FB16" w14:textId="77777777" w:rsidR="00C43C30" w:rsidRDefault="00C43C30" w:rsidP="00C43C30">
            <w:pPr>
              <w:overflowPunct/>
              <w:autoSpaceDE/>
              <w:autoSpaceDN/>
              <w:adjustRightInd/>
              <w:spacing w:after="0"/>
              <w:jc w:val="center"/>
              <w:textAlignment w:val="auto"/>
              <w:rPr>
                <w:rFonts w:eastAsia="Times New Roman"/>
                <w:sz w:val="20"/>
                <w:szCs w:val="20"/>
                <w:lang w:val="en-US"/>
              </w:rPr>
            </w:pPr>
            <w:r>
              <w:rPr>
                <w:rFonts w:eastAsia="Times New Roman"/>
                <w:sz w:val="20"/>
                <w:szCs w:val="20"/>
                <w:lang w:val="en-US"/>
              </w:rPr>
              <w:t>UE front panel points towards the direction of motion</w:t>
            </w:r>
          </w:p>
          <w:p w14:paraId="122B3A4A" w14:textId="789E7DAB" w:rsidR="00C43C30" w:rsidRPr="00321B15" w:rsidRDefault="00C43C30" w:rsidP="00C43C30">
            <w:pPr>
              <w:overflowPunct/>
              <w:autoSpaceDE/>
              <w:autoSpaceDN/>
              <w:adjustRightInd/>
              <w:spacing w:after="0"/>
              <w:jc w:val="center"/>
              <w:textAlignment w:val="auto"/>
              <w:rPr>
                <w:rFonts w:eastAsia="Times New Roman"/>
                <w:sz w:val="20"/>
                <w:szCs w:val="20"/>
                <w:lang w:val="en-US"/>
              </w:rPr>
            </w:pPr>
          </w:p>
        </w:tc>
      </w:tr>
      <w:tr w:rsidR="00B21DF7" w:rsidRPr="00F04030" w14:paraId="0172E9AC" w14:textId="77777777" w:rsidTr="003B7E7C">
        <w:trPr>
          <w:trHeight w:val="358"/>
          <w:jc w:val="center"/>
        </w:trPr>
        <w:tc>
          <w:tcPr>
            <w:tcW w:w="2425" w:type="dxa"/>
            <w:vAlign w:val="center"/>
            <w:hideMark/>
          </w:tcPr>
          <w:p w14:paraId="6F88DB10" w14:textId="47FC9686" w:rsidR="00B21DF7" w:rsidRPr="00321B15" w:rsidRDefault="00B21DF7" w:rsidP="00F111D5">
            <w:pPr>
              <w:overflowPunct/>
              <w:autoSpaceDE/>
              <w:autoSpaceDN/>
              <w:adjustRightInd/>
              <w:spacing w:after="0"/>
              <w:jc w:val="center"/>
              <w:textAlignment w:val="auto"/>
              <w:rPr>
                <w:rFonts w:ascii="Arial" w:eastAsia="Times New Roman" w:hAnsi="Arial" w:cs="Arial"/>
                <w:sz w:val="20"/>
                <w:szCs w:val="20"/>
                <w:lang w:val="en-US"/>
              </w:rPr>
            </w:pPr>
            <w:r w:rsidRPr="00321B15">
              <w:rPr>
                <w:rFonts w:ascii="Arial" w:eastAsia="Times New Roman" w:hAnsi="Arial" w:cs="Arial"/>
                <w:kern w:val="24"/>
                <w:sz w:val="20"/>
                <w:szCs w:val="20"/>
                <w:lang w:val="en-US"/>
              </w:rPr>
              <w:t>BS Height</w:t>
            </w:r>
          </w:p>
        </w:tc>
        <w:tc>
          <w:tcPr>
            <w:tcW w:w="6930" w:type="dxa"/>
            <w:vAlign w:val="center"/>
            <w:hideMark/>
          </w:tcPr>
          <w:p w14:paraId="39B575BF" w14:textId="16BAB45B" w:rsidR="00B21DF7" w:rsidRPr="00321B15" w:rsidRDefault="00C43C30" w:rsidP="00F111D5">
            <w:pPr>
              <w:overflowPunct/>
              <w:autoSpaceDE/>
              <w:autoSpaceDN/>
              <w:adjustRightInd/>
              <w:spacing w:after="0"/>
              <w:jc w:val="center"/>
              <w:textAlignment w:val="auto"/>
              <w:rPr>
                <w:rFonts w:eastAsia="Times New Roman"/>
                <w:sz w:val="20"/>
                <w:szCs w:val="20"/>
                <w:lang w:val="en-US"/>
              </w:rPr>
            </w:pPr>
            <w:r>
              <w:rPr>
                <w:rFonts w:eastAsia="Times New Roman"/>
                <w:kern w:val="24"/>
                <w:sz w:val="20"/>
                <w:szCs w:val="20"/>
                <w:lang w:val="en-US"/>
              </w:rPr>
              <w:t>UMA - 2</w:t>
            </w:r>
            <w:r w:rsidR="00B21DF7" w:rsidRPr="00321B15">
              <w:rPr>
                <w:rFonts w:eastAsia="Times New Roman"/>
                <w:kern w:val="24"/>
                <w:sz w:val="20"/>
                <w:szCs w:val="20"/>
                <w:lang w:val="en-US"/>
              </w:rPr>
              <w:t>0m</w:t>
            </w:r>
            <w:r>
              <w:rPr>
                <w:rFonts w:eastAsia="Times New Roman"/>
                <w:kern w:val="24"/>
                <w:sz w:val="20"/>
                <w:szCs w:val="20"/>
                <w:lang w:val="en-US"/>
              </w:rPr>
              <w:t>, InH – 3m Ceiling Mounted</w:t>
            </w:r>
          </w:p>
        </w:tc>
      </w:tr>
      <w:tr w:rsidR="00877C86" w:rsidRPr="00F04030" w14:paraId="4DD63D6C" w14:textId="77777777" w:rsidTr="003B7E7C">
        <w:trPr>
          <w:trHeight w:val="312"/>
          <w:jc w:val="center"/>
        </w:trPr>
        <w:tc>
          <w:tcPr>
            <w:tcW w:w="2425" w:type="dxa"/>
            <w:vAlign w:val="center"/>
            <w:hideMark/>
          </w:tcPr>
          <w:p w14:paraId="307B1153" w14:textId="6A396B28" w:rsidR="00877C86" w:rsidRPr="00321B15" w:rsidRDefault="00877C86" w:rsidP="00F111D5">
            <w:pPr>
              <w:overflowPunct/>
              <w:autoSpaceDE/>
              <w:autoSpaceDN/>
              <w:adjustRightInd/>
              <w:spacing w:after="0"/>
              <w:jc w:val="center"/>
              <w:textAlignment w:val="auto"/>
              <w:rPr>
                <w:rFonts w:ascii="Arial" w:eastAsia="Times New Roman" w:hAnsi="Arial" w:cs="Arial"/>
                <w:sz w:val="20"/>
                <w:szCs w:val="20"/>
                <w:lang w:val="en-US"/>
              </w:rPr>
            </w:pPr>
            <w:r w:rsidRPr="00321B15">
              <w:rPr>
                <w:rFonts w:ascii="Arial" w:eastAsia="Times New Roman" w:hAnsi="Arial" w:cs="Arial"/>
                <w:kern w:val="24"/>
                <w:sz w:val="20"/>
                <w:szCs w:val="20"/>
                <w:lang w:val="en-US"/>
              </w:rPr>
              <w:t>UE Deployment</w:t>
            </w:r>
          </w:p>
        </w:tc>
        <w:tc>
          <w:tcPr>
            <w:tcW w:w="6930" w:type="dxa"/>
            <w:vAlign w:val="center"/>
            <w:hideMark/>
          </w:tcPr>
          <w:p w14:paraId="7C546C93" w14:textId="59DA9574" w:rsidR="00877C86" w:rsidRPr="00321B15" w:rsidRDefault="00877C86" w:rsidP="00F111D5">
            <w:pPr>
              <w:overflowPunct/>
              <w:autoSpaceDE/>
              <w:autoSpaceDN/>
              <w:adjustRightInd/>
              <w:spacing w:after="0"/>
              <w:jc w:val="center"/>
              <w:textAlignment w:val="auto"/>
              <w:rPr>
                <w:rFonts w:eastAsia="Times New Roman"/>
                <w:sz w:val="20"/>
                <w:szCs w:val="20"/>
                <w:lang w:val="en-US"/>
              </w:rPr>
            </w:pPr>
            <w:r w:rsidRPr="00321B15">
              <w:rPr>
                <w:rFonts w:eastAsia="Times New Roman"/>
                <w:kern w:val="24"/>
                <w:sz w:val="20"/>
                <w:szCs w:val="20"/>
                <w:lang w:val="en-US"/>
              </w:rPr>
              <w:t>1 outdoor UE @ 1</w:t>
            </w:r>
            <w:r w:rsidR="00C43C30">
              <w:rPr>
                <w:rFonts w:eastAsia="Times New Roman"/>
                <w:kern w:val="24"/>
                <w:sz w:val="20"/>
                <w:szCs w:val="20"/>
                <w:lang w:val="en-US"/>
              </w:rPr>
              <w:t>2</w:t>
            </w:r>
            <w:r w:rsidRPr="00321B15">
              <w:rPr>
                <w:rFonts w:eastAsia="Times New Roman"/>
                <w:kern w:val="24"/>
                <w:sz w:val="20"/>
                <w:szCs w:val="20"/>
                <w:lang w:val="en-US"/>
              </w:rPr>
              <w:t>0 kmph</w:t>
            </w:r>
          </w:p>
        </w:tc>
      </w:tr>
      <w:tr w:rsidR="00EC00C3" w:rsidRPr="00F04030" w14:paraId="43F27432" w14:textId="77777777" w:rsidTr="003B7E7C">
        <w:trPr>
          <w:trHeight w:val="493"/>
          <w:jc w:val="center"/>
        </w:trPr>
        <w:tc>
          <w:tcPr>
            <w:tcW w:w="2425" w:type="dxa"/>
            <w:vAlign w:val="center"/>
          </w:tcPr>
          <w:p w14:paraId="2EFF3DC3" w14:textId="5A774D75" w:rsidR="00EC00C3" w:rsidRPr="00321B15" w:rsidRDefault="00716F68" w:rsidP="00EC00C3">
            <w:pPr>
              <w:overflowPunct/>
              <w:autoSpaceDE/>
              <w:autoSpaceDN/>
              <w:adjustRightInd/>
              <w:spacing w:after="0"/>
              <w:jc w:val="center"/>
              <w:textAlignment w:val="auto"/>
              <w:rPr>
                <w:rFonts w:ascii="Arial" w:eastAsia="Times New Roman" w:hAnsi="Arial" w:cs="Arial"/>
                <w:sz w:val="20"/>
                <w:szCs w:val="20"/>
                <w:lang w:val="en-US"/>
              </w:rPr>
            </w:pPr>
            <w:r w:rsidRPr="00321B15">
              <w:rPr>
                <w:rFonts w:ascii="Arial" w:eastAsia="Times New Roman" w:hAnsi="Arial" w:cs="Arial"/>
                <w:kern w:val="24"/>
                <w:sz w:val="20"/>
                <w:szCs w:val="20"/>
                <w:lang w:val="en-US"/>
              </w:rPr>
              <w:t xml:space="preserve">Latency </w:t>
            </w:r>
            <w:r w:rsidR="00EC00C3" w:rsidRPr="00321B15">
              <w:rPr>
                <w:rFonts w:ascii="Arial" w:eastAsia="Times New Roman" w:hAnsi="Arial" w:cs="Arial"/>
                <w:kern w:val="24"/>
                <w:sz w:val="20"/>
                <w:szCs w:val="20"/>
                <w:lang w:val="en-US"/>
              </w:rPr>
              <w:t>Impairment Modeling</w:t>
            </w:r>
          </w:p>
        </w:tc>
        <w:tc>
          <w:tcPr>
            <w:tcW w:w="6930" w:type="dxa"/>
            <w:vAlign w:val="center"/>
          </w:tcPr>
          <w:p w14:paraId="021D6FA9" w14:textId="0737CB23" w:rsidR="00EC00C3" w:rsidRPr="00321B15" w:rsidRDefault="00EC00C3" w:rsidP="00EC00C3">
            <w:pPr>
              <w:overflowPunct/>
              <w:autoSpaceDE/>
              <w:autoSpaceDN/>
              <w:adjustRightInd/>
              <w:spacing w:after="0"/>
              <w:jc w:val="center"/>
              <w:textAlignment w:val="auto"/>
              <w:rPr>
                <w:rFonts w:eastAsia="Times New Roman"/>
                <w:kern w:val="24"/>
                <w:sz w:val="20"/>
                <w:szCs w:val="20"/>
                <w:lang w:val="en-US"/>
              </w:rPr>
            </w:pPr>
            <w:r w:rsidRPr="00321B15">
              <w:rPr>
                <w:rFonts w:eastAsia="Times New Roman"/>
                <w:kern w:val="24"/>
                <w:sz w:val="20"/>
                <w:szCs w:val="20"/>
                <w:lang w:val="en-US"/>
              </w:rPr>
              <w:t xml:space="preserve">UE Beam Acquisition Latency = </w:t>
            </w:r>
            <w:r w:rsidR="00C43C30">
              <w:rPr>
                <w:rFonts w:eastAsia="Times New Roman"/>
                <w:kern w:val="24"/>
                <w:sz w:val="20"/>
                <w:szCs w:val="20"/>
                <w:lang w:val="en-US"/>
              </w:rPr>
              <w:t>(20,</w:t>
            </w:r>
            <w:r w:rsidRPr="00321B15">
              <w:rPr>
                <w:rFonts w:eastAsia="Times New Roman"/>
                <w:kern w:val="24"/>
                <w:sz w:val="20"/>
                <w:szCs w:val="20"/>
                <w:lang w:val="en-US"/>
              </w:rPr>
              <w:t>40</w:t>
            </w:r>
            <w:r w:rsidR="00C43C30">
              <w:rPr>
                <w:rFonts w:eastAsia="Times New Roman"/>
                <w:kern w:val="24"/>
                <w:sz w:val="20"/>
                <w:szCs w:val="20"/>
                <w:lang w:val="en-US"/>
              </w:rPr>
              <w:t xml:space="preserve">,80,160) </w:t>
            </w:r>
            <w:r w:rsidRPr="00321B15">
              <w:rPr>
                <w:rFonts w:eastAsia="Times New Roman"/>
                <w:kern w:val="24"/>
                <w:sz w:val="20"/>
                <w:szCs w:val="20"/>
                <w:lang w:val="en-US"/>
              </w:rPr>
              <w:t>ms</w:t>
            </w:r>
          </w:p>
          <w:p w14:paraId="429E0A00" w14:textId="5E350AD4" w:rsidR="00EC00C3" w:rsidRPr="00321B15" w:rsidRDefault="00EC00C3" w:rsidP="00EC00C3">
            <w:pPr>
              <w:overflowPunct/>
              <w:autoSpaceDE/>
              <w:autoSpaceDN/>
              <w:adjustRightInd/>
              <w:spacing w:after="0"/>
              <w:jc w:val="center"/>
              <w:textAlignment w:val="auto"/>
              <w:rPr>
                <w:rFonts w:eastAsia="Times New Roman"/>
                <w:sz w:val="20"/>
                <w:szCs w:val="20"/>
                <w:lang w:val="en-US"/>
              </w:rPr>
            </w:pPr>
            <w:r w:rsidRPr="00321B15">
              <w:rPr>
                <w:rFonts w:eastAsia="Times New Roman"/>
                <w:sz w:val="20"/>
                <w:szCs w:val="20"/>
                <w:lang w:val="en-US"/>
              </w:rPr>
              <w:t xml:space="preserve">UE Beam Application Latency = </w:t>
            </w:r>
            <w:r w:rsidR="00C43C30">
              <w:rPr>
                <w:rFonts w:eastAsia="Times New Roman"/>
                <w:sz w:val="20"/>
                <w:szCs w:val="20"/>
                <w:lang w:val="en-US"/>
              </w:rPr>
              <w:t>(1,</w:t>
            </w:r>
            <w:r w:rsidRPr="00321B15">
              <w:rPr>
                <w:rFonts w:eastAsia="Times New Roman"/>
                <w:sz w:val="20"/>
                <w:szCs w:val="20"/>
                <w:lang w:val="en-US"/>
              </w:rPr>
              <w:t>3</w:t>
            </w:r>
            <w:r w:rsidR="00C43C30">
              <w:rPr>
                <w:rFonts w:eastAsia="Times New Roman"/>
                <w:sz w:val="20"/>
                <w:szCs w:val="20"/>
                <w:lang w:val="en-US"/>
              </w:rPr>
              <w:t xml:space="preserve">) </w:t>
            </w:r>
            <w:r w:rsidRPr="00321B15">
              <w:rPr>
                <w:rFonts w:eastAsia="Times New Roman"/>
                <w:sz w:val="20"/>
                <w:szCs w:val="20"/>
                <w:lang w:val="en-US"/>
              </w:rPr>
              <w:t>ms</w:t>
            </w:r>
          </w:p>
        </w:tc>
      </w:tr>
      <w:tr w:rsidR="00EC00C3" w:rsidRPr="00F04030" w14:paraId="7076AA1D" w14:textId="77777777" w:rsidTr="003B7E7C">
        <w:trPr>
          <w:trHeight w:val="312"/>
          <w:jc w:val="center"/>
        </w:trPr>
        <w:tc>
          <w:tcPr>
            <w:tcW w:w="2425" w:type="dxa"/>
            <w:vAlign w:val="center"/>
          </w:tcPr>
          <w:p w14:paraId="476085F8" w14:textId="2CE56F94" w:rsidR="00EC00C3" w:rsidRPr="00321B15" w:rsidRDefault="00F61CF4" w:rsidP="00EC00C3">
            <w:pPr>
              <w:overflowPunct/>
              <w:autoSpaceDE/>
              <w:autoSpaceDN/>
              <w:adjustRightInd/>
              <w:spacing w:after="0"/>
              <w:jc w:val="center"/>
              <w:textAlignment w:val="auto"/>
              <w:rPr>
                <w:rFonts w:ascii="Arial" w:eastAsia="Times New Roman" w:hAnsi="Arial" w:cs="Arial"/>
                <w:sz w:val="20"/>
                <w:szCs w:val="20"/>
                <w:lang w:val="en-US"/>
              </w:rPr>
            </w:pPr>
            <w:r w:rsidRPr="00321B15">
              <w:rPr>
                <w:rFonts w:ascii="Arial" w:eastAsia="Times New Roman" w:hAnsi="Arial" w:cs="Arial"/>
                <w:sz w:val="20"/>
                <w:szCs w:val="20"/>
                <w:lang w:val="en-US"/>
              </w:rPr>
              <w:t>UE Rotation</w:t>
            </w:r>
          </w:p>
        </w:tc>
        <w:tc>
          <w:tcPr>
            <w:tcW w:w="6930" w:type="dxa"/>
            <w:vAlign w:val="center"/>
          </w:tcPr>
          <w:p w14:paraId="5D0052D5" w14:textId="70BA2C2C" w:rsidR="00EC00C3" w:rsidRPr="00321B15" w:rsidRDefault="00F61CF4" w:rsidP="00EC00C3">
            <w:pPr>
              <w:overflowPunct/>
              <w:autoSpaceDE/>
              <w:autoSpaceDN/>
              <w:adjustRightInd/>
              <w:spacing w:after="0"/>
              <w:jc w:val="center"/>
              <w:textAlignment w:val="auto"/>
              <w:rPr>
                <w:rFonts w:eastAsia="Times New Roman"/>
                <w:sz w:val="20"/>
                <w:szCs w:val="20"/>
                <w:lang w:val="en-US"/>
              </w:rPr>
            </w:pPr>
            <w:r w:rsidRPr="00321B15">
              <w:rPr>
                <w:rFonts w:eastAsia="Times New Roman"/>
                <w:sz w:val="20"/>
                <w:szCs w:val="20"/>
                <w:lang w:val="en-US"/>
              </w:rPr>
              <w:t xml:space="preserve">X RPM Rotation along the </w:t>
            </w:r>
            <m:oMath>
              <m:r>
                <w:rPr>
                  <w:rFonts w:ascii="Cambria Math" w:eastAsia="Times New Roman" w:hAnsi="Cambria Math"/>
                  <w:sz w:val="20"/>
                  <w:szCs w:val="20"/>
                  <w:lang w:val="en-US"/>
                </w:rPr>
                <m:t>β</m:t>
              </m:r>
            </m:oMath>
            <w:r w:rsidR="00725735" w:rsidRPr="00321B15">
              <w:rPr>
                <w:rFonts w:eastAsia="Times New Roman"/>
                <w:sz w:val="20"/>
                <w:szCs w:val="20"/>
                <w:lang w:val="en-US"/>
              </w:rPr>
              <w:t>-axis of the LCS with X = 0,1</w:t>
            </w:r>
          </w:p>
        </w:tc>
      </w:tr>
      <w:tr w:rsidR="00EC00C3" w:rsidRPr="00F04030" w14:paraId="7391205B" w14:textId="77777777" w:rsidTr="003B7E7C">
        <w:trPr>
          <w:trHeight w:val="312"/>
          <w:jc w:val="center"/>
        </w:trPr>
        <w:tc>
          <w:tcPr>
            <w:tcW w:w="2425" w:type="dxa"/>
            <w:vAlign w:val="center"/>
          </w:tcPr>
          <w:p w14:paraId="13691A97" w14:textId="4105788D" w:rsidR="00EC00C3" w:rsidRPr="00321B15" w:rsidRDefault="00725735" w:rsidP="00EC00C3">
            <w:pPr>
              <w:overflowPunct/>
              <w:autoSpaceDE/>
              <w:autoSpaceDN/>
              <w:adjustRightInd/>
              <w:spacing w:after="0"/>
              <w:jc w:val="center"/>
              <w:textAlignment w:val="auto"/>
              <w:rPr>
                <w:rFonts w:ascii="Arial" w:eastAsia="Times New Roman" w:hAnsi="Arial" w:cs="Arial"/>
                <w:sz w:val="20"/>
                <w:szCs w:val="20"/>
                <w:lang w:val="en-US"/>
              </w:rPr>
            </w:pPr>
            <w:r w:rsidRPr="00321B15">
              <w:rPr>
                <w:rFonts w:ascii="Arial" w:eastAsia="Times New Roman" w:hAnsi="Arial" w:cs="Arial"/>
                <w:sz w:val="20"/>
                <w:szCs w:val="20"/>
                <w:lang w:val="en-US"/>
              </w:rPr>
              <w:t>UE Trajectory Sampling</w:t>
            </w:r>
          </w:p>
        </w:tc>
        <w:tc>
          <w:tcPr>
            <w:tcW w:w="6930" w:type="dxa"/>
            <w:vAlign w:val="center"/>
          </w:tcPr>
          <w:p w14:paraId="422DD6AA" w14:textId="53948F38" w:rsidR="00EC00C3" w:rsidRPr="00321B15" w:rsidRDefault="00725735" w:rsidP="00EC00C3">
            <w:pPr>
              <w:overflowPunct/>
              <w:autoSpaceDE/>
              <w:autoSpaceDN/>
              <w:adjustRightInd/>
              <w:spacing w:after="0"/>
              <w:jc w:val="center"/>
              <w:textAlignment w:val="auto"/>
              <w:rPr>
                <w:rFonts w:eastAsia="Times New Roman"/>
                <w:sz w:val="20"/>
                <w:szCs w:val="20"/>
                <w:lang w:val="en-US"/>
              </w:rPr>
            </w:pPr>
            <w:r w:rsidRPr="00321B15">
              <w:rPr>
                <w:rFonts w:eastAsia="Times New Roman"/>
                <w:sz w:val="20"/>
                <w:szCs w:val="20"/>
                <w:lang w:val="en-US"/>
              </w:rPr>
              <w:t xml:space="preserve">Linear Trajectory Sampled every </w:t>
            </w:r>
            <w:r w:rsidR="003B7E7C">
              <w:rPr>
                <w:rFonts w:eastAsia="Times New Roman"/>
                <w:sz w:val="20"/>
                <w:szCs w:val="20"/>
                <w:lang w:val="en-US"/>
              </w:rPr>
              <w:t>160</w:t>
            </w:r>
            <w:r w:rsidR="008C532E" w:rsidRPr="00321B15">
              <w:rPr>
                <w:rFonts w:eastAsia="Times New Roman"/>
                <w:sz w:val="20"/>
                <w:szCs w:val="20"/>
                <w:lang w:val="en-US"/>
              </w:rPr>
              <w:t xml:space="preserve"> slots</w:t>
            </w:r>
          </w:p>
        </w:tc>
      </w:tr>
      <w:tr w:rsidR="00EC00C3" w:rsidRPr="00F04030" w14:paraId="2499B368" w14:textId="77777777" w:rsidTr="003B7E7C">
        <w:trPr>
          <w:trHeight w:val="312"/>
          <w:jc w:val="center"/>
        </w:trPr>
        <w:tc>
          <w:tcPr>
            <w:tcW w:w="2425" w:type="dxa"/>
            <w:vAlign w:val="center"/>
          </w:tcPr>
          <w:p w14:paraId="219332C7" w14:textId="0DA13C09" w:rsidR="00EC00C3" w:rsidRPr="00321B15" w:rsidRDefault="008C532E" w:rsidP="00EC00C3">
            <w:pPr>
              <w:overflowPunct/>
              <w:autoSpaceDE/>
              <w:autoSpaceDN/>
              <w:adjustRightInd/>
              <w:spacing w:after="0"/>
              <w:jc w:val="center"/>
              <w:textAlignment w:val="auto"/>
              <w:rPr>
                <w:rFonts w:ascii="Arial" w:eastAsia="Times New Roman" w:hAnsi="Arial" w:cs="Arial"/>
                <w:sz w:val="20"/>
                <w:szCs w:val="20"/>
                <w:lang w:val="en-US"/>
              </w:rPr>
            </w:pPr>
            <w:r w:rsidRPr="00321B15">
              <w:rPr>
                <w:rFonts w:ascii="Arial" w:eastAsia="Times New Roman" w:hAnsi="Arial" w:cs="Arial"/>
                <w:sz w:val="20"/>
                <w:szCs w:val="20"/>
                <w:lang w:val="en-US"/>
              </w:rPr>
              <w:t>Spatial Consistency Modelling</w:t>
            </w:r>
          </w:p>
        </w:tc>
        <w:tc>
          <w:tcPr>
            <w:tcW w:w="6930" w:type="dxa"/>
            <w:vAlign w:val="center"/>
          </w:tcPr>
          <w:p w14:paraId="29FAFA28" w14:textId="400BCC0C" w:rsidR="00EC00C3" w:rsidRPr="00321B15" w:rsidRDefault="00BC4D1F" w:rsidP="00EC00C3">
            <w:pPr>
              <w:overflowPunct/>
              <w:autoSpaceDE/>
              <w:autoSpaceDN/>
              <w:adjustRightInd/>
              <w:spacing w:after="0"/>
              <w:jc w:val="center"/>
              <w:textAlignment w:val="auto"/>
              <w:rPr>
                <w:rFonts w:eastAsia="Times New Roman"/>
                <w:sz w:val="20"/>
                <w:szCs w:val="20"/>
                <w:lang w:val="en-US"/>
              </w:rPr>
            </w:pPr>
            <w:r w:rsidRPr="00321B15">
              <w:rPr>
                <w:rFonts w:eastAsia="Times New Roman"/>
                <w:sz w:val="20"/>
                <w:szCs w:val="20"/>
                <w:lang w:val="en-US"/>
              </w:rPr>
              <w:t>Decorrelation distance-based Autocorrelation for LSP</w:t>
            </w:r>
          </w:p>
          <w:p w14:paraId="270FCF8A" w14:textId="0ABB47A0" w:rsidR="00BC4D1F" w:rsidRPr="00321B15" w:rsidRDefault="00BC4D1F" w:rsidP="00EC00C3">
            <w:pPr>
              <w:overflowPunct/>
              <w:autoSpaceDE/>
              <w:autoSpaceDN/>
              <w:adjustRightInd/>
              <w:spacing w:after="0"/>
              <w:jc w:val="center"/>
              <w:textAlignment w:val="auto"/>
              <w:rPr>
                <w:rFonts w:eastAsia="Times New Roman"/>
                <w:sz w:val="20"/>
                <w:szCs w:val="20"/>
                <w:lang w:val="en-US"/>
              </w:rPr>
            </w:pPr>
            <w:r w:rsidRPr="00321B15">
              <w:rPr>
                <w:rFonts w:eastAsia="Times New Roman"/>
                <w:sz w:val="20"/>
                <w:szCs w:val="20"/>
                <w:lang w:val="en-US"/>
              </w:rPr>
              <w:t xml:space="preserve">Spatial Consistency Model B from TR38.901 for SSP </w:t>
            </w:r>
          </w:p>
        </w:tc>
      </w:tr>
    </w:tbl>
    <w:p w14:paraId="1FF69AAF" w14:textId="77777777" w:rsidR="00C94292" w:rsidRDefault="00C94292" w:rsidP="00ED1975">
      <w:pPr>
        <w:pStyle w:val="Default"/>
        <w:spacing w:before="120"/>
        <w:ind w:left="360"/>
        <w:jc w:val="both"/>
        <w:rPr>
          <w:sz w:val="22"/>
          <w:szCs w:val="22"/>
          <w:lang w:eastAsia="zh-CN"/>
        </w:rPr>
      </w:pPr>
    </w:p>
    <w:p w14:paraId="5D7FF858" w14:textId="359703C3" w:rsidR="00F664AF" w:rsidRDefault="00F664AF" w:rsidP="00F664AF">
      <w:pPr>
        <w:keepNext/>
        <w:jc w:val="center"/>
      </w:pPr>
    </w:p>
    <w:p w14:paraId="70F76186" w14:textId="2A2DB724" w:rsidR="00857F79" w:rsidRDefault="00857F79" w:rsidP="00ED1975">
      <w:pPr>
        <w:pStyle w:val="Default"/>
        <w:spacing w:before="120"/>
        <w:ind w:left="360"/>
        <w:jc w:val="both"/>
        <w:rPr>
          <w:sz w:val="22"/>
          <w:szCs w:val="22"/>
          <w:lang w:eastAsia="zh-CN"/>
        </w:rPr>
      </w:pPr>
    </w:p>
    <w:sectPr w:rsidR="00857F79" w:rsidSect="00733B1F">
      <w:headerReference w:type="even" r:id="rId44"/>
      <w:headerReference w:type="default" r:id="rId45"/>
      <w:footerReference w:type="even" r:id="rId46"/>
      <w:footerReference w:type="default" r:id="rId47"/>
      <w:headerReference w:type="first" r:id="rId48"/>
      <w:footerReference w:type="first" r:id="rId49"/>
      <w:footnotePr>
        <w:numRestart w:val="eachSect"/>
      </w:footnotePr>
      <w:type w:val="continuous"/>
      <w:pgSz w:w="12240" w:h="15840" w:code="1"/>
      <w:pgMar w:top="1411" w:right="990" w:bottom="1138" w:left="1080" w:header="677" w:footer="562" w:gutter="0"/>
      <w:cols w:space="720"/>
      <w:docGrid w:linePitch="272"/>
    </w:sectPr>
  </w:body>
</w:document>
</file>

<file path=word/customizations.xml><?xml version="1.0" encoding="utf-8"?>
<wne:tcg xmlns:r="http://schemas.openxmlformats.org/officeDocument/2006/relationships" xmlns:wne="http://schemas.microsoft.com/office/word/2006/wordml">
  <wne:keymaps>
    <wne:keymap wne:kcmPrimary="034D">
      <wne:macro wne:macroName="MATHTYPECOMMANDS.UILIB.MTCOMMAND_MATHINPUTCONTROL"/>
    </wne:keymap>
    <wne:keymap wne:kcmPrimary="0445">
      <wne:macro wne:macroName="MATHTYPECOMMANDS.UILIB.MTCOMMAND_EDITEQUATIONINPLACE"/>
    </wne:keymap>
    <wne:keymap wne:kcmPrimary="044F">
      <wne:macro wne:macroName="MATHTYPECOMMANDS.UILIB.MTCOMMAND_EDITEQUATIONOPEN"/>
    </wne:keymap>
    <wne:keymap wne:kcmPrimary="0451">
      <wne:macro wne:macroName="MATHTYPECOMMANDS.UILIB.MTCOMMAND_INSERTDISPEQN"/>
    </wne:keymap>
    <wne:keymap wne:kcmPrimary="04DC">
      <wne:macro wne:macroName="MATHTYPECOMMANDS.UILIB.MTCOMMAND_TEXTOGGLE"/>
    </wne:keymap>
    <wne:keymap wne:kcmPrimary="0551">
      <wne:macro wne:macroName="MATHTYPECOMMANDS.UILIB.MTCOMMAND_INSERTRIGHTNUMBEREDDISPEQN"/>
    </wne:keymap>
    <wne:keymap wne:kcmPrimary="0651">
      <wne:macro wne:macroName="MATHTYPECOMMANDS.UILIB.MTCOMMAND_INSERTINLINEEQN"/>
    </wne:keymap>
    <wne:keymap wne:kcmPrimary="0751">
      <wne:macro wne:macroName="MATHTYPECOMMANDS.UILIB.MTCOMMAND_INSERTLEFTNUMBEREDDISPEQN"/>
    </wne:keymap>
  </wne:keymap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029ABDF5" w14:textId="77777777" w:rsidR="003865B4" w:rsidRDefault="003865B4">
      <w:r>
        <w:separator/>
      </w:r>
    </w:p>
  </w:endnote>
  <w:endnote w:type="continuationSeparator" w:id="0">
    <w:p w14:paraId="1AEAC8FC" w14:textId="77777777" w:rsidR="003865B4" w:rsidRDefault="003865B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Hei">
    <w:altName w:val="黑体"/>
    <w:panose1 w:val="02010600030101010101"/>
    <w:charset w:val="86"/>
    <w:family w:val="modern"/>
    <w:pitch w:val="fixed"/>
    <w:sig w:usb0="800002BF" w:usb1="38CF7CFA" w:usb2="00000016" w:usb3="00000000" w:csb0="00040001" w:csb1="00000000"/>
  </w:font>
  <w:font w:name="CG Times (WN)">
    <w:altName w:val="Arial"/>
    <w:charset w:val="00"/>
    <w:family w:val="roman"/>
    <w:pitch w:val="default"/>
    <w:sig w:usb0="00000000"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New York">
    <w:panose1 w:val="020405030605060203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Swift">
    <w:altName w:val="Times New Roman"/>
    <w:panose1 w:val="00000000000000000000"/>
    <w:charset w:val="00"/>
    <w:family w:val="roman"/>
    <w:notTrueType/>
    <w:pitch w:val="default"/>
    <w:sig w:usb0="00000003"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 w:name="PMingLiU">
    <w:altName w:val="新細明體"/>
    <w:panose1 w:val="02010601000101010101"/>
    <w:charset w:val="88"/>
    <w:family w:val="roman"/>
    <w:pitch w:val="variable"/>
    <w:sig w:usb0="A00002FF" w:usb1="28CFFCFA" w:usb2="00000016" w:usb3="00000000" w:csb0="00100001"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EB674C8" w14:textId="77777777" w:rsidR="00477DE0" w:rsidRDefault="00477DE0" w:rsidP="00F837DD">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38AB09FA" w14:textId="77777777" w:rsidR="00477DE0" w:rsidRDefault="00477DE0" w:rsidP="00505E39">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F534507" w14:textId="77777777" w:rsidR="00477DE0" w:rsidRDefault="00477DE0" w:rsidP="00450D3B">
    <w:pPr>
      <w:pStyle w:val="Footer"/>
      <w:ind w:right="360"/>
    </w:pPr>
    <w:r>
      <w:rPr>
        <w:rStyle w:val="PageNumber"/>
      </w:rPr>
      <w:fldChar w:fldCharType="begin"/>
    </w:r>
    <w:r>
      <w:rPr>
        <w:rStyle w:val="PageNumber"/>
      </w:rPr>
      <w:instrText xml:space="preserve"> PAGE </w:instrText>
    </w:r>
    <w:r>
      <w:rPr>
        <w:rStyle w:val="PageNumber"/>
      </w:rPr>
      <w:fldChar w:fldCharType="separate"/>
    </w:r>
    <w:r>
      <w:rPr>
        <w:rStyle w:val="PageNumber"/>
      </w:rPr>
      <w:t>11</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rPr>
      <w:t>20</w:t>
    </w:r>
    <w:r>
      <w:rPr>
        <w:rStyle w:val="PageNumber"/>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AA28601" w14:textId="77777777" w:rsidR="00910D91" w:rsidRDefault="00910D91">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04CADCBC" w14:textId="77777777" w:rsidR="003865B4" w:rsidRDefault="003865B4">
      <w:r>
        <w:separator/>
      </w:r>
    </w:p>
  </w:footnote>
  <w:footnote w:type="continuationSeparator" w:id="0">
    <w:p w14:paraId="35578209" w14:textId="77777777" w:rsidR="003865B4" w:rsidRDefault="003865B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382CF55" w14:textId="77777777" w:rsidR="00477DE0" w:rsidRDefault="00477DE0">
    <w:r>
      <w:t xml:space="preserve">Page </w:t>
    </w:r>
    <w:r>
      <w:fldChar w:fldCharType="begin"/>
    </w:r>
    <w:r>
      <w:instrText>PAGE</w:instrText>
    </w:r>
    <w:r>
      <w:fldChar w:fldCharType="separate"/>
    </w:r>
    <w:r>
      <w:rPr>
        <w:noProof/>
      </w:rPr>
      <w:t>1</w:t>
    </w:r>
    <w:r>
      <w:fldChar w:fldCharType="end"/>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63EAC36" w14:textId="77777777" w:rsidR="00910D91" w:rsidRDefault="00910D91">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A191C90" w14:textId="77777777" w:rsidR="00910D91" w:rsidRDefault="00910D9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0000001"/>
    <w:multiLevelType w:val="singleLevel"/>
    <w:tmpl w:val="00000001"/>
    <w:name w:val="WW8Num7"/>
    <w:lvl w:ilvl="0">
      <w:start w:val="1"/>
      <w:numFmt w:val="decimal"/>
      <w:lvlText w:val="[%1]"/>
      <w:lvlJc w:val="left"/>
      <w:pPr>
        <w:tabs>
          <w:tab w:val="num" w:pos="567"/>
        </w:tabs>
        <w:ind w:left="567" w:hanging="567"/>
      </w:pPr>
    </w:lvl>
  </w:abstractNum>
  <w:abstractNum w:abstractNumId="1" w15:restartNumberingAfterBreak="0">
    <w:nsid w:val="00B70D82"/>
    <w:multiLevelType w:val="hybridMultilevel"/>
    <w:tmpl w:val="5636EABE"/>
    <w:lvl w:ilvl="0" w:tplc="F4F6392A">
      <w:start w:val="1"/>
      <w:numFmt w:val="decimal"/>
      <w:pStyle w:val="ListParagraph"/>
      <w:lvlText w:val="%1."/>
      <w:lvlJc w:val="left"/>
      <w:pPr>
        <w:ind w:left="720" w:hanging="360"/>
      </w:pPr>
      <w:rPr>
        <w:rFonts w:ascii="Times New Roman" w:hAnsi="Times New Roman" w:cs="Times New Roman" w:hint="default"/>
        <w:b w:val="0"/>
        <w:bCs w:val="0"/>
        <w:sz w:val="20"/>
        <w:szCs w:val="20"/>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28274EB"/>
    <w:multiLevelType w:val="hybridMultilevel"/>
    <w:tmpl w:val="ADDA39F8"/>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F68E2EF0" w:tentative="1">
      <w:start w:val="1"/>
      <w:numFmt w:val="bullet"/>
      <w:lvlText w:val="•"/>
      <w:lvlJc w:val="left"/>
      <w:pPr>
        <w:tabs>
          <w:tab w:val="num" w:pos="4320"/>
        </w:tabs>
        <w:ind w:left="4320" w:hanging="360"/>
      </w:pPr>
      <w:rPr>
        <w:rFonts w:ascii="Arial" w:hAnsi="Arial"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3" w15:restartNumberingAfterBreak="0">
    <w:nsid w:val="03145377"/>
    <w:multiLevelType w:val="hybridMultilevel"/>
    <w:tmpl w:val="62AE3FD8"/>
    <w:lvl w:ilvl="0" w:tplc="4202C932">
      <w:start w:val="1"/>
      <w:numFmt w:val="bullet"/>
      <w:lvlText w:val=""/>
      <w:lvlJc w:val="left"/>
      <w:pPr>
        <w:tabs>
          <w:tab w:val="num" w:pos="720"/>
        </w:tabs>
        <w:ind w:left="720" w:hanging="360"/>
      </w:pPr>
      <w:rPr>
        <w:rFonts w:ascii="Symbol" w:eastAsia="MS Mincho" w:hAnsi="Symbol" w:cs="Times New Roman"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483224E0">
      <w:start w:val="1"/>
      <w:numFmt w:val="decimal"/>
      <w:pStyle w:val="References"/>
      <w:lvlText w:val="[%3]"/>
      <w:lvlJc w:val="left"/>
      <w:pPr>
        <w:tabs>
          <w:tab w:val="num" w:pos="2481"/>
        </w:tabs>
        <w:ind w:left="2481" w:hanging="681"/>
      </w:pPr>
      <w:rPr>
        <w:rFont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06E06600"/>
    <w:multiLevelType w:val="hybridMultilevel"/>
    <w:tmpl w:val="9FAE4EF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 w15:restartNumberingAfterBreak="0">
    <w:nsid w:val="0A0D4591"/>
    <w:multiLevelType w:val="hybridMultilevel"/>
    <w:tmpl w:val="0E90E5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2556F2F"/>
    <w:multiLevelType w:val="hybridMultilevel"/>
    <w:tmpl w:val="444C71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2951B8C"/>
    <w:multiLevelType w:val="hybridMultilevel"/>
    <w:tmpl w:val="F7FAD2C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 w15:restartNumberingAfterBreak="0">
    <w:nsid w:val="136F3E85"/>
    <w:multiLevelType w:val="hybridMultilevel"/>
    <w:tmpl w:val="747C1624"/>
    <w:lvl w:ilvl="0" w:tplc="BE2C2642">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9" w15:restartNumberingAfterBreak="0">
    <w:nsid w:val="18175F8F"/>
    <w:multiLevelType w:val="hybridMultilevel"/>
    <w:tmpl w:val="6D62BDDE"/>
    <w:lvl w:ilvl="0" w:tplc="04090001">
      <w:start w:val="1"/>
      <w:numFmt w:val="bullet"/>
      <w:lvlText w:val=""/>
      <w:lvlJc w:val="left"/>
      <w:pPr>
        <w:ind w:left="792" w:hanging="360"/>
      </w:pPr>
      <w:rPr>
        <w:rFonts w:ascii="Symbol" w:hAnsi="Symbol" w:hint="default"/>
      </w:rPr>
    </w:lvl>
    <w:lvl w:ilvl="1" w:tplc="04090003" w:tentative="1">
      <w:start w:val="1"/>
      <w:numFmt w:val="bullet"/>
      <w:lvlText w:val="o"/>
      <w:lvlJc w:val="left"/>
      <w:pPr>
        <w:ind w:left="1512" w:hanging="360"/>
      </w:pPr>
      <w:rPr>
        <w:rFonts w:ascii="Courier New" w:hAnsi="Courier New" w:cs="Courier New" w:hint="default"/>
      </w:rPr>
    </w:lvl>
    <w:lvl w:ilvl="2" w:tplc="04090005" w:tentative="1">
      <w:start w:val="1"/>
      <w:numFmt w:val="bullet"/>
      <w:lvlText w:val=""/>
      <w:lvlJc w:val="left"/>
      <w:pPr>
        <w:ind w:left="2232" w:hanging="360"/>
      </w:pPr>
      <w:rPr>
        <w:rFonts w:ascii="Wingdings" w:hAnsi="Wingdings" w:hint="default"/>
      </w:rPr>
    </w:lvl>
    <w:lvl w:ilvl="3" w:tplc="04090001" w:tentative="1">
      <w:start w:val="1"/>
      <w:numFmt w:val="bullet"/>
      <w:lvlText w:val=""/>
      <w:lvlJc w:val="left"/>
      <w:pPr>
        <w:ind w:left="2952" w:hanging="360"/>
      </w:pPr>
      <w:rPr>
        <w:rFonts w:ascii="Symbol" w:hAnsi="Symbol" w:hint="default"/>
      </w:rPr>
    </w:lvl>
    <w:lvl w:ilvl="4" w:tplc="04090003" w:tentative="1">
      <w:start w:val="1"/>
      <w:numFmt w:val="bullet"/>
      <w:lvlText w:val="o"/>
      <w:lvlJc w:val="left"/>
      <w:pPr>
        <w:ind w:left="3672" w:hanging="360"/>
      </w:pPr>
      <w:rPr>
        <w:rFonts w:ascii="Courier New" w:hAnsi="Courier New" w:cs="Courier New" w:hint="default"/>
      </w:rPr>
    </w:lvl>
    <w:lvl w:ilvl="5" w:tplc="04090005" w:tentative="1">
      <w:start w:val="1"/>
      <w:numFmt w:val="bullet"/>
      <w:lvlText w:val=""/>
      <w:lvlJc w:val="left"/>
      <w:pPr>
        <w:ind w:left="4392" w:hanging="360"/>
      </w:pPr>
      <w:rPr>
        <w:rFonts w:ascii="Wingdings" w:hAnsi="Wingdings" w:hint="default"/>
      </w:rPr>
    </w:lvl>
    <w:lvl w:ilvl="6" w:tplc="04090001" w:tentative="1">
      <w:start w:val="1"/>
      <w:numFmt w:val="bullet"/>
      <w:lvlText w:val=""/>
      <w:lvlJc w:val="left"/>
      <w:pPr>
        <w:ind w:left="5112" w:hanging="360"/>
      </w:pPr>
      <w:rPr>
        <w:rFonts w:ascii="Symbol" w:hAnsi="Symbol" w:hint="default"/>
      </w:rPr>
    </w:lvl>
    <w:lvl w:ilvl="7" w:tplc="04090003" w:tentative="1">
      <w:start w:val="1"/>
      <w:numFmt w:val="bullet"/>
      <w:lvlText w:val="o"/>
      <w:lvlJc w:val="left"/>
      <w:pPr>
        <w:ind w:left="5832" w:hanging="360"/>
      </w:pPr>
      <w:rPr>
        <w:rFonts w:ascii="Courier New" w:hAnsi="Courier New" w:cs="Courier New" w:hint="default"/>
      </w:rPr>
    </w:lvl>
    <w:lvl w:ilvl="8" w:tplc="04090005" w:tentative="1">
      <w:start w:val="1"/>
      <w:numFmt w:val="bullet"/>
      <w:lvlText w:val=""/>
      <w:lvlJc w:val="left"/>
      <w:pPr>
        <w:ind w:left="6552" w:hanging="360"/>
      </w:pPr>
      <w:rPr>
        <w:rFonts w:ascii="Wingdings" w:hAnsi="Wingdings" w:hint="default"/>
      </w:rPr>
    </w:lvl>
  </w:abstractNum>
  <w:abstractNum w:abstractNumId="10" w15:restartNumberingAfterBreak="0">
    <w:nsid w:val="1B5B16EE"/>
    <w:multiLevelType w:val="hybridMultilevel"/>
    <w:tmpl w:val="9DD2EC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CD71ABE"/>
    <w:multiLevelType w:val="hybridMultilevel"/>
    <w:tmpl w:val="1C7E751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D2A03D0"/>
    <w:multiLevelType w:val="hybridMultilevel"/>
    <w:tmpl w:val="E0CC8980"/>
    <w:lvl w:ilvl="0" w:tplc="04090001">
      <w:start w:val="1"/>
      <w:numFmt w:val="bullet"/>
      <w:lvlText w:val=""/>
      <w:lvlJc w:val="left"/>
      <w:pPr>
        <w:ind w:left="1512" w:hanging="360"/>
      </w:pPr>
      <w:rPr>
        <w:rFonts w:ascii="Symbol" w:hAnsi="Symbol" w:hint="default"/>
      </w:rPr>
    </w:lvl>
    <w:lvl w:ilvl="1" w:tplc="04090019">
      <w:start w:val="1"/>
      <w:numFmt w:val="lowerLetter"/>
      <w:lvlText w:val="%2."/>
      <w:lvlJc w:val="left"/>
      <w:pPr>
        <w:ind w:left="2232" w:hanging="360"/>
      </w:pPr>
    </w:lvl>
    <w:lvl w:ilvl="2" w:tplc="0409001B" w:tentative="1">
      <w:start w:val="1"/>
      <w:numFmt w:val="lowerRoman"/>
      <w:lvlText w:val="%3."/>
      <w:lvlJc w:val="right"/>
      <w:pPr>
        <w:ind w:left="2952" w:hanging="180"/>
      </w:pPr>
    </w:lvl>
    <w:lvl w:ilvl="3" w:tplc="0409000F" w:tentative="1">
      <w:start w:val="1"/>
      <w:numFmt w:val="decimal"/>
      <w:lvlText w:val="%4."/>
      <w:lvlJc w:val="left"/>
      <w:pPr>
        <w:ind w:left="3672" w:hanging="360"/>
      </w:pPr>
    </w:lvl>
    <w:lvl w:ilvl="4" w:tplc="04090019" w:tentative="1">
      <w:start w:val="1"/>
      <w:numFmt w:val="lowerLetter"/>
      <w:lvlText w:val="%5."/>
      <w:lvlJc w:val="left"/>
      <w:pPr>
        <w:ind w:left="4392" w:hanging="360"/>
      </w:pPr>
    </w:lvl>
    <w:lvl w:ilvl="5" w:tplc="0409001B" w:tentative="1">
      <w:start w:val="1"/>
      <w:numFmt w:val="lowerRoman"/>
      <w:lvlText w:val="%6."/>
      <w:lvlJc w:val="right"/>
      <w:pPr>
        <w:ind w:left="5112" w:hanging="180"/>
      </w:pPr>
    </w:lvl>
    <w:lvl w:ilvl="6" w:tplc="0409000F" w:tentative="1">
      <w:start w:val="1"/>
      <w:numFmt w:val="decimal"/>
      <w:lvlText w:val="%7."/>
      <w:lvlJc w:val="left"/>
      <w:pPr>
        <w:ind w:left="5832" w:hanging="360"/>
      </w:pPr>
    </w:lvl>
    <w:lvl w:ilvl="7" w:tplc="04090019" w:tentative="1">
      <w:start w:val="1"/>
      <w:numFmt w:val="lowerLetter"/>
      <w:lvlText w:val="%8."/>
      <w:lvlJc w:val="left"/>
      <w:pPr>
        <w:ind w:left="6552" w:hanging="360"/>
      </w:pPr>
    </w:lvl>
    <w:lvl w:ilvl="8" w:tplc="0409001B" w:tentative="1">
      <w:start w:val="1"/>
      <w:numFmt w:val="lowerRoman"/>
      <w:lvlText w:val="%9."/>
      <w:lvlJc w:val="right"/>
      <w:pPr>
        <w:ind w:left="7272" w:hanging="180"/>
      </w:pPr>
    </w:lvl>
  </w:abstractNum>
  <w:abstractNum w:abstractNumId="13" w15:restartNumberingAfterBreak="0">
    <w:nsid w:val="1DED4106"/>
    <w:multiLevelType w:val="hybridMultilevel"/>
    <w:tmpl w:val="97C63398"/>
    <w:lvl w:ilvl="0" w:tplc="7C625576">
      <w:start w:val="1"/>
      <w:numFmt w:val="decimal"/>
      <w:lvlText w:val="%1."/>
      <w:lvlJc w:val="left"/>
      <w:pPr>
        <w:ind w:left="720" w:hanging="360"/>
      </w:pPr>
      <w:rPr>
        <w:i/>
        <w:iCs/>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1E717A35"/>
    <w:multiLevelType w:val="multilevel"/>
    <w:tmpl w:val="7318D4A2"/>
    <w:lvl w:ilvl="0">
      <w:start w:val="1"/>
      <w:numFmt w:val="decimal"/>
      <w:pStyle w:val="Heading1"/>
      <w:lvlText w:val="%1"/>
      <w:lvlJc w:val="left"/>
      <w:pPr>
        <w:ind w:left="432" w:hanging="432"/>
      </w:pPr>
      <w:rPr>
        <w:rFonts w:hint="default"/>
      </w:rPr>
    </w:lvl>
    <w:lvl w:ilvl="1">
      <w:start w:val="1"/>
      <w:numFmt w:val="decimal"/>
      <w:pStyle w:val="Heading2"/>
      <w:lvlText w:val="%1.%2"/>
      <w:lvlJc w:val="left"/>
      <w:pPr>
        <w:ind w:left="576" w:hanging="576"/>
      </w:pPr>
      <w:rPr>
        <w:rFonts w:hint="default"/>
        <w:sz w:val="28"/>
        <w:szCs w:val="28"/>
      </w:rPr>
    </w:lvl>
    <w:lvl w:ilvl="2">
      <w:start w:val="1"/>
      <w:numFmt w:val="decimal"/>
      <w:pStyle w:val="Heading3"/>
      <w:lvlText w:val="%1.%2.%3"/>
      <w:lvlJc w:val="left"/>
      <w:pPr>
        <w:ind w:left="720" w:hanging="720"/>
      </w:pPr>
      <w:rPr>
        <w:rFonts w:hint="default"/>
      </w:rPr>
    </w:lvl>
    <w:lvl w:ilvl="3">
      <w:start w:val="1"/>
      <w:numFmt w:val="decimal"/>
      <w:pStyle w:val="Heading4"/>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15" w15:restartNumberingAfterBreak="0">
    <w:nsid w:val="20B6265E"/>
    <w:multiLevelType w:val="multilevel"/>
    <w:tmpl w:val="44E0B4E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Wingdings" w:hAnsi="Wingdings"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6" w15:restartNumberingAfterBreak="0">
    <w:nsid w:val="228D4630"/>
    <w:multiLevelType w:val="hybridMultilevel"/>
    <w:tmpl w:val="C14E6C1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58D39D8"/>
    <w:multiLevelType w:val="multilevel"/>
    <w:tmpl w:val="B8AC2506"/>
    <w:lvl w:ilvl="0">
      <w:numFmt w:val="bullet"/>
      <w:lvlText w:val=""/>
      <w:lvlJc w:val="left"/>
      <w:pPr>
        <w:ind w:left="720" w:hanging="360"/>
      </w:pPr>
      <w:rPr>
        <w:rFonts w:ascii="Symbol" w:hAnsi="Symbol"/>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18" w15:restartNumberingAfterBreak="0">
    <w:nsid w:val="2B7C7AE2"/>
    <w:multiLevelType w:val="multilevel"/>
    <w:tmpl w:val="F85442B0"/>
    <w:lvl w:ilvl="0">
      <w:numFmt w:val="bullet"/>
      <w:lvlText w:val=""/>
      <w:lvlJc w:val="left"/>
      <w:pPr>
        <w:ind w:left="720" w:hanging="360"/>
      </w:pPr>
      <w:rPr>
        <w:rFonts w:ascii="Symbol" w:hAnsi="Symbol"/>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19"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20" w15:restartNumberingAfterBreak="0">
    <w:nsid w:val="2E787D49"/>
    <w:multiLevelType w:val="hybridMultilevel"/>
    <w:tmpl w:val="55F6503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1" w15:restartNumberingAfterBreak="0">
    <w:nsid w:val="306F49D6"/>
    <w:multiLevelType w:val="hybridMultilevel"/>
    <w:tmpl w:val="39B8B304"/>
    <w:lvl w:ilvl="0" w:tplc="04090003">
      <w:start w:val="1"/>
      <w:numFmt w:val="bullet"/>
      <w:lvlText w:val="o"/>
      <w:lvlJc w:val="left"/>
      <w:pPr>
        <w:ind w:left="760" w:hanging="360"/>
      </w:pPr>
      <w:rPr>
        <w:rFonts w:ascii="Courier New" w:hAnsi="Courier New" w:cs="Courier New"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22" w15:restartNumberingAfterBreak="0">
    <w:nsid w:val="30C35CFC"/>
    <w:multiLevelType w:val="hybridMultilevel"/>
    <w:tmpl w:val="FD0C66C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3" w15:restartNumberingAfterBreak="0">
    <w:nsid w:val="348215B7"/>
    <w:multiLevelType w:val="hybridMultilevel"/>
    <w:tmpl w:val="94D2C67A"/>
    <w:lvl w:ilvl="0" w:tplc="7C625576">
      <w:start w:val="1"/>
      <w:numFmt w:val="decimal"/>
      <w:lvlText w:val="%1."/>
      <w:lvlJc w:val="left"/>
      <w:pPr>
        <w:ind w:left="720" w:hanging="360"/>
      </w:pPr>
      <w:rPr>
        <w:i/>
        <w:iCs/>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37D35D59"/>
    <w:multiLevelType w:val="hybridMultilevel"/>
    <w:tmpl w:val="BDE461D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5" w15:restartNumberingAfterBreak="0">
    <w:nsid w:val="3C4B5565"/>
    <w:multiLevelType w:val="hybridMultilevel"/>
    <w:tmpl w:val="F38E45CC"/>
    <w:lvl w:ilvl="0" w:tplc="28827538">
      <w:start w:val="1"/>
      <w:numFmt w:val="decimal"/>
      <w:lvlText w:val="[%1]"/>
      <w:lvlJc w:val="left"/>
      <w:pPr>
        <w:ind w:left="720" w:hanging="360"/>
      </w:pPr>
      <w:rPr>
        <w:rFonts w:ascii="Times New Roman" w:hAnsi="Times New Roman" w:cs="Times New Roman" w:hint="default"/>
        <w:b w:val="0"/>
        <w:bCs w:val="0"/>
        <w:lang w:val="en-U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422B3F28"/>
    <w:multiLevelType w:val="hybridMultilevel"/>
    <w:tmpl w:val="82D0F9AC"/>
    <w:lvl w:ilvl="0" w:tplc="0DB09A00">
      <w:start w:val="1"/>
      <w:numFmt w:val="decimal"/>
      <w:lvlText w:val="%1."/>
      <w:lvlJc w:val="left"/>
      <w:pPr>
        <w:ind w:left="360" w:hanging="360"/>
      </w:pPr>
      <w:rPr>
        <w:rFonts w:hint="default"/>
        <w:lang w:val="en-GB"/>
      </w:rPr>
    </w:lvl>
    <w:lvl w:ilvl="1" w:tplc="D8387E06">
      <w:start w:val="1"/>
      <w:numFmt w:val="lowerLetter"/>
      <w:lvlText w:val="%2."/>
      <w:lvlJc w:val="left"/>
      <w:pPr>
        <w:ind w:left="1080" w:hanging="360"/>
      </w:pPr>
      <w:rPr>
        <w:rFonts w:ascii="Times New Roman" w:hAnsi="Times New Roman" w:cs="Times New Roman" w:hint="default"/>
        <w:i w:val="0"/>
        <w:iCs w:val="0"/>
      </w:r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7" w15:restartNumberingAfterBreak="0">
    <w:nsid w:val="42FE570A"/>
    <w:multiLevelType w:val="multilevel"/>
    <w:tmpl w:val="11FEBED6"/>
    <w:lvl w:ilvl="0">
      <w:start w:val="1"/>
      <w:numFmt w:val="decimal"/>
      <w:suff w:val="nothing"/>
      <w:lvlText w:val="%1  "/>
      <w:lvlJc w:val="left"/>
      <w:pPr>
        <w:ind w:left="0" w:firstLine="0"/>
      </w:pPr>
      <w:rPr>
        <w:rFonts w:ascii="Arial" w:eastAsia="SimHei" w:hAnsi="Arial" w:hint="default"/>
        <w:b w:val="0"/>
        <w:i w:val="0"/>
        <w:sz w:val="36"/>
        <w:szCs w:val="36"/>
      </w:rPr>
    </w:lvl>
    <w:lvl w:ilvl="1">
      <w:start w:val="1"/>
      <w:numFmt w:val="decimal"/>
      <w:suff w:val="nothing"/>
      <w:lvlText w:val="%1.%2  "/>
      <w:lvlJc w:val="left"/>
      <w:pPr>
        <w:ind w:left="0" w:firstLine="0"/>
      </w:pPr>
      <w:rPr>
        <w:rFonts w:ascii="Arial" w:hAnsi="Arial" w:hint="default"/>
        <w:b w:val="0"/>
        <w:i w:val="0"/>
        <w:sz w:val="30"/>
        <w:szCs w:val="30"/>
      </w:rPr>
    </w:lvl>
    <w:lvl w:ilvl="2">
      <w:start w:val="1"/>
      <w:numFmt w:val="decimal"/>
      <w:suff w:val="nothing"/>
      <w:lvlText w:val="%1.%2.%3  "/>
      <w:lvlJc w:val="left"/>
      <w:pPr>
        <w:ind w:left="0" w:firstLine="0"/>
      </w:pPr>
      <w:rPr>
        <w:rFonts w:ascii="Arial" w:hAnsi="Arial" w:hint="default"/>
        <w:b w:val="0"/>
        <w:i w:val="0"/>
        <w:sz w:val="24"/>
        <w:szCs w:val="24"/>
      </w:rPr>
    </w:lvl>
    <w:lvl w:ilvl="3">
      <w:start w:val="1"/>
      <w:numFmt w:val="decimal"/>
      <w:suff w:val="nothing"/>
      <w:lvlText w:val="%1.%2.%3.%4  "/>
      <w:lvlJc w:val="left"/>
      <w:pPr>
        <w:ind w:left="0" w:firstLine="0"/>
      </w:pPr>
      <w:rPr>
        <w:rFonts w:ascii="Arial" w:hAnsi="Arial" w:hint="default"/>
        <w:b w:val="0"/>
        <w:i w:val="0"/>
        <w:sz w:val="21"/>
        <w:szCs w:val="21"/>
      </w:rPr>
    </w:lvl>
    <w:lvl w:ilvl="4">
      <w:start w:val="1"/>
      <w:numFmt w:val="decimal"/>
      <w:lvlText w:val="%5."/>
      <w:lvlJc w:val="left"/>
      <w:pPr>
        <w:tabs>
          <w:tab w:val="num" w:pos="1134"/>
        </w:tabs>
        <w:ind w:left="1134" w:hanging="312"/>
      </w:pPr>
      <w:rPr>
        <w:rFonts w:ascii="Arial" w:hAnsi="Arial" w:hint="default"/>
        <w:b w:val="0"/>
        <w:i w:val="0"/>
        <w:sz w:val="21"/>
        <w:szCs w:val="21"/>
      </w:rPr>
    </w:lvl>
    <w:lvl w:ilvl="5">
      <w:start w:val="1"/>
      <w:numFmt w:val="decimal"/>
      <w:lvlText w:val="%6)"/>
      <w:lvlJc w:val="left"/>
      <w:pPr>
        <w:tabs>
          <w:tab w:val="num" w:pos="1134"/>
        </w:tabs>
        <w:ind w:left="1134" w:hanging="312"/>
      </w:pPr>
      <w:rPr>
        <w:rFonts w:ascii="Arial" w:hAnsi="Arial" w:hint="default"/>
        <w:b w:val="0"/>
        <w:i w:val="0"/>
        <w:sz w:val="21"/>
        <w:szCs w:val="21"/>
      </w:rPr>
    </w:lvl>
    <w:lvl w:ilvl="6">
      <w:start w:val="1"/>
      <w:numFmt w:val="lowerLetter"/>
      <w:lvlText w:val="%7."/>
      <w:lvlJc w:val="left"/>
      <w:pPr>
        <w:tabs>
          <w:tab w:val="num" w:pos="1134"/>
        </w:tabs>
        <w:ind w:left="1134" w:hanging="312"/>
      </w:pPr>
      <w:rPr>
        <w:rFonts w:ascii="Arial" w:hAnsi="Arial" w:hint="default"/>
        <w:b w:val="0"/>
        <w:i w:val="0"/>
        <w:sz w:val="21"/>
        <w:szCs w:val="21"/>
      </w:rPr>
    </w:lvl>
    <w:lvl w:ilvl="7">
      <w:start w:val="1"/>
      <w:numFmt w:val="decimal"/>
      <w:lvlRestart w:val="0"/>
      <w:pStyle w:val="a"/>
      <w:suff w:val="space"/>
      <w:lvlText w:val="图%8"/>
      <w:lvlJc w:val="center"/>
      <w:pPr>
        <w:ind w:left="0" w:firstLine="0"/>
      </w:pPr>
      <w:rPr>
        <w:rFonts w:ascii="Arial" w:eastAsia="SimHei" w:hAnsi="Arial" w:hint="default"/>
        <w:b w:val="0"/>
        <w:i w:val="0"/>
        <w:sz w:val="18"/>
        <w:szCs w:val="18"/>
      </w:rPr>
    </w:lvl>
    <w:lvl w:ilvl="8">
      <w:start w:val="1"/>
      <w:numFmt w:val="decimal"/>
      <w:lvlRestart w:val="0"/>
      <w:pStyle w:val="a0"/>
      <w:suff w:val="space"/>
      <w:lvlText w:val="表%9"/>
      <w:lvlJc w:val="center"/>
      <w:pPr>
        <w:ind w:left="0" w:firstLine="0"/>
      </w:pPr>
      <w:rPr>
        <w:rFonts w:ascii="Arial" w:eastAsia="SimHei" w:hAnsi="Arial" w:hint="default"/>
        <w:b w:val="0"/>
        <w:i w:val="0"/>
        <w:sz w:val="18"/>
        <w:szCs w:val="18"/>
      </w:rPr>
    </w:lvl>
  </w:abstractNum>
  <w:abstractNum w:abstractNumId="28" w15:restartNumberingAfterBreak="0">
    <w:nsid w:val="47246CCD"/>
    <w:multiLevelType w:val="hybridMultilevel"/>
    <w:tmpl w:val="93D4C46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9" w15:restartNumberingAfterBreak="0">
    <w:nsid w:val="47BA7291"/>
    <w:multiLevelType w:val="hybridMultilevel"/>
    <w:tmpl w:val="C6EE35E6"/>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0" w15:restartNumberingAfterBreak="0">
    <w:nsid w:val="47CD3BA7"/>
    <w:multiLevelType w:val="hybridMultilevel"/>
    <w:tmpl w:val="7DEE7C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49BC01B1"/>
    <w:multiLevelType w:val="multilevel"/>
    <w:tmpl w:val="FFDE7BB0"/>
    <w:lvl w:ilvl="0">
      <w:numFmt w:val="bullet"/>
      <w:lvlText w:val=""/>
      <w:lvlJc w:val="left"/>
      <w:pPr>
        <w:ind w:left="720" w:hanging="360"/>
      </w:pPr>
      <w:rPr>
        <w:rFonts w:ascii="Symbol" w:hAnsi="Symbol"/>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32" w15:restartNumberingAfterBreak="0">
    <w:nsid w:val="4E0262C5"/>
    <w:multiLevelType w:val="hybridMultilevel"/>
    <w:tmpl w:val="6BF04942"/>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5A8D17A2"/>
    <w:multiLevelType w:val="hybridMultilevel"/>
    <w:tmpl w:val="C4662D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3"/>
      <w:lvlText w:val=""/>
      <w:lvlJc w:val="left"/>
      <w:pPr>
        <w:ind w:left="2160" w:hanging="360"/>
      </w:pPr>
      <w:rPr>
        <w:rFonts w:ascii="Wingdings" w:hAnsi="Wingdings" w:hint="default"/>
      </w:rPr>
    </w:lvl>
    <w:lvl w:ilvl="3" w:tplc="4922EF2E">
      <w:start w:val="1"/>
      <w:numFmt w:val="bullet"/>
      <w:pStyle w:val="bullet4"/>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60D062AF"/>
    <w:multiLevelType w:val="hybridMultilevel"/>
    <w:tmpl w:val="1EF85B8E"/>
    <w:lvl w:ilvl="0" w:tplc="E7924ACE">
      <w:start w:val="1"/>
      <w:numFmt w:val="bullet"/>
      <w:lvlText w:val="•"/>
      <w:lvlJc w:val="left"/>
      <w:pPr>
        <w:tabs>
          <w:tab w:val="num" w:pos="360"/>
        </w:tabs>
        <w:ind w:left="360" w:hanging="360"/>
      </w:pPr>
      <w:rPr>
        <w:rFonts w:ascii="Arial" w:hAnsi="Arial" w:hint="default"/>
      </w:rPr>
    </w:lvl>
    <w:lvl w:ilvl="1" w:tplc="11C4EABE">
      <w:start w:val="1"/>
      <w:numFmt w:val="bullet"/>
      <w:lvlText w:val="•"/>
      <w:lvlJc w:val="left"/>
      <w:pPr>
        <w:tabs>
          <w:tab w:val="num" w:pos="1080"/>
        </w:tabs>
        <w:ind w:left="1080" w:hanging="360"/>
      </w:pPr>
      <w:rPr>
        <w:rFonts w:ascii="Arial" w:hAnsi="Arial" w:hint="default"/>
      </w:rPr>
    </w:lvl>
    <w:lvl w:ilvl="2" w:tplc="08368480">
      <w:start w:val="188"/>
      <w:numFmt w:val="bullet"/>
      <w:lvlText w:val="•"/>
      <w:lvlJc w:val="left"/>
      <w:pPr>
        <w:tabs>
          <w:tab w:val="num" w:pos="1800"/>
        </w:tabs>
        <w:ind w:left="1800" w:hanging="360"/>
      </w:pPr>
      <w:rPr>
        <w:rFonts w:ascii="Arial" w:hAnsi="Arial" w:hint="default"/>
      </w:rPr>
    </w:lvl>
    <w:lvl w:ilvl="3" w:tplc="C59EBF32">
      <w:start w:val="188"/>
      <w:numFmt w:val="bullet"/>
      <w:lvlText w:val="•"/>
      <w:lvlJc w:val="left"/>
      <w:pPr>
        <w:tabs>
          <w:tab w:val="num" w:pos="2520"/>
        </w:tabs>
        <w:ind w:left="2520" w:hanging="360"/>
      </w:pPr>
      <w:rPr>
        <w:rFonts w:ascii="Arial" w:hAnsi="Arial" w:hint="default"/>
      </w:rPr>
    </w:lvl>
    <w:lvl w:ilvl="4" w:tplc="5240C122" w:tentative="1">
      <w:start w:val="1"/>
      <w:numFmt w:val="bullet"/>
      <w:lvlText w:val="•"/>
      <w:lvlJc w:val="left"/>
      <w:pPr>
        <w:tabs>
          <w:tab w:val="num" w:pos="3240"/>
        </w:tabs>
        <w:ind w:left="3240" w:hanging="360"/>
      </w:pPr>
      <w:rPr>
        <w:rFonts w:ascii="Arial" w:hAnsi="Arial" w:hint="default"/>
      </w:rPr>
    </w:lvl>
    <w:lvl w:ilvl="5" w:tplc="E1121FEC" w:tentative="1">
      <w:start w:val="1"/>
      <w:numFmt w:val="bullet"/>
      <w:lvlText w:val="•"/>
      <w:lvlJc w:val="left"/>
      <w:pPr>
        <w:tabs>
          <w:tab w:val="num" w:pos="3960"/>
        </w:tabs>
        <w:ind w:left="3960" w:hanging="360"/>
      </w:pPr>
      <w:rPr>
        <w:rFonts w:ascii="Arial" w:hAnsi="Arial" w:hint="default"/>
      </w:rPr>
    </w:lvl>
    <w:lvl w:ilvl="6" w:tplc="1A28E588" w:tentative="1">
      <w:start w:val="1"/>
      <w:numFmt w:val="bullet"/>
      <w:lvlText w:val="•"/>
      <w:lvlJc w:val="left"/>
      <w:pPr>
        <w:tabs>
          <w:tab w:val="num" w:pos="4680"/>
        </w:tabs>
        <w:ind w:left="4680" w:hanging="360"/>
      </w:pPr>
      <w:rPr>
        <w:rFonts w:ascii="Arial" w:hAnsi="Arial" w:hint="default"/>
      </w:rPr>
    </w:lvl>
    <w:lvl w:ilvl="7" w:tplc="524EE246" w:tentative="1">
      <w:start w:val="1"/>
      <w:numFmt w:val="bullet"/>
      <w:lvlText w:val="•"/>
      <w:lvlJc w:val="left"/>
      <w:pPr>
        <w:tabs>
          <w:tab w:val="num" w:pos="5400"/>
        </w:tabs>
        <w:ind w:left="5400" w:hanging="360"/>
      </w:pPr>
      <w:rPr>
        <w:rFonts w:ascii="Arial" w:hAnsi="Arial" w:hint="default"/>
      </w:rPr>
    </w:lvl>
    <w:lvl w:ilvl="8" w:tplc="4B16E0DE" w:tentative="1">
      <w:start w:val="1"/>
      <w:numFmt w:val="bullet"/>
      <w:lvlText w:val="•"/>
      <w:lvlJc w:val="left"/>
      <w:pPr>
        <w:tabs>
          <w:tab w:val="num" w:pos="6120"/>
        </w:tabs>
        <w:ind w:left="6120" w:hanging="360"/>
      </w:pPr>
      <w:rPr>
        <w:rFonts w:ascii="Arial" w:hAnsi="Arial" w:hint="default"/>
      </w:rPr>
    </w:lvl>
  </w:abstractNum>
  <w:abstractNum w:abstractNumId="36" w15:restartNumberingAfterBreak="0">
    <w:nsid w:val="62813F17"/>
    <w:multiLevelType w:val="hybridMultilevel"/>
    <w:tmpl w:val="D1845C0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7" w15:restartNumberingAfterBreak="0">
    <w:nsid w:val="640613F0"/>
    <w:multiLevelType w:val="hybridMultilevel"/>
    <w:tmpl w:val="7ABAA71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8" w15:restartNumberingAfterBreak="0">
    <w:nsid w:val="64C51584"/>
    <w:multiLevelType w:val="hybridMultilevel"/>
    <w:tmpl w:val="3D20613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9" w15:restartNumberingAfterBreak="0">
    <w:nsid w:val="66121EF1"/>
    <w:multiLevelType w:val="hybridMultilevel"/>
    <w:tmpl w:val="60C25E6A"/>
    <w:lvl w:ilvl="0" w:tplc="7C625576">
      <w:start w:val="1"/>
      <w:numFmt w:val="decimal"/>
      <w:lvlText w:val="%1."/>
      <w:lvlJc w:val="left"/>
      <w:pPr>
        <w:ind w:left="720" w:hanging="360"/>
      </w:pPr>
      <w:rPr>
        <w:i/>
        <w:iCs/>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66D533E1"/>
    <w:multiLevelType w:val="hybridMultilevel"/>
    <w:tmpl w:val="F634C888"/>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1" w15:restartNumberingAfterBreak="0">
    <w:nsid w:val="6A951415"/>
    <w:multiLevelType w:val="multilevel"/>
    <w:tmpl w:val="17569D04"/>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42" w15:restartNumberingAfterBreak="0">
    <w:nsid w:val="7296463B"/>
    <w:multiLevelType w:val="hybridMultilevel"/>
    <w:tmpl w:val="1618F9D8"/>
    <w:lvl w:ilvl="0" w:tplc="04090001">
      <w:start w:val="1"/>
      <w:numFmt w:val="bullet"/>
      <w:lvlText w:val=""/>
      <w:lvlJc w:val="left"/>
      <w:pPr>
        <w:ind w:left="822" w:hanging="360"/>
      </w:pPr>
      <w:rPr>
        <w:rFonts w:ascii="Symbol" w:hAnsi="Symbol" w:hint="default"/>
      </w:rPr>
    </w:lvl>
    <w:lvl w:ilvl="1" w:tplc="04090003">
      <w:start w:val="1"/>
      <w:numFmt w:val="bullet"/>
      <w:lvlText w:val="o"/>
      <w:lvlJc w:val="left"/>
      <w:pPr>
        <w:ind w:left="1542" w:hanging="360"/>
      </w:pPr>
      <w:rPr>
        <w:rFonts w:ascii="Courier New" w:hAnsi="Courier New" w:cs="Courier New" w:hint="default"/>
      </w:rPr>
    </w:lvl>
    <w:lvl w:ilvl="2" w:tplc="04090005" w:tentative="1">
      <w:start w:val="1"/>
      <w:numFmt w:val="bullet"/>
      <w:lvlText w:val=""/>
      <w:lvlJc w:val="left"/>
      <w:pPr>
        <w:ind w:left="2262" w:hanging="360"/>
      </w:pPr>
      <w:rPr>
        <w:rFonts w:ascii="Wingdings" w:hAnsi="Wingdings" w:hint="default"/>
      </w:rPr>
    </w:lvl>
    <w:lvl w:ilvl="3" w:tplc="04090001" w:tentative="1">
      <w:start w:val="1"/>
      <w:numFmt w:val="bullet"/>
      <w:lvlText w:val=""/>
      <w:lvlJc w:val="left"/>
      <w:pPr>
        <w:ind w:left="2982" w:hanging="360"/>
      </w:pPr>
      <w:rPr>
        <w:rFonts w:ascii="Symbol" w:hAnsi="Symbol" w:hint="default"/>
      </w:rPr>
    </w:lvl>
    <w:lvl w:ilvl="4" w:tplc="04090003" w:tentative="1">
      <w:start w:val="1"/>
      <w:numFmt w:val="bullet"/>
      <w:lvlText w:val="o"/>
      <w:lvlJc w:val="left"/>
      <w:pPr>
        <w:ind w:left="3702" w:hanging="360"/>
      </w:pPr>
      <w:rPr>
        <w:rFonts w:ascii="Courier New" w:hAnsi="Courier New" w:cs="Courier New" w:hint="default"/>
      </w:rPr>
    </w:lvl>
    <w:lvl w:ilvl="5" w:tplc="04090005" w:tentative="1">
      <w:start w:val="1"/>
      <w:numFmt w:val="bullet"/>
      <w:lvlText w:val=""/>
      <w:lvlJc w:val="left"/>
      <w:pPr>
        <w:ind w:left="4422" w:hanging="360"/>
      </w:pPr>
      <w:rPr>
        <w:rFonts w:ascii="Wingdings" w:hAnsi="Wingdings" w:hint="default"/>
      </w:rPr>
    </w:lvl>
    <w:lvl w:ilvl="6" w:tplc="04090001" w:tentative="1">
      <w:start w:val="1"/>
      <w:numFmt w:val="bullet"/>
      <w:lvlText w:val=""/>
      <w:lvlJc w:val="left"/>
      <w:pPr>
        <w:ind w:left="5142" w:hanging="360"/>
      </w:pPr>
      <w:rPr>
        <w:rFonts w:ascii="Symbol" w:hAnsi="Symbol" w:hint="default"/>
      </w:rPr>
    </w:lvl>
    <w:lvl w:ilvl="7" w:tplc="04090003" w:tentative="1">
      <w:start w:val="1"/>
      <w:numFmt w:val="bullet"/>
      <w:lvlText w:val="o"/>
      <w:lvlJc w:val="left"/>
      <w:pPr>
        <w:ind w:left="5862" w:hanging="360"/>
      </w:pPr>
      <w:rPr>
        <w:rFonts w:ascii="Courier New" w:hAnsi="Courier New" w:cs="Courier New" w:hint="default"/>
      </w:rPr>
    </w:lvl>
    <w:lvl w:ilvl="8" w:tplc="04090005" w:tentative="1">
      <w:start w:val="1"/>
      <w:numFmt w:val="bullet"/>
      <w:lvlText w:val=""/>
      <w:lvlJc w:val="left"/>
      <w:pPr>
        <w:ind w:left="6582" w:hanging="360"/>
      </w:pPr>
      <w:rPr>
        <w:rFonts w:ascii="Wingdings" w:hAnsi="Wingdings" w:hint="default"/>
      </w:rPr>
    </w:lvl>
  </w:abstractNum>
  <w:abstractNum w:abstractNumId="43" w15:restartNumberingAfterBreak="0">
    <w:nsid w:val="72DA5858"/>
    <w:multiLevelType w:val="hybridMultilevel"/>
    <w:tmpl w:val="F5BCB0C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4" w15:restartNumberingAfterBreak="0">
    <w:nsid w:val="7343100D"/>
    <w:multiLevelType w:val="hybridMultilevel"/>
    <w:tmpl w:val="EF58BC5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77B6426D"/>
    <w:multiLevelType w:val="hybridMultilevel"/>
    <w:tmpl w:val="DD28CC2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6" w15:restartNumberingAfterBreak="0">
    <w:nsid w:val="7A502559"/>
    <w:multiLevelType w:val="hybridMultilevel"/>
    <w:tmpl w:val="1C30B27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7" w15:restartNumberingAfterBreak="0">
    <w:nsid w:val="7C267F9C"/>
    <w:multiLevelType w:val="hybridMultilevel"/>
    <w:tmpl w:val="B2BED310"/>
    <w:lvl w:ilvl="0" w:tplc="068A1AEC">
      <w:start w:val="1"/>
      <w:numFmt w:val="bullet"/>
      <w:pStyle w:val="StatementBody"/>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F6DE3358">
      <w:numFmt w:val="bullet"/>
      <w:lvlText w:val="-"/>
      <w:lvlJc w:val="left"/>
      <w:pPr>
        <w:ind w:left="2880" w:hanging="360"/>
      </w:pPr>
      <w:rPr>
        <w:rFonts w:ascii="Times New Roman" w:eastAsia="MS Mincho" w:hAnsi="Times New Roman" w:cs="Times New Roman"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7E740F66"/>
    <w:multiLevelType w:val="hybridMultilevel"/>
    <w:tmpl w:val="DA90732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num w:numId="1">
    <w:abstractNumId w:val="19"/>
  </w:num>
  <w:num w:numId="2">
    <w:abstractNumId w:val="47"/>
  </w:num>
  <w:num w:numId="3">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14"/>
  </w:num>
  <w:num w:numId="5">
    <w:abstractNumId w:val="2"/>
  </w:num>
  <w:num w:numId="6">
    <w:abstractNumId w:val="34"/>
  </w:num>
  <w:num w:numId="7">
    <w:abstractNumId w:val="3"/>
  </w:num>
  <w:num w:numId="8">
    <w:abstractNumId w:val="26"/>
  </w:num>
  <w:num w:numId="9">
    <w:abstractNumId w:val="25"/>
  </w:num>
  <w:num w:numId="10">
    <w:abstractNumId w:val="35"/>
  </w:num>
  <w:num w:numId="11">
    <w:abstractNumId w:val="16"/>
  </w:num>
  <w:num w:numId="12">
    <w:abstractNumId w:val="29"/>
  </w:num>
  <w:num w:numId="13">
    <w:abstractNumId w:val="40"/>
  </w:num>
  <w:num w:numId="14">
    <w:abstractNumId w:val="5"/>
  </w:num>
  <w:num w:numId="15">
    <w:abstractNumId w:val="4"/>
  </w:num>
  <w:num w:numId="16">
    <w:abstractNumId w:val="1"/>
  </w:num>
  <w:num w:numId="17">
    <w:abstractNumId w:val="30"/>
  </w:num>
  <w:num w:numId="18">
    <w:abstractNumId w:val="6"/>
  </w:num>
  <w:num w:numId="19">
    <w:abstractNumId w:val="33"/>
  </w:num>
  <w:num w:numId="20">
    <w:abstractNumId w:val="11"/>
  </w:num>
  <w:num w:numId="21">
    <w:abstractNumId w:val="10"/>
  </w:num>
  <w:num w:numId="22">
    <w:abstractNumId w:val="32"/>
  </w:num>
  <w:num w:numId="23">
    <w:abstractNumId w:val="17"/>
  </w:num>
  <w:num w:numId="24">
    <w:abstractNumId w:val="46"/>
  </w:num>
  <w:num w:numId="25">
    <w:abstractNumId w:val="31"/>
  </w:num>
  <w:num w:numId="26">
    <w:abstractNumId w:val="45"/>
  </w:num>
  <w:num w:numId="27">
    <w:abstractNumId w:val="18"/>
  </w:num>
  <w:num w:numId="28">
    <w:abstractNumId w:val="15"/>
  </w:num>
  <w:num w:numId="29">
    <w:abstractNumId w:val="42"/>
  </w:num>
  <w:num w:numId="30">
    <w:abstractNumId w:val="12"/>
  </w:num>
  <w:num w:numId="31">
    <w:abstractNumId w:val="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48"/>
  </w:num>
  <w:num w:numId="33">
    <w:abstractNumId w:val="20"/>
  </w:num>
  <w:num w:numId="34">
    <w:abstractNumId w:val="37"/>
  </w:num>
  <w:num w:numId="35">
    <w:abstractNumId w:val="43"/>
  </w:num>
  <w:num w:numId="36">
    <w:abstractNumId w:val="7"/>
  </w:num>
  <w:num w:numId="37">
    <w:abstractNumId w:val="24"/>
  </w:num>
  <w:num w:numId="38">
    <w:abstractNumId w:val="22"/>
  </w:num>
  <w:num w:numId="39">
    <w:abstractNumId w:val="21"/>
  </w:num>
  <w:num w:numId="40">
    <w:abstractNumId w:val="36"/>
  </w:num>
  <w:num w:numId="41">
    <w:abstractNumId w:val="38"/>
  </w:num>
  <w:num w:numId="42">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20"/>
    <w:lvlOverride w:ilvl="0"/>
    <w:lvlOverride w:ilvl="1"/>
    <w:lvlOverride w:ilvl="2"/>
    <w:lvlOverride w:ilvl="3"/>
    <w:lvlOverride w:ilvl="4"/>
    <w:lvlOverride w:ilvl="5"/>
    <w:lvlOverride w:ilvl="6"/>
    <w:lvlOverride w:ilvl="7"/>
    <w:lvlOverride w:ilvl="8"/>
  </w:num>
  <w:num w:numId="45">
    <w:abstractNumId w:val="46"/>
    <w:lvlOverride w:ilvl="0"/>
    <w:lvlOverride w:ilvl="1"/>
    <w:lvlOverride w:ilvl="2"/>
    <w:lvlOverride w:ilvl="3"/>
    <w:lvlOverride w:ilvl="4"/>
    <w:lvlOverride w:ilvl="5"/>
    <w:lvlOverride w:ilvl="6"/>
    <w:lvlOverride w:ilvl="7"/>
    <w:lvlOverride w:ilvl="8"/>
  </w:num>
  <w:num w:numId="46">
    <w:abstractNumId w:val="28"/>
  </w:num>
  <w:num w:numId="47">
    <w:abstractNumId w:val="44"/>
  </w:num>
  <w:num w:numId="48">
    <w:abstractNumId w:val="9"/>
  </w:num>
  <w:num w:numId="49">
    <w:abstractNumId w:val="23"/>
  </w:num>
  <w:num w:numId="50">
    <w:abstractNumId w:val="39"/>
  </w:num>
  <w:num w:numId="51">
    <w:abstractNumId w:val="13"/>
  </w:num>
  <w:numIdMacAtCleanup w:val="4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50"/>
  <w:printFractionalCharacterWidth/>
  <w:embedSystemFonts/>
  <w:bordersDoNotSurroundHeader/>
  <w:bordersDoNotSurroundFooter/>
  <w:activeWritingStyle w:appName="MSWord" w:lang="en-GB" w:vendorID="64" w:dllVersion="6" w:nlCheck="1" w:checkStyle="1"/>
  <w:activeWritingStyle w:appName="MSWord" w:lang="en-US" w:vendorID="64" w:dllVersion="6" w:nlCheck="1" w:checkStyle="1"/>
  <w:activeWritingStyle w:appName="MSWord" w:lang="fr-FR" w:vendorID="64" w:dllVersion="6" w:nlCheck="1" w:checkStyle="1"/>
  <w:activeWritingStyle w:appName="MSWord" w:lang="ru-RU" w:vendorID="64" w:dllVersion="6" w:nlCheck="1" w:checkStyle="0"/>
  <w:activeWritingStyle w:appName="MSWord" w:lang="en-US" w:vendorID="64" w:dllVersion="0" w:nlCheck="1" w:checkStyle="0"/>
  <w:activeWritingStyle w:appName="MSWord" w:lang="en-GB" w:vendorID="64" w:dllVersion="0" w:nlCheck="1" w:checkStyle="0"/>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8"/>
  <w:doNotHyphenateCaps/>
  <w:drawingGridHorizontalSpacing w:val="100"/>
  <w:displayHorizontalDrawingGridEvery w:val="0"/>
  <w:displayVerticalDrawingGridEvery w:val="0"/>
  <w:doNotShadeFormData/>
  <w:noPunctuationKerning/>
  <w:characterSpacingControl w:val="doNotCompress"/>
  <w:hdrShapeDefaults>
    <o:shapedefaults v:ext="edit" spidmax="10241"/>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810FA"/>
    <w:rsid w:val="000000A2"/>
    <w:rsid w:val="000004CA"/>
    <w:rsid w:val="000004DB"/>
    <w:rsid w:val="00000515"/>
    <w:rsid w:val="00000ECA"/>
    <w:rsid w:val="00000F2A"/>
    <w:rsid w:val="00001431"/>
    <w:rsid w:val="00001D14"/>
    <w:rsid w:val="00001FC3"/>
    <w:rsid w:val="00002375"/>
    <w:rsid w:val="00002459"/>
    <w:rsid w:val="000029A6"/>
    <w:rsid w:val="00003131"/>
    <w:rsid w:val="00003772"/>
    <w:rsid w:val="000037FB"/>
    <w:rsid w:val="00004885"/>
    <w:rsid w:val="00004CD0"/>
    <w:rsid w:val="00004CE6"/>
    <w:rsid w:val="00004D8C"/>
    <w:rsid w:val="00004DCB"/>
    <w:rsid w:val="00004F9D"/>
    <w:rsid w:val="000051F0"/>
    <w:rsid w:val="00005327"/>
    <w:rsid w:val="0000553B"/>
    <w:rsid w:val="00006009"/>
    <w:rsid w:val="00006462"/>
    <w:rsid w:val="00006780"/>
    <w:rsid w:val="000067E5"/>
    <w:rsid w:val="0000689E"/>
    <w:rsid w:val="00006C7A"/>
    <w:rsid w:val="00006E52"/>
    <w:rsid w:val="00007207"/>
    <w:rsid w:val="000072BD"/>
    <w:rsid w:val="00007500"/>
    <w:rsid w:val="00007605"/>
    <w:rsid w:val="000077B5"/>
    <w:rsid w:val="0000792C"/>
    <w:rsid w:val="00007CEF"/>
    <w:rsid w:val="00007E57"/>
    <w:rsid w:val="0001004F"/>
    <w:rsid w:val="000101EF"/>
    <w:rsid w:val="00010CD5"/>
    <w:rsid w:val="00010CF1"/>
    <w:rsid w:val="00010E97"/>
    <w:rsid w:val="00010FD1"/>
    <w:rsid w:val="0001166A"/>
    <w:rsid w:val="00011703"/>
    <w:rsid w:val="00011918"/>
    <w:rsid w:val="000124D1"/>
    <w:rsid w:val="00012D90"/>
    <w:rsid w:val="00013158"/>
    <w:rsid w:val="0001321B"/>
    <w:rsid w:val="00013633"/>
    <w:rsid w:val="000137FF"/>
    <w:rsid w:val="00013B63"/>
    <w:rsid w:val="000141F0"/>
    <w:rsid w:val="000147DD"/>
    <w:rsid w:val="00014A2C"/>
    <w:rsid w:val="00014D13"/>
    <w:rsid w:val="00015B2E"/>
    <w:rsid w:val="00015BCB"/>
    <w:rsid w:val="000162B2"/>
    <w:rsid w:val="00016DCE"/>
    <w:rsid w:val="00016FF6"/>
    <w:rsid w:val="0001729B"/>
    <w:rsid w:val="00017309"/>
    <w:rsid w:val="00017509"/>
    <w:rsid w:val="000178B8"/>
    <w:rsid w:val="00020331"/>
    <w:rsid w:val="000205C1"/>
    <w:rsid w:val="000208B8"/>
    <w:rsid w:val="00020936"/>
    <w:rsid w:val="00020D61"/>
    <w:rsid w:val="0002130A"/>
    <w:rsid w:val="0002165C"/>
    <w:rsid w:val="00021802"/>
    <w:rsid w:val="00021C67"/>
    <w:rsid w:val="00021DEC"/>
    <w:rsid w:val="0002225A"/>
    <w:rsid w:val="000222A9"/>
    <w:rsid w:val="000222F7"/>
    <w:rsid w:val="0002266E"/>
    <w:rsid w:val="000226C1"/>
    <w:rsid w:val="000228C4"/>
    <w:rsid w:val="00023545"/>
    <w:rsid w:val="00023564"/>
    <w:rsid w:val="00023C29"/>
    <w:rsid w:val="00023D63"/>
    <w:rsid w:val="00024C66"/>
    <w:rsid w:val="00024E37"/>
    <w:rsid w:val="00024E57"/>
    <w:rsid w:val="0002506A"/>
    <w:rsid w:val="00025281"/>
    <w:rsid w:val="000255A1"/>
    <w:rsid w:val="00025880"/>
    <w:rsid w:val="000258DD"/>
    <w:rsid w:val="0002591B"/>
    <w:rsid w:val="00025AFC"/>
    <w:rsid w:val="000266AE"/>
    <w:rsid w:val="00026770"/>
    <w:rsid w:val="00026905"/>
    <w:rsid w:val="00026977"/>
    <w:rsid w:val="00026AF7"/>
    <w:rsid w:val="00026E78"/>
    <w:rsid w:val="00026EF9"/>
    <w:rsid w:val="00027333"/>
    <w:rsid w:val="00027413"/>
    <w:rsid w:val="00027599"/>
    <w:rsid w:val="0002790C"/>
    <w:rsid w:val="000300FE"/>
    <w:rsid w:val="00030365"/>
    <w:rsid w:val="00030634"/>
    <w:rsid w:val="00030766"/>
    <w:rsid w:val="00030ED5"/>
    <w:rsid w:val="00030F74"/>
    <w:rsid w:val="00031242"/>
    <w:rsid w:val="00031BDE"/>
    <w:rsid w:val="00031EDD"/>
    <w:rsid w:val="00032043"/>
    <w:rsid w:val="000321DC"/>
    <w:rsid w:val="00032682"/>
    <w:rsid w:val="00032A64"/>
    <w:rsid w:val="00032B1F"/>
    <w:rsid w:val="00033076"/>
    <w:rsid w:val="000334D2"/>
    <w:rsid w:val="00033834"/>
    <w:rsid w:val="00033A55"/>
    <w:rsid w:val="00033AE8"/>
    <w:rsid w:val="00033E5C"/>
    <w:rsid w:val="00033EC5"/>
    <w:rsid w:val="000348D8"/>
    <w:rsid w:val="000349B7"/>
    <w:rsid w:val="00034DC2"/>
    <w:rsid w:val="000350B6"/>
    <w:rsid w:val="000351E0"/>
    <w:rsid w:val="0003540B"/>
    <w:rsid w:val="000356E1"/>
    <w:rsid w:val="00035958"/>
    <w:rsid w:val="00035CAB"/>
    <w:rsid w:val="00036878"/>
    <w:rsid w:val="00036A16"/>
    <w:rsid w:val="00036ACE"/>
    <w:rsid w:val="00036C45"/>
    <w:rsid w:val="00036D25"/>
    <w:rsid w:val="00036FA7"/>
    <w:rsid w:val="000377E3"/>
    <w:rsid w:val="00037910"/>
    <w:rsid w:val="00037A21"/>
    <w:rsid w:val="00040025"/>
    <w:rsid w:val="000404F2"/>
    <w:rsid w:val="00040F7A"/>
    <w:rsid w:val="000412B7"/>
    <w:rsid w:val="000413B8"/>
    <w:rsid w:val="000413CC"/>
    <w:rsid w:val="0004182E"/>
    <w:rsid w:val="000418C8"/>
    <w:rsid w:val="0004190B"/>
    <w:rsid w:val="00041928"/>
    <w:rsid w:val="000426B1"/>
    <w:rsid w:val="00042843"/>
    <w:rsid w:val="00042A8D"/>
    <w:rsid w:val="00042BFC"/>
    <w:rsid w:val="000430CF"/>
    <w:rsid w:val="00043703"/>
    <w:rsid w:val="00043850"/>
    <w:rsid w:val="00043F71"/>
    <w:rsid w:val="0004403C"/>
    <w:rsid w:val="00044225"/>
    <w:rsid w:val="00044359"/>
    <w:rsid w:val="00044576"/>
    <w:rsid w:val="00044C0A"/>
    <w:rsid w:val="00044FC4"/>
    <w:rsid w:val="0004516E"/>
    <w:rsid w:val="000451E5"/>
    <w:rsid w:val="000453F6"/>
    <w:rsid w:val="00046CD6"/>
    <w:rsid w:val="00046CE4"/>
    <w:rsid w:val="00046DB7"/>
    <w:rsid w:val="00046F9A"/>
    <w:rsid w:val="0004713D"/>
    <w:rsid w:val="000472F3"/>
    <w:rsid w:val="000475B5"/>
    <w:rsid w:val="000477BB"/>
    <w:rsid w:val="00047A82"/>
    <w:rsid w:val="00050191"/>
    <w:rsid w:val="00050395"/>
    <w:rsid w:val="0005055B"/>
    <w:rsid w:val="000505E0"/>
    <w:rsid w:val="000505E5"/>
    <w:rsid w:val="000509C8"/>
    <w:rsid w:val="00050D32"/>
    <w:rsid w:val="00051135"/>
    <w:rsid w:val="00051327"/>
    <w:rsid w:val="00051586"/>
    <w:rsid w:val="00051A22"/>
    <w:rsid w:val="00051D7A"/>
    <w:rsid w:val="0005201C"/>
    <w:rsid w:val="000524CE"/>
    <w:rsid w:val="0005291A"/>
    <w:rsid w:val="00052AE3"/>
    <w:rsid w:val="000531A8"/>
    <w:rsid w:val="000532F8"/>
    <w:rsid w:val="000534D5"/>
    <w:rsid w:val="000537DB"/>
    <w:rsid w:val="00053849"/>
    <w:rsid w:val="00053A47"/>
    <w:rsid w:val="0005456E"/>
    <w:rsid w:val="0005468A"/>
    <w:rsid w:val="00054ACE"/>
    <w:rsid w:val="00054DAB"/>
    <w:rsid w:val="0005504C"/>
    <w:rsid w:val="0005550B"/>
    <w:rsid w:val="00055873"/>
    <w:rsid w:val="00055B8E"/>
    <w:rsid w:val="0005602E"/>
    <w:rsid w:val="00056057"/>
    <w:rsid w:val="00056C53"/>
    <w:rsid w:val="00056F10"/>
    <w:rsid w:val="000572A7"/>
    <w:rsid w:val="00057460"/>
    <w:rsid w:val="00057511"/>
    <w:rsid w:val="00057980"/>
    <w:rsid w:val="00057AD4"/>
    <w:rsid w:val="00057DF9"/>
    <w:rsid w:val="00057F2C"/>
    <w:rsid w:val="00057F68"/>
    <w:rsid w:val="00057F6C"/>
    <w:rsid w:val="00057FE7"/>
    <w:rsid w:val="00060586"/>
    <w:rsid w:val="00060873"/>
    <w:rsid w:val="00060FDB"/>
    <w:rsid w:val="000612C5"/>
    <w:rsid w:val="00061E34"/>
    <w:rsid w:val="000621A9"/>
    <w:rsid w:val="0006263A"/>
    <w:rsid w:val="000626CF"/>
    <w:rsid w:val="00062C83"/>
    <w:rsid w:val="000632B7"/>
    <w:rsid w:val="00063480"/>
    <w:rsid w:val="00063485"/>
    <w:rsid w:val="000636BA"/>
    <w:rsid w:val="00063E29"/>
    <w:rsid w:val="00063E5B"/>
    <w:rsid w:val="00063F57"/>
    <w:rsid w:val="0006436D"/>
    <w:rsid w:val="0006480B"/>
    <w:rsid w:val="00064A2B"/>
    <w:rsid w:val="00064B64"/>
    <w:rsid w:val="00064D36"/>
    <w:rsid w:val="0006549C"/>
    <w:rsid w:val="00065D64"/>
    <w:rsid w:val="000663FC"/>
    <w:rsid w:val="000667D1"/>
    <w:rsid w:val="00066E05"/>
    <w:rsid w:val="00066FC0"/>
    <w:rsid w:val="00067087"/>
    <w:rsid w:val="000671F8"/>
    <w:rsid w:val="00067200"/>
    <w:rsid w:val="0006739D"/>
    <w:rsid w:val="00067409"/>
    <w:rsid w:val="00067436"/>
    <w:rsid w:val="000674DD"/>
    <w:rsid w:val="0006777C"/>
    <w:rsid w:val="00067824"/>
    <w:rsid w:val="00067921"/>
    <w:rsid w:val="00067FE2"/>
    <w:rsid w:val="00070378"/>
    <w:rsid w:val="000709C2"/>
    <w:rsid w:val="00070E4C"/>
    <w:rsid w:val="0007118F"/>
    <w:rsid w:val="000715BD"/>
    <w:rsid w:val="000716DB"/>
    <w:rsid w:val="000716FB"/>
    <w:rsid w:val="00071E9B"/>
    <w:rsid w:val="000721FD"/>
    <w:rsid w:val="000725C2"/>
    <w:rsid w:val="00072E75"/>
    <w:rsid w:val="00072EFA"/>
    <w:rsid w:val="000732BB"/>
    <w:rsid w:val="00073785"/>
    <w:rsid w:val="00074375"/>
    <w:rsid w:val="000743A0"/>
    <w:rsid w:val="00074BBA"/>
    <w:rsid w:val="00074BF5"/>
    <w:rsid w:val="000752CD"/>
    <w:rsid w:val="00075680"/>
    <w:rsid w:val="0007590A"/>
    <w:rsid w:val="00075999"/>
    <w:rsid w:val="0007695F"/>
    <w:rsid w:val="0007747E"/>
    <w:rsid w:val="00077579"/>
    <w:rsid w:val="00077B11"/>
    <w:rsid w:val="000805B2"/>
    <w:rsid w:val="00080786"/>
    <w:rsid w:val="00080C20"/>
    <w:rsid w:val="00080D68"/>
    <w:rsid w:val="00080D74"/>
    <w:rsid w:val="000814B2"/>
    <w:rsid w:val="000814C5"/>
    <w:rsid w:val="00081534"/>
    <w:rsid w:val="00082152"/>
    <w:rsid w:val="000825BC"/>
    <w:rsid w:val="000826FF"/>
    <w:rsid w:val="00082794"/>
    <w:rsid w:val="00082A49"/>
    <w:rsid w:val="00083322"/>
    <w:rsid w:val="00083391"/>
    <w:rsid w:val="00083788"/>
    <w:rsid w:val="000839CE"/>
    <w:rsid w:val="00083EBD"/>
    <w:rsid w:val="00084255"/>
    <w:rsid w:val="0008481B"/>
    <w:rsid w:val="00085201"/>
    <w:rsid w:val="00085239"/>
    <w:rsid w:val="0008579B"/>
    <w:rsid w:val="000862BA"/>
    <w:rsid w:val="00086A02"/>
    <w:rsid w:val="00086B50"/>
    <w:rsid w:val="00086C4D"/>
    <w:rsid w:val="00086CF2"/>
    <w:rsid w:val="0008731C"/>
    <w:rsid w:val="0008760B"/>
    <w:rsid w:val="0008775D"/>
    <w:rsid w:val="00087881"/>
    <w:rsid w:val="0008791E"/>
    <w:rsid w:val="00087B7B"/>
    <w:rsid w:val="00087BAB"/>
    <w:rsid w:val="00087E29"/>
    <w:rsid w:val="00087F91"/>
    <w:rsid w:val="000901BE"/>
    <w:rsid w:val="00090228"/>
    <w:rsid w:val="00090573"/>
    <w:rsid w:val="00090586"/>
    <w:rsid w:val="000906BE"/>
    <w:rsid w:val="000908EE"/>
    <w:rsid w:val="00090AAF"/>
    <w:rsid w:val="00090E2A"/>
    <w:rsid w:val="00091714"/>
    <w:rsid w:val="00091768"/>
    <w:rsid w:val="00091C08"/>
    <w:rsid w:val="000921E3"/>
    <w:rsid w:val="000922A1"/>
    <w:rsid w:val="00092334"/>
    <w:rsid w:val="00092C47"/>
    <w:rsid w:val="000931C3"/>
    <w:rsid w:val="00093629"/>
    <w:rsid w:val="00093B23"/>
    <w:rsid w:val="00093EA6"/>
    <w:rsid w:val="0009437A"/>
    <w:rsid w:val="000947B7"/>
    <w:rsid w:val="00094CFE"/>
    <w:rsid w:val="00094FCB"/>
    <w:rsid w:val="00095127"/>
    <w:rsid w:val="00095191"/>
    <w:rsid w:val="00095671"/>
    <w:rsid w:val="00095920"/>
    <w:rsid w:val="00095F53"/>
    <w:rsid w:val="0009612D"/>
    <w:rsid w:val="0009653B"/>
    <w:rsid w:val="000967BD"/>
    <w:rsid w:val="0009680E"/>
    <w:rsid w:val="000968D8"/>
    <w:rsid w:val="0009709B"/>
    <w:rsid w:val="00097215"/>
    <w:rsid w:val="000972CD"/>
    <w:rsid w:val="000973C6"/>
    <w:rsid w:val="000979F0"/>
    <w:rsid w:val="00097AE8"/>
    <w:rsid w:val="00097C6B"/>
    <w:rsid w:val="000A02DC"/>
    <w:rsid w:val="000A0CA1"/>
    <w:rsid w:val="000A0E99"/>
    <w:rsid w:val="000A10D0"/>
    <w:rsid w:val="000A1995"/>
    <w:rsid w:val="000A1AD3"/>
    <w:rsid w:val="000A1B13"/>
    <w:rsid w:val="000A1D49"/>
    <w:rsid w:val="000A2070"/>
    <w:rsid w:val="000A23B7"/>
    <w:rsid w:val="000A2BAA"/>
    <w:rsid w:val="000A2D70"/>
    <w:rsid w:val="000A310F"/>
    <w:rsid w:val="000A336F"/>
    <w:rsid w:val="000A34D8"/>
    <w:rsid w:val="000A3A3A"/>
    <w:rsid w:val="000A3ACB"/>
    <w:rsid w:val="000A4492"/>
    <w:rsid w:val="000A47AC"/>
    <w:rsid w:val="000A49DE"/>
    <w:rsid w:val="000A4B74"/>
    <w:rsid w:val="000A52B9"/>
    <w:rsid w:val="000A54DF"/>
    <w:rsid w:val="000A5618"/>
    <w:rsid w:val="000A5AE2"/>
    <w:rsid w:val="000A61CB"/>
    <w:rsid w:val="000A64B8"/>
    <w:rsid w:val="000A6788"/>
    <w:rsid w:val="000A6AC6"/>
    <w:rsid w:val="000A6CFE"/>
    <w:rsid w:val="000A6E10"/>
    <w:rsid w:val="000A6FDD"/>
    <w:rsid w:val="000A7C88"/>
    <w:rsid w:val="000A7E17"/>
    <w:rsid w:val="000B016D"/>
    <w:rsid w:val="000B02C2"/>
    <w:rsid w:val="000B0352"/>
    <w:rsid w:val="000B060C"/>
    <w:rsid w:val="000B081C"/>
    <w:rsid w:val="000B0F92"/>
    <w:rsid w:val="000B10AB"/>
    <w:rsid w:val="000B17A1"/>
    <w:rsid w:val="000B1CD3"/>
    <w:rsid w:val="000B256B"/>
    <w:rsid w:val="000B2AAA"/>
    <w:rsid w:val="000B32D4"/>
    <w:rsid w:val="000B38DA"/>
    <w:rsid w:val="000B3F37"/>
    <w:rsid w:val="000B420A"/>
    <w:rsid w:val="000B4749"/>
    <w:rsid w:val="000B49D7"/>
    <w:rsid w:val="000B53AF"/>
    <w:rsid w:val="000B546F"/>
    <w:rsid w:val="000B54A8"/>
    <w:rsid w:val="000B569D"/>
    <w:rsid w:val="000B5E69"/>
    <w:rsid w:val="000B60B9"/>
    <w:rsid w:val="000B65BE"/>
    <w:rsid w:val="000B6BDF"/>
    <w:rsid w:val="000B6D9B"/>
    <w:rsid w:val="000B71B6"/>
    <w:rsid w:val="000B7312"/>
    <w:rsid w:val="000B7387"/>
    <w:rsid w:val="000B754B"/>
    <w:rsid w:val="000B76BB"/>
    <w:rsid w:val="000B7D5E"/>
    <w:rsid w:val="000C1051"/>
    <w:rsid w:val="000C133A"/>
    <w:rsid w:val="000C143C"/>
    <w:rsid w:val="000C1B48"/>
    <w:rsid w:val="000C1DBD"/>
    <w:rsid w:val="000C1F69"/>
    <w:rsid w:val="000C2306"/>
    <w:rsid w:val="000C2DE1"/>
    <w:rsid w:val="000C393F"/>
    <w:rsid w:val="000C3987"/>
    <w:rsid w:val="000C3EB8"/>
    <w:rsid w:val="000C3F16"/>
    <w:rsid w:val="000C44B7"/>
    <w:rsid w:val="000C4C76"/>
    <w:rsid w:val="000C550B"/>
    <w:rsid w:val="000C5759"/>
    <w:rsid w:val="000C59A5"/>
    <w:rsid w:val="000C5B11"/>
    <w:rsid w:val="000C5D65"/>
    <w:rsid w:val="000C5E7D"/>
    <w:rsid w:val="000C63D5"/>
    <w:rsid w:val="000C673C"/>
    <w:rsid w:val="000C689A"/>
    <w:rsid w:val="000C69F8"/>
    <w:rsid w:val="000C6C96"/>
    <w:rsid w:val="000C71D9"/>
    <w:rsid w:val="000C71E8"/>
    <w:rsid w:val="000C7315"/>
    <w:rsid w:val="000C7C3E"/>
    <w:rsid w:val="000D037E"/>
    <w:rsid w:val="000D063F"/>
    <w:rsid w:val="000D09B6"/>
    <w:rsid w:val="000D0A0F"/>
    <w:rsid w:val="000D0AB8"/>
    <w:rsid w:val="000D0BCC"/>
    <w:rsid w:val="000D0ED4"/>
    <w:rsid w:val="000D0F9A"/>
    <w:rsid w:val="000D148D"/>
    <w:rsid w:val="000D14EB"/>
    <w:rsid w:val="000D1610"/>
    <w:rsid w:val="000D1737"/>
    <w:rsid w:val="000D199E"/>
    <w:rsid w:val="000D206C"/>
    <w:rsid w:val="000D218F"/>
    <w:rsid w:val="000D23C1"/>
    <w:rsid w:val="000D23F0"/>
    <w:rsid w:val="000D2AE0"/>
    <w:rsid w:val="000D2EA5"/>
    <w:rsid w:val="000D2FE6"/>
    <w:rsid w:val="000D35D4"/>
    <w:rsid w:val="000D362A"/>
    <w:rsid w:val="000D37FA"/>
    <w:rsid w:val="000D3A6C"/>
    <w:rsid w:val="000D4324"/>
    <w:rsid w:val="000D46EE"/>
    <w:rsid w:val="000D4ABD"/>
    <w:rsid w:val="000D4DE6"/>
    <w:rsid w:val="000D4DFF"/>
    <w:rsid w:val="000D514E"/>
    <w:rsid w:val="000D5428"/>
    <w:rsid w:val="000D55EA"/>
    <w:rsid w:val="000D5711"/>
    <w:rsid w:val="000D59D6"/>
    <w:rsid w:val="000D5AB0"/>
    <w:rsid w:val="000D5AD1"/>
    <w:rsid w:val="000D5C0C"/>
    <w:rsid w:val="000D5E4D"/>
    <w:rsid w:val="000D5F11"/>
    <w:rsid w:val="000D697E"/>
    <w:rsid w:val="000D6B62"/>
    <w:rsid w:val="000D6E96"/>
    <w:rsid w:val="000D7268"/>
    <w:rsid w:val="000D729D"/>
    <w:rsid w:val="000D74D7"/>
    <w:rsid w:val="000D75CC"/>
    <w:rsid w:val="000D7783"/>
    <w:rsid w:val="000D79CA"/>
    <w:rsid w:val="000D7A1D"/>
    <w:rsid w:val="000D7C7C"/>
    <w:rsid w:val="000D7EF2"/>
    <w:rsid w:val="000E011D"/>
    <w:rsid w:val="000E0A57"/>
    <w:rsid w:val="000E0C8A"/>
    <w:rsid w:val="000E14B9"/>
    <w:rsid w:val="000E15FE"/>
    <w:rsid w:val="000E182B"/>
    <w:rsid w:val="000E1E8E"/>
    <w:rsid w:val="000E24CC"/>
    <w:rsid w:val="000E279B"/>
    <w:rsid w:val="000E2AC1"/>
    <w:rsid w:val="000E2B8B"/>
    <w:rsid w:val="000E2D8C"/>
    <w:rsid w:val="000E3075"/>
    <w:rsid w:val="000E3358"/>
    <w:rsid w:val="000E38ED"/>
    <w:rsid w:val="000E3D10"/>
    <w:rsid w:val="000E3F84"/>
    <w:rsid w:val="000E4212"/>
    <w:rsid w:val="000E471D"/>
    <w:rsid w:val="000E48CD"/>
    <w:rsid w:val="000E4C9B"/>
    <w:rsid w:val="000E4D01"/>
    <w:rsid w:val="000E5830"/>
    <w:rsid w:val="000E5C4E"/>
    <w:rsid w:val="000E633D"/>
    <w:rsid w:val="000E6355"/>
    <w:rsid w:val="000E65A7"/>
    <w:rsid w:val="000E6635"/>
    <w:rsid w:val="000E6F62"/>
    <w:rsid w:val="000E7535"/>
    <w:rsid w:val="000E7D68"/>
    <w:rsid w:val="000E7F51"/>
    <w:rsid w:val="000F00D8"/>
    <w:rsid w:val="000F036B"/>
    <w:rsid w:val="000F04CE"/>
    <w:rsid w:val="000F06D8"/>
    <w:rsid w:val="000F07F0"/>
    <w:rsid w:val="000F095B"/>
    <w:rsid w:val="000F0E80"/>
    <w:rsid w:val="000F1287"/>
    <w:rsid w:val="000F13C4"/>
    <w:rsid w:val="000F13D7"/>
    <w:rsid w:val="000F17E4"/>
    <w:rsid w:val="000F1B0F"/>
    <w:rsid w:val="000F1CF3"/>
    <w:rsid w:val="000F203A"/>
    <w:rsid w:val="000F20CD"/>
    <w:rsid w:val="000F21E3"/>
    <w:rsid w:val="000F2731"/>
    <w:rsid w:val="000F2965"/>
    <w:rsid w:val="000F2987"/>
    <w:rsid w:val="000F2D6C"/>
    <w:rsid w:val="000F2F75"/>
    <w:rsid w:val="000F34C7"/>
    <w:rsid w:val="000F379F"/>
    <w:rsid w:val="000F3B40"/>
    <w:rsid w:val="000F3FFF"/>
    <w:rsid w:val="000F4139"/>
    <w:rsid w:val="000F42EA"/>
    <w:rsid w:val="000F4CAF"/>
    <w:rsid w:val="000F4EA9"/>
    <w:rsid w:val="000F4F44"/>
    <w:rsid w:val="000F50C5"/>
    <w:rsid w:val="000F52FB"/>
    <w:rsid w:val="000F53CB"/>
    <w:rsid w:val="000F5474"/>
    <w:rsid w:val="000F56C7"/>
    <w:rsid w:val="000F60BF"/>
    <w:rsid w:val="000F61A6"/>
    <w:rsid w:val="000F61C4"/>
    <w:rsid w:val="000F628F"/>
    <w:rsid w:val="000F64E2"/>
    <w:rsid w:val="000F6646"/>
    <w:rsid w:val="000F67AC"/>
    <w:rsid w:val="000F6881"/>
    <w:rsid w:val="000F6C32"/>
    <w:rsid w:val="000F6DB3"/>
    <w:rsid w:val="000F6E58"/>
    <w:rsid w:val="000F77C9"/>
    <w:rsid w:val="00100097"/>
    <w:rsid w:val="001000E9"/>
    <w:rsid w:val="00100169"/>
    <w:rsid w:val="001001C4"/>
    <w:rsid w:val="0010067A"/>
    <w:rsid w:val="00100880"/>
    <w:rsid w:val="00100CA1"/>
    <w:rsid w:val="00100FE2"/>
    <w:rsid w:val="001011F3"/>
    <w:rsid w:val="001013DF"/>
    <w:rsid w:val="00101489"/>
    <w:rsid w:val="00101513"/>
    <w:rsid w:val="00101A0E"/>
    <w:rsid w:val="00101ACE"/>
    <w:rsid w:val="00102147"/>
    <w:rsid w:val="001021B6"/>
    <w:rsid w:val="001025A2"/>
    <w:rsid w:val="00102D2E"/>
    <w:rsid w:val="0010341A"/>
    <w:rsid w:val="00103658"/>
    <w:rsid w:val="0010366C"/>
    <w:rsid w:val="00104058"/>
    <w:rsid w:val="0010405D"/>
    <w:rsid w:val="00104228"/>
    <w:rsid w:val="00104871"/>
    <w:rsid w:val="00104A80"/>
    <w:rsid w:val="001050B7"/>
    <w:rsid w:val="0010521E"/>
    <w:rsid w:val="001052CF"/>
    <w:rsid w:val="0010543D"/>
    <w:rsid w:val="0010568A"/>
    <w:rsid w:val="00105748"/>
    <w:rsid w:val="00105820"/>
    <w:rsid w:val="0010593E"/>
    <w:rsid w:val="00105CEE"/>
    <w:rsid w:val="0010660E"/>
    <w:rsid w:val="00106756"/>
    <w:rsid w:val="0010690B"/>
    <w:rsid w:val="00106A95"/>
    <w:rsid w:val="00106CC3"/>
    <w:rsid w:val="00106E7E"/>
    <w:rsid w:val="001073A3"/>
    <w:rsid w:val="001074D1"/>
    <w:rsid w:val="00107600"/>
    <w:rsid w:val="001107FE"/>
    <w:rsid w:val="00110FBF"/>
    <w:rsid w:val="00111169"/>
    <w:rsid w:val="001112E9"/>
    <w:rsid w:val="00111481"/>
    <w:rsid w:val="0011156C"/>
    <w:rsid w:val="001115C0"/>
    <w:rsid w:val="001115F4"/>
    <w:rsid w:val="001118AA"/>
    <w:rsid w:val="00111AB9"/>
    <w:rsid w:val="00111AD9"/>
    <w:rsid w:val="00111D19"/>
    <w:rsid w:val="00111D2C"/>
    <w:rsid w:val="0011234A"/>
    <w:rsid w:val="00112509"/>
    <w:rsid w:val="00112B35"/>
    <w:rsid w:val="00112B8F"/>
    <w:rsid w:val="00112D41"/>
    <w:rsid w:val="001134DA"/>
    <w:rsid w:val="0011368C"/>
    <w:rsid w:val="0011372B"/>
    <w:rsid w:val="001138BF"/>
    <w:rsid w:val="00113D8F"/>
    <w:rsid w:val="001140FA"/>
    <w:rsid w:val="001141CF"/>
    <w:rsid w:val="00114379"/>
    <w:rsid w:val="001146A3"/>
    <w:rsid w:val="001146C6"/>
    <w:rsid w:val="001147B8"/>
    <w:rsid w:val="00114949"/>
    <w:rsid w:val="00114A39"/>
    <w:rsid w:val="00114E61"/>
    <w:rsid w:val="00114EA7"/>
    <w:rsid w:val="001151B4"/>
    <w:rsid w:val="0011536C"/>
    <w:rsid w:val="001153A7"/>
    <w:rsid w:val="00115716"/>
    <w:rsid w:val="0011584C"/>
    <w:rsid w:val="00115D19"/>
    <w:rsid w:val="0011677E"/>
    <w:rsid w:val="00116C09"/>
    <w:rsid w:val="00116E5F"/>
    <w:rsid w:val="00116EBA"/>
    <w:rsid w:val="00116F5E"/>
    <w:rsid w:val="00117957"/>
    <w:rsid w:val="00117B90"/>
    <w:rsid w:val="0012022B"/>
    <w:rsid w:val="001203DB"/>
    <w:rsid w:val="0012079F"/>
    <w:rsid w:val="001207F3"/>
    <w:rsid w:val="00120D2A"/>
    <w:rsid w:val="00121897"/>
    <w:rsid w:val="00121AF7"/>
    <w:rsid w:val="00121E20"/>
    <w:rsid w:val="00121F72"/>
    <w:rsid w:val="00121FDE"/>
    <w:rsid w:val="00122581"/>
    <w:rsid w:val="00122842"/>
    <w:rsid w:val="00122EB3"/>
    <w:rsid w:val="00123236"/>
    <w:rsid w:val="0012343D"/>
    <w:rsid w:val="0012345C"/>
    <w:rsid w:val="001235C4"/>
    <w:rsid w:val="00123975"/>
    <w:rsid w:val="00123A55"/>
    <w:rsid w:val="00123DED"/>
    <w:rsid w:val="00124150"/>
    <w:rsid w:val="001241B0"/>
    <w:rsid w:val="0012467D"/>
    <w:rsid w:val="001246EC"/>
    <w:rsid w:val="001249BA"/>
    <w:rsid w:val="001249D7"/>
    <w:rsid w:val="00124B40"/>
    <w:rsid w:val="00124C33"/>
    <w:rsid w:val="00124E10"/>
    <w:rsid w:val="00125078"/>
    <w:rsid w:val="0012524B"/>
    <w:rsid w:val="001252FE"/>
    <w:rsid w:val="001257E6"/>
    <w:rsid w:val="00125C03"/>
    <w:rsid w:val="00125E40"/>
    <w:rsid w:val="0012697D"/>
    <w:rsid w:val="001269AC"/>
    <w:rsid w:val="00126C38"/>
    <w:rsid w:val="00126C3C"/>
    <w:rsid w:val="0012722E"/>
    <w:rsid w:val="0012748A"/>
    <w:rsid w:val="001274AC"/>
    <w:rsid w:val="001275E6"/>
    <w:rsid w:val="00127DE2"/>
    <w:rsid w:val="00127E51"/>
    <w:rsid w:val="00127EA7"/>
    <w:rsid w:val="00127F28"/>
    <w:rsid w:val="0013014D"/>
    <w:rsid w:val="001301E5"/>
    <w:rsid w:val="001302C8"/>
    <w:rsid w:val="00130714"/>
    <w:rsid w:val="00130953"/>
    <w:rsid w:val="00130EFD"/>
    <w:rsid w:val="00130F15"/>
    <w:rsid w:val="00131683"/>
    <w:rsid w:val="001316D9"/>
    <w:rsid w:val="00131A1B"/>
    <w:rsid w:val="00131AC6"/>
    <w:rsid w:val="00131B2C"/>
    <w:rsid w:val="00131D8D"/>
    <w:rsid w:val="001320F7"/>
    <w:rsid w:val="001321CE"/>
    <w:rsid w:val="001322B0"/>
    <w:rsid w:val="00132692"/>
    <w:rsid w:val="00132767"/>
    <w:rsid w:val="00132917"/>
    <w:rsid w:val="00132A30"/>
    <w:rsid w:val="00132D74"/>
    <w:rsid w:val="00132E7E"/>
    <w:rsid w:val="0013334C"/>
    <w:rsid w:val="0013344F"/>
    <w:rsid w:val="0013359C"/>
    <w:rsid w:val="00133706"/>
    <w:rsid w:val="00133CA0"/>
    <w:rsid w:val="00133EBD"/>
    <w:rsid w:val="001345D5"/>
    <w:rsid w:val="001348C5"/>
    <w:rsid w:val="00134E58"/>
    <w:rsid w:val="00135015"/>
    <w:rsid w:val="00135095"/>
    <w:rsid w:val="001352A6"/>
    <w:rsid w:val="00135379"/>
    <w:rsid w:val="00135829"/>
    <w:rsid w:val="001358A7"/>
    <w:rsid w:val="001358F4"/>
    <w:rsid w:val="00135A28"/>
    <w:rsid w:val="0013612A"/>
    <w:rsid w:val="00136424"/>
    <w:rsid w:val="00136998"/>
    <w:rsid w:val="00136AAD"/>
    <w:rsid w:val="00136BA1"/>
    <w:rsid w:val="00136DF8"/>
    <w:rsid w:val="00136EB3"/>
    <w:rsid w:val="0013726F"/>
    <w:rsid w:val="00137280"/>
    <w:rsid w:val="00137288"/>
    <w:rsid w:val="00137480"/>
    <w:rsid w:val="001375D8"/>
    <w:rsid w:val="001376F7"/>
    <w:rsid w:val="001377C3"/>
    <w:rsid w:val="00137A97"/>
    <w:rsid w:val="00140608"/>
    <w:rsid w:val="0014073C"/>
    <w:rsid w:val="00140762"/>
    <w:rsid w:val="00140912"/>
    <w:rsid w:val="00140E5E"/>
    <w:rsid w:val="001410F1"/>
    <w:rsid w:val="001411F6"/>
    <w:rsid w:val="00141323"/>
    <w:rsid w:val="001414D7"/>
    <w:rsid w:val="001418FE"/>
    <w:rsid w:val="00141924"/>
    <w:rsid w:val="00141E46"/>
    <w:rsid w:val="0014206B"/>
    <w:rsid w:val="00142093"/>
    <w:rsid w:val="0014215B"/>
    <w:rsid w:val="001426EA"/>
    <w:rsid w:val="0014297C"/>
    <w:rsid w:val="00142D73"/>
    <w:rsid w:val="00142E42"/>
    <w:rsid w:val="00142F87"/>
    <w:rsid w:val="001433C9"/>
    <w:rsid w:val="0014371C"/>
    <w:rsid w:val="00143932"/>
    <w:rsid w:val="00143E78"/>
    <w:rsid w:val="00143F70"/>
    <w:rsid w:val="00143FFE"/>
    <w:rsid w:val="001445AA"/>
    <w:rsid w:val="0014471E"/>
    <w:rsid w:val="0014491B"/>
    <w:rsid w:val="00144B3F"/>
    <w:rsid w:val="00144E04"/>
    <w:rsid w:val="001454C4"/>
    <w:rsid w:val="00145D7C"/>
    <w:rsid w:val="00146129"/>
    <w:rsid w:val="0014624C"/>
    <w:rsid w:val="00146377"/>
    <w:rsid w:val="0014652F"/>
    <w:rsid w:val="001466F4"/>
    <w:rsid w:val="00146BC8"/>
    <w:rsid w:val="00146EDA"/>
    <w:rsid w:val="001472C2"/>
    <w:rsid w:val="00147462"/>
    <w:rsid w:val="001477C4"/>
    <w:rsid w:val="00147D65"/>
    <w:rsid w:val="00147D91"/>
    <w:rsid w:val="001503DD"/>
    <w:rsid w:val="001508E1"/>
    <w:rsid w:val="00150B25"/>
    <w:rsid w:val="00150BAF"/>
    <w:rsid w:val="00150C26"/>
    <w:rsid w:val="00150CD5"/>
    <w:rsid w:val="00150EC3"/>
    <w:rsid w:val="00151096"/>
    <w:rsid w:val="001510B6"/>
    <w:rsid w:val="001510BE"/>
    <w:rsid w:val="001510ED"/>
    <w:rsid w:val="00151805"/>
    <w:rsid w:val="001518AA"/>
    <w:rsid w:val="00152066"/>
    <w:rsid w:val="001526CA"/>
    <w:rsid w:val="0015289B"/>
    <w:rsid w:val="0015294D"/>
    <w:rsid w:val="00152965"/>
    <w:rsid w:val="00152A3B"/>
    <w:rsid w:val="00153021"/>
    <w:rsid w:val="001531CD"/>
    <w:rsid w:val="001531FD"/>
    <w:rsid w:val="0015347E"/>
    <w:rsid w:val="00153A48"/>
    <w:rsid w:val="00153A6B"/>
    <w:rsid w:val="00153EEF"/>
    <w:rsid w:val="00153F29"/>
    <w:rsid w:val="001544AB"/>
    <w:rsid w:val="00154620"/>
    <w:rsid w:val="00154A24"/>
    <w:rsid w:val="00154A80"/>
    <w:rsid w:val="00154AA8"/>
    <w:rsid w:val="00154B50"/>
    <w:rsid w:val="00154E96"/>
    <w:rsid w:val="00154F3A"/>
    <w:rsid w:val="00155CB4"/>
    <w:rsid w:val="00155CB8"/>
    <w:rsid w:val="00155F7A"/>
    <w:rsid w:val="00156260"/>
    <w:rsid w:val="0015674F"/>
    <w:rsid w:val="00157654"/>
    <w:rsid w:val="0016019C"/>
    <w:rsid w:val="00160674"/>
    <w:rsid w:val="00160786"/>
    <w:rsid w:val="00160E93"/>
    <w:rsid w:val="00161455"/>
    <w:rsid w:val="001618A3"/>
    <w:rsid w:val="0016207A"/>
    <w:rsid w:val="00162262"/>
    <w:rsid w:val="00162BD5"/>
    <w:rsid w:val="00162CF1"/>
    <w:rsid w:val="00162F82"/>
    <w:rsid w:val="001630E4"/>
    <w:rsid w:val="001630E8"/>
    <w:rsid w:val="001639BC"/>
    <w:rsid w:val="001639E6"/>
    <w:rsid w:val="00163AFC"/>
    <w:rsid w:val="00163BE3"/>
    <w:rsid w:val="00164567"/>
    <w:rsid w:val="00164646"/>
    <w:rsid w:val="001647FA"/>
    <w:rsid w:val="001649D4"/>
    <w:rsid w:val="00164C22"/>
    <w:rsid w:val="00165137"/>
    <w:rsid w:val="0016634F"/>
    <w:rsid w:val="001669F9"/>
    <w:rsid w:val="0016700E"/>
    <w:rsid w:val="0016711A"/>
    <w:rsid w:val="0016764C"/>
    <w:rsid w:val="00167709"/>
    <w:rsid w:val="00167713"/>
    <w:rsid w:val="00170397"/>
    <w:rsid w:val="001706E4"/>
    <w:rsid w:val="001708D0"/>
    <w:rsid w:val="00171730"/>
    <w:rsid w:val="001718B8"/>
    <w:rsid w:val="00171944"/>
    <w:rsid w:val="00171D7E"/>
    <w:rsid w:val="00171E61"/>
    <w:rsid w:val="00171EE6"/>
    <w:rsid w:val="00171F14"/>
    <w:rsid w:val="0017226B"/>
    <w:rsid w:val="00172903"/>
    <w:rsid w:val="001729E1"/>
    <w:rsid w:val="00172B61"/>
    <w:rsid w:val="00172C20"/>
    <w:rsid w:val="001731F6"/>
    <w:rsid w:val="00173869"/>
    <w:rsid w:val="001738A5"/>
    <w:rsid w:val="00173A00"/>
    <w:rsid w:val="00173DB6"/>
    <w:rsid w:val="0017440C"/>
    <w:rsid w:val="001746C1"/>
    <w:rsid w:val="00174BE4"/>
    <w:rsid w:val="00174DDB"/>
    <w:rsid w:val="00174EAE"/>
    <w:rsid w:val="00174F2F"/>
    <w:rsid w:val="00175152"/>
    <w:rsid w:val="001752D7"/>
    <w:rsid w:val="001752EC"/>
    <w:rsid w:val="00175532"/>
    <w:rsid w:val="00175B5A"/>
    <w:rsid w:val="00175F2D"/>
    <w:rsid w:val="00176334"/>
    <w:rsid w:val="00176414"/>
    <w:rsid w:val="001764FD"/>
    <w:rsid w:val="00176F85"/>
    <w:rsid w:val="00177036"/>
    <w:rsid w:val="0017714C"/>
    <w:rsid w:val="0017722E"/>
    <w:rsid w:val="00177711"/>
    <w:rsid w:val="0017790D"/>
    <w:rsid w:val="00177A0D"/>
    <w:rsid w:val="00177D74"/>
    <w:rsid w:val="00177DFF"/>
    <w:rsid w:val="00177EBD"/>
    <w:rsid w:val="001800DB"/>
    <w:rsid w:val="00180149"/>
    <w:rsid w:val="0018016C"/>
    <w:rsid w:val="001804F1"/>
    <w:rsid w:val="001809D8"/>
    <w:rsid w:val="00180E60"/>
    <w:rsid w:val="001817BA"/>
    <w:rsid w:val="00181B3A"/>
    <w:rsid w:val="00181FD4"/>
    <w:rsid w:val="001820B2"/>
    <w:rsid w:val="001821E9"/>
    <w:rsid w:val="001825DC"/>
    <w:rsid w:val="00182608"/>
    <w:rsid w:val="001828CC"/>
    <w:rsid w:val="00182A82"/>
    <w:rsid w:val="00182E75"/>
    <w:rsid w:val="00182E85"/>
    <w:rsid w:val="001830CF"/>
    <w:rsid w:val="0018322F"/>
    <w:rsid w:val="001836DF"/>
    <w:rsid w:val="00183CC6"/>
    <w:rsid w:val="00183D8A"/>
    <w:rsid w:val="00183E8B"/>
    <w:rsid w:val="00183F11"/>
    <w:rsid w:val="001840F5"/>
    <w:rsid w:val="00184BE0"/>
    <w:rsid w:val="00184DAB"/>
    <w:rsid w:val="00184F51"/>
    <w:rsid w:val="00185257"/>
    <w:rsid w:val="00185CD4"/>
    <w:rsid w:val="00185E59"/>
    <w:rsid w:val="00185E97"/>
    <w:rsid w:val="00185F10"/>
    <w:rsid w:val="00186395"/>
    <w:rsid w:val="00186658"/>
    <w:rsid w:val="0018691B"/>
    <w:rsid w:val="00186B4D"/>
    <w:rsid w:val="0018767B"/>
    <w:rsid w:val="00187877"/>
    <w:rsid w:val="00187CBC"/>
    <w:rsid w:val="00190187"/>
    <w:rsid w:val="00190307"/>
    <w:rsid w:val="00190731"/>
    <w:rsid w:val="00190927"/>
    <w:rsid w:val="00190AFC"/>
    <w:rsid w:val="00190BD5"/>
    <w:rsid w:val="001912D1"/>
    <w:rsid w:val="00191727"/>
    <w:rsid w:val="00191830"/>
    <w:rsid w:val="00191A2B"/>
    <w:rsid w:val="00191DA4"/>
    <w:rsid w:val="00191EBF"/>
    <w:rsid w:val="001925E5"/>
    <w:rsid w:val="00192D98"/>
    <w:rsid w:val="00193944"/>
    <w:rsid w:val="00193987"/>
    <w:rsid w:val="00194465"/>
    <w:rsid w:val="00194A69"/>
    <w:rsid w:val="00194FBD"/>
    <w:rsid w:val="0019573B"/>
    <w:rsid w:val="0019592C"/>
    <w:rsid w:val="00195B9A"/>
    <w:rsid w:val="00196085"/>
    <w:rsid w:val="00196A48"/>
    <w:rsid w:val="00196B90"/>
    <w:rsid w:val="00196FF4"/>
    <w:rsid w:val="0019734F"/>
    <w:rsid w:val="001975D9"/>
    <w:rsid w:val="00197A1F"/>
    <w:rsid w:val="00197BA6"/>
    <w:rsid w:val="001A0303"/>
    <w:rsid w:val="001A032E"/>
    <w:rsid w:val="001A0421"/>
    <w:rsid w:val="001A066D"/>
    <w:rsid w:val="001A067A"/>
    <w:rsid w:val="001A0727"/>
    <w:rsid w:val="001A0A44"/>
    <w:rsid w:val="001A10FA"/>
    <w:rsid w:val="001A11B9"/>
    <w:rsid w:val="001A1B6A"/>
    <w:rsid w:val="001A258A"/>
    <w:rsid w:val="001A2939"/>
    <w:rsid w:val="001A2E33"/>
    <w:rsid w:val="001A2FD5"/>
    <w:rsid w:val="001A3037"/>
    <w:rsid w:val="001A30B0"/>
    <w:rsid w:val="001A30FB"/>
    <w:rsid w:val="001A35B2"/>
    <w:rsid w:val="001A36CF"/>
    <w:rsid w:val="001A3883"/>
    <w:rsid w:val="001A3974"/>
    <w:rsid w:val="001A3D5B"/>
    <w:rsid w:val="001A3F0F"/>
    <w:rsid w:val="001A3FA5"/>
    <w:rsid w:val="001A448D"/>
    <w:rsid w:val="001A48A1"/>
    <w:rsid w:val="001A4904"/>
    <w:rsid w:val="001A4926"/>
    <w:rsid w:val="001A4EDF"/>
    <w:rsid w:val="001A5174"/>
    <w:rsid w:val="001A61A0"/>
    <w:rsid w:val="001A628F"/>
    <w:rsid w:val="001A6756"/>
    <w:rsid w:val="001A690D"/>
    <w:rsid w:val="001A6AFE"/>
    <w:rsid w:val="001A6B75"/>
    <w:rsid w:val="001A6ECF"/>
    <w:rsid w:val="001A6F38"/>
    <w:rsid w:val="001A706D"/>
    <w:rsid w:val="001A71EB"/>
    <w:rsid w:val="001A72EE"/>
    <w:rsid w:val="001A7751"/>
    <w:rsid w:val="001A7912"/>
    <w:rsid w:val="001A7924"/>
    <w:rsid w:val="001A7BF4"/>
    <w:rsid w:val="001A7C23"/>
    <w:rsid w:val="001A7CBD"/>
    <w:rsid w:val="001B00B2"/>
    <w:rsid w:val="001B0149"/>
    <w:rsid w:val="001B0163"/>
    <w:rsid w:val="001B0180"/>
    <w:rsid w:val="001B0251"/>
    <w:rsid w:val="001B06D9"/>
    <w:rsid w:val="001B0916"/>
    <w:rsid w:val="001B0F1F"/>
    <w:rsid w:val="001B140E"/>
    <w:rsid w:val="001B1522"/>
    <w:rsid w:val="001B1565"/>
    <w:rsid w:val="001B1F17"/>
    <w:rsid w:val="001B1F29"/>
    <w:rsid w:val="001B2055"/>
    <w:rsid w:val="001B2085"/>
    <w:rsid w:val="001B208E"/>
    <w:rsid w:val="001B26EE"/>
    <w:rsid w:val="001B2993"/>
    <w:rsid w:val="001B337E"/>
    <w:rsid w:val="001B345B"/>
    <w:rsid w:val="001B3754"/>
    <w:rsid w:val="001B3FD9"/>
    <w:rsid w:val="001B4645"/>
    <w:rsid w:val="001B46A1"/>
    <w:rsid w:val="001B4B37"/>
    <w:rsid w:val="001B5021"/>
    <w:rsid w:val="001B51F0"/>
    <w:rsid w:val="001B5250"/>
    <w:rsid w:val="001B5332"/>
    <w:rsid w:val="001B53B3"/>
    <w:rsid w:val="001B54E9"/>
    <w:rsid w:val="001B5F67"/>
    <w:rsid w:val="001B62E0"/>
    <w:rsid w:val="001B6488"/>
    <w:rsid w:val="001B6619"/>
    <w:rsid w:val="001B6C77"/>
    <w:rsid w:val="001B70CF"/>
    <w:rsid w:val="001B716B"/>
    <w:rsid w:val="001B748B"/>
    <w:rsid w:val="001B7CAB"/>
    <w:rsid w:val="001C002C"/>
    <w:rsid w:val="001C0085"/>
    <w:rsid w:val="001C030C"/>
    <w:rsid w:val="001C04E1"/>
    <w:rsid w:val="001C063F"/>
    <w:rsid w:val="001C0883"/>
    <w:rsid w:val="001C146C"/>
    <w:rsid w:val="001C14E8"/>
    <w:rsid w:val="001C16A9"/>
    <w:rsid w:val="001C1982"/>
    <w:rsid w:val="001C1E53"/>
    <w:rsid w:val="001C211D"/>
    <w:rsid w:val="001C222D"/>
    <w:rsid w:val="001C2706"/>
    <w:rsid w:val="001C2E60"/>
    <w:rsid w:val="001C3474"/>
    <w:rsid w:val="001C3DC6"/>
    <w:rsid w:val="001C3EAD"/>
    <w:rsid w:val="001C3EAE"/>
    <w:rsid w:val="001C459F"/>
    <w:rsid w:val="001C4F5F"/>
    <w:rsid w:val="001C518A"/>
    <w:rsid w:val="001C5594"/>
    <w:rsid w:val="001C589B"/>
    <w:rsid w:val="001C58A6"/>
    <w:rsid w:val="001C5B75"/>
    <w:rsid w:val="001C5F88"/>
    <w:rsid w:val="001C619C"/>
    <w:rsid w:val="001C6659"/>
    <w:rsid w:val="001C6AA5"/>
    <w:rsid w:val="001C70EF"/>
    <w:rsid w:val="001C7185"/>
    <w:rsid w:val="001C73CA"/>
    <w:rsid w:val="001C7AB6"/>
    <w:rsid w:val="001C7F47"/>
    <w:rsid w:val="001D006C"/>
    <w:rsid w:val="001D0578"/>
    <w:rsid w:val="001D0593"/>
    <w:rsid w:val="001D1258"/>
    <w:rsid w:val="001D13B0"/>
    <w:rsid w:val="001D15D4"/>
    <w:rsid w:val="001D19F8"/>
    <w:rsid w:val="001D1CFF"/>
    <w:rsid w:val="001D2B3C"/>
    <w:rsid w:val="001D2BB2"/>
    <w:rsid w:val="001D2E6C"/>
    <w:rsid w:val="001D2ECD"/>
    <w:rsid w:val="001D329E"/>
    <w:rsid w:val="001D32E8"/>
    <w:rsid w:val="001D34EC"/>
    <w:rsid w:val="001D37AD"/>
    <w:rsid w:val="001D37C0"/>
    <w:rsid w:val="001D39C1"/>
    <w:rsid w:val="001D3C68"/>
    <w:rsid w:val="001D3E9B"/>
    <w:rsid w:val="001D4043"/>
    <w:rsid w:val="001D4315"/>
    <w:rsid w:val="001D43C0"/>
    <w:rsid w:val="001D452A"/>
    <w:rsid w:val="001D4969"/>
    <w:rsid w:val="001D4AF0"/>
    <w:rsid w:val="001D4E75"/>
    <w:rsid w:val="001D4F24"/>
    <w:rsid w:val="001D506F"/>
    <w:rsid w:val="001D562F"/>
    <w:rsid w:val="001D57BC"/>
    <w:rsid w:val="001D5990"/>
    <w:rsid w:val="001D5E31"/>
    <w:rsid w:val="001D6433"/>
    <w:rsid w:val="001D6E61"/>
    <w:rsid w:val="001D6F30"/>
    <w:rsid w:val="001D7260"/>
    <w:rsid w:val="001D7816"/>
    <w:rsid w:val="001D7B96"/>
    <w:rsid w:val="001D7EFB"/>
    <w:rsid w:val="001D7FE2"/>
    <w:rsid w:val="001E09F4"/>
    <w:rsid w:val="001E0A73"/>
    <w:rsid w:val="001E111F"/>
    <w:rsid w:val="001E1284"/>
    <w:rsid w:val="001E13E0"/>
    <w:rsid w:val="001E14AB"/>
    <w:rsid w:val="001E1524"/>
    <w:rsid w:val="001E17A3"/>
    <w:rsid w:val="001E197E"/>
    <w:rsid w:val="001E1D3C"/>
    <w:rsid w:val="001E1D61"/>
    <w:rsid w:val="001E1D71"/>
    <w:rsid w:val="001E1FD2"/>
    <w:rsid w:val="001E220A"/>
    <w:rsid w:val="001E251E"/>
    <w:rsid w:val="001E266E"/>
    <w:rsid w:val="001E2EEF"/>
    <w:rsid w:val="001E3188"/>
    <w:rsid w:val="001E31D1"/>
    <w:rsid w:val="001E32BE"/>
    <w:rsid w:val="001E356E"/>
    <w:rsid w:val="001E36FC"/>
    <w:rsid w:val="001E3A45"/>
    <w:rsid w:val="001E3D0D"/>
    <w:rsid w:val="001E420B"/>
    <w:rsid w:val="001E4583"/>
    <w:rsid w:val="001E4704"/>
    <w:rsid w:val="001E4841"/>
    <w:rsid w:val="001E50CB"/>
    <w:rsid w:val="001E534E"/>
    <w:rsid w:val="001E5475"/>
    <w:rsid w:val="001E5BB2"/>
    <w:rsid w:val="001E5D1F"/>
    <w:rsid w:val="001E6419"/>
    <w:rsid w:val="001E6446"/>
    <w:rsid w:val="001E684F"/>
    <w:rsid w:val="001E69AD"/>
    <w:rsid w:val="001E6A26"/>
    <w:rsid w:val="001E6C1B"/>
    <w:rsid w:val="001E6DE6"/>
    <w:rsid w:val="001E6F14"/>
    <w:rsid w:val="001E6FB8"/>
    <w:rsid w:val="001E719A"/>
    <w:rsid w:val="001E750C"/>
    <w:rsid w:val="001E7632"/>
    <w:rsid w:val="001E7922"/>
    <w:rsid w:val="001E7AFE"/>
    <w:rsid w:val="001F0546"/>
    <w:rsid w:val="001F0D94"/>
    <w:rsid w:val="001F0DDF"/>
    <w:rsid w:val="001F134F"/>
    <w:rsid w:val="001F1526"/>
    <w:rsid w:val="001F1588"/>
    <w:rsid w:val="001F16FD"/>
    <w:rsid w:val="001F1B1E"/>
    <w:rsid w:val="001F1DFA"/>
    <w:rsid w:val="001F1E18"/>
    <w:rsid w:val="001F22A9"/>
    <w:rsid w:val="001F2536"/>
    <w:rsid w:val="001F26BB"/>
    <w:rsid w:val="001F26E9"/>
    <w:rsid w:val="001F2724"/>
    <w:rsid w:val="001F2E08"/>
    <w:rsid w:val="001F330A"/>
    <w:rsid w:val="001F37ED"/>
    <w:rsid w:val="001F3935"/>
    <w:rsid w:val="001F39AB"/>
    <w:rsid w:val="001F45E8"/>
    <w:rsid w:val="001F4AE1"/>
    <w:rsid w:val="001F4CB5"/>
    <w:rsid w:val="001F4E57"/>
    <w:rsid w:val="001F53A2"/>
    <w:rsid w:val="001F5AF6"/>
    <w:rsid w:val="001F5C95"/>
    <w:rsid w:val="001F5C9E"/>
    <w:rsid w:val="001F5D0D"/>
    <w:rsid w:val="001F5E73"/>
    <w:rsid w:val="001F5ED8"/>
    <w:rsid w:val="001F5F10"/>
    <w:rsid w:val="001F6192"/>
    <w:rsid w:val="001F623C"/>
    <w:rsid w:val="001F63F5"/>
    <w:rsid w:val="001F6408"/>
    <w:rsid w:val="001F644E"/>
    <w:rsid w:val="001F697C"/>
    <w:rsid w:val="001F6E45"/>
    <w:rsid w:val="001F7259"/>
    <w:rsid w:val="001F7317"/>
    <w:rsid w:val="001F76DF"/>
    <w:rsid w:val="001F798D"/>
    <w:rsid w:val="001F7DD6"/>
    <w:rsid w:val="001F7FCF"/>
    <w:rsid w:val="0020001D"/>
    <w:rsid w:val="002000F2"/>
    <w:rsid w:val="002000FC"/>
    <w:rsid w:val="0020020C"/>
    <w:rsid w:val="00200A92"/>
    <w:rsid w:val="00200BF9"/>
    <w:rsid w:val="002018D7"/>
    <w:rsid w:val="00201C7E"/>
    <w:rsid w:val="00201D85"/>
    <w:rsid w:val="00201DBE"/>
    <w:rsid w:val="0020213E"/>
    <w:rsid w:val="00202201"/>
    <w:rsid w:val="002029C7"/>
    <w:rsid w:val="00202B8E"/>
    <w:rsid w:val="00202D2E"/>
    <w:rsid w:val="00203159"/>
    <w:rsid w:val="0020355D"/>
    <w:rsid w:val="0020361A"/>
    <w:rsid w:val="00203A6E"/>
    <w:rsid w:val="00203F00"/>
    <w:rsid w:val="00203F5C"/>
    <w:rsid w:val="002047DE"/>
    <w:rsid w:val="00204A5A"/>
    <w:rsid w:val="00204C12"/>
    <w:rsid w:val="00204E54"/>
    <w:rsid w:val="00205218"/>
    <w:rsid w:val="00205635"/>
    <w:rsid w:val="002058DC"/>
    <w:rsid w:val="00205AB2"/>
    <w:rsid w:val="00205CB2"/>
    <w:rsid w:val="00205EAF"/>
    <w:rsid w:val="00205FB9"/>
    <w:rsid w:val="0020610B"/>
    <w:rsid w:val="00206133"/>
    <w:rsid w:val="002063A7"/>
    <w:rsid w:val="00206718"/>
    <w:rsid w:val="0020674D"/>
    <w:rsid w:val="00206799"/>
    <w:rsid w:val="00206E5A"/>
    <w:rsid w:val="002070E3"/>
    <w:rsid w:val="00207603"/>
    <w:rsid w:val="00207613"/>
    <w:rsid w:val="00207847"/>
    <w:rsid w:val="002078E5"/>
    <w:rsid w:val="0020799F"/>
    <w:rsid w:val="00207AF9"/>
    <w:rsid w:val="00207BB9"/>
    <w:rsid w:val="00207E36"/>
    <w:rsid w:val="00207EB6"/>
    <w:rsid w:val="00210018"/>
    <w:rsid w:val="00210174"/>
    <w:rsid w:val="002103CB"/>
    <w:rsid w:val="0021084D"/>
    <w:rsid w:val="002109D5"/>
    <w:rsid w:val="00210A2E"/>
    <w:rsid w:val="00210C84"/>
    <w:rsid w:val="00210C91"/>
    <w:rsid w:val="00210F42"/>
    <w:rsid w:val="00211042"/>
    <w:rsid w:val="00211345"/>
    <w:rsid w:val="00211390"/>
    <w:rsid w:val="002114FA"/>
    <w:rsid w:val="002116F5"/>
    <w:rsid w:val="00211940"/>
    <w:rsid w:val="00211C49"/>
    <w:rsid w:val="00211D31"/>
    <w:rsid w:val="00211DD9"/>
    <w:rsid w:val="002120C7"/>
    <w:rsid w:val="002125B4"/>
    <w:rsid w:val="00212816"/>
    <w:rsid w:val="00212D30"/>
    <w:rsid w:val="002130BD"/>
    <w:rsid w:val="0021356F"/>
    <w:rsid w:val="00213851"/>
    <w:rsid w:val="00213F38"/>
    <w:rsid w:val="002140D1"/>
    <w:rsid w:val="002145A2"/>
    <w:rsid w:val="00214C1B"/>
    <w:rsid w:val="00214E0D"/>
    <w:rsid w:val="0021586D"/>
    <w:rsid w:val="0021619F"/>
    <w:rsid w:val="002162EA"/>
    <w:rsid w:val="002165F9"/>
    <w:rsid w:val="00216685"/>
    <w:rsid w:val="00216B17"/>
    <w:rsid w:val="00216BBF"/>
    <w:rsid w:val="00217135"/>
    <w:rsid w:val="0021737B"/>
    <w:rsid w:val="002177AC"/>
    <w:rsid w:val="002178BA"/>
    <w:rsid w:val="0021795F"/>
    <w:rsid w:val="00217A8F"/>
    <w:rsid w:val="00217AC2"/>
    <w:rsid w:val="00217CE8"/>
    <w:rsid w:val="00217F1F"/>
    <w:rsid w:val="002202EC"/>
    <w:rsid w:val="002204ED"/>
    <w:rsid w:val="00220AA0"/>
    <w:rsid w:val="00220E92"/>
    <w:rsid w:val="002211DD"/>
    <w:rsid w:val="0022135D"/>
    <w:rsid w:val="002213AF"/>
    <w:rsid w:val="002222A4"/>
    <w:rsid w:val="0022230B"/>
    <w:rsid w:val="0022337A"/>
    <w:rsid w:val="00223833"/>
    <w:rsid w:val="00223ABE"/>
    <w:rsid w:val="00223ACD"/>
    <w:rsid w:val="00223ADC"/>
    <w:rsid w:val="00223AFF"/>
    <w:rsid w:val="00223F34"/>
    <w:rsid w:val="002241C9"/>
    <w:rsid w:val="00224A9B"/>
    <w:rsid w:val="00224C25"/>
    <w:rsid w:val="00224FF9"/>
    <w:rsid w:val="00225398"/>
    <w:rsid w:val="00225FAF"/>
    <w:rsid w:val="0022657F"/>
    <w:rsid w:val="00226608"/>
    <w:rsid w:val="002269A7"/>
    <w:rsid w:val="00226BD3"/>
    <w:rsid w:val="00226F21"/>
    <w:rsid w:val="0022735A"/>
    <w:rsid w:val="002275A8"/>
    <w:rsid w:val="002276C8"/>
    <w:rsid w:val="00227873"/>
    <w:rsid w:val="002279D2"/>
    <w:rsid w:val="00227A3E"/>
    <w:rsid w:val="00227F9E"/>
    <w:rsid w:val="00230040"/>
    <w:rsid w:val="002300E1"/>
    <w:rsid w:val="002305EF"/>
    <w:rsid w:val="00230944"/>
    <w:rsid w:val="00230AD3"/>
    <w:rsid w:val="00230B02"/>
    <w:rsid w:val="00230BB1"/>
    <w:rsid w:val="0023101D"/>
    <w:rsid w:val="00231234"/>
    <w:rsid w:val="002314EE"/>
    <w:rsid w:val="00231692"/>
    <w:rsid w:val="00231740"/>
    <w:rsid w:val="00231929"/>
    <w:rsid w:val="00231C09"/>
    <w:rsid w:val="00231D67"/>
    <w:rsid w:val="00231EDC"/>
    <w:rsid w:val="00232191"/>
    <w:rsid w:val="002323FC"/>
    <w:rsid w:val="00232471"/>
    <w:rsid w:val="00232E9D"/>
    <w:rsid w:val="00232ED9"/>
    <w:rsid w:val="002336F1"/>
    <w:rsid w:val="0023386C"/>
    <w:rsid w:val="00233B04"/>
    <w:rsid w:val="00233BB1"/>
    <w:rsid w:val="002344C8"/>
    <w:rsid w:val="002349C5"/>
    <w:rsid w:val="00235581"/>
    <w:rsid w:val="00235698"/>
    <w:rsid w:val="00235724"/>
    <w:rsid w:val="0023598D"/>
    <w:rsid w:val="002361D3"/>
    <w:rsid w:val="00236786"/>
    <w:rsid w:val="00236EB2"/>
    <w:rsid w:val="00236F55"/>
    <w:rsid w:val="00236F71"/>
    <w:rsid w:val="00237189"/>
    <w:rsid w:val="0023729A"/>
    <w:rsid w:val="002373FC"/>
    <w:rsid w:val="0023768D"/>
    <w:rsid w:val="0023776F"/>
    <w:rsid w:val="0023798F"/>
    <w:rsid w:val="00237C6F"/>
    <w:rsid w:val="00237D22"/>
    <w:rsid w:val="00240B7D"/>
    <w:rsid w:val="00240F76"/>
    <w:rsid w:val="0024103F"/>
    <w:rsid w:val="00241C7B"/>
    <w:rsid w:val="00241DFA"/>
    <w:rsid w:val="002421F2"/>
    <w:rsid w:val="0024224E"/>
    <w:rsid w:val="0024235B"/>
    <w:rsid w:val="002425D0"/>
    <w:rsid w:val="002425DE"/>
    <w:rsid w:val="00242B2A"/>
    <w:rsid w:val="00242CAE"/>
    <w:rsid w:val="002437F9"/>
    <w:rsid w:val="002438A8"/>
    <w:rsid w:val="0024395B"/>
    <w:rsid w:val="00243ACD"/>
    <w:rsid w:val="00243C68"/>
    <w:rsid w:val="00243DCC"/>
    <w:rsid w:val="002443C2"/>
    <w:rsid w:val="002444E3"/>
    <w:rsid w:val="00244606"/>
    <w:rsid w:val="00244924"/>
    <w:rsid w:val="00244B37"/>
    <w:rsid w:val="00245492"/>
    <w:rsid w:val="00245A41"/>
    <w:rsid w:val="00245B70"/>
    <w:rsid w:val="00245D7D"/>
    <w:rsid w:val="00245E39"/>
    <w:rsid w:val="00245F88"/>
    <w:rsid w:val="00245FBA"/>
    <w:rsid w:val="00246C52"/>
    <w:rsid w:val="00246EB6"/>
    <w:rsid w:val="00246F3C"/>
    <w:rsid w:val="00246F99"/>
    <w:rsid w:val="002471AB"/>
    <w:rsid w:val="002472FF"/>
    <w:rsid w:val="00247857"/>
    <w:rsid w:val="0024785A"/>
    <w:rsid w:val="00247B6E"/>
    <w:rsid w:val="00247BB5"/>
    <w:rsid w:val="00247C82"/>
    <w:rsid w:val="00247D8E"/>
    <w:rsid w:val="00247DC3"/>
    <w:rsid w:val="00247DD1"/>
    <w:rsid w:val="002500C3"/>
    <w:rsid w:val="00250244"/>
    <w:rsid w:val="00250D9C"/>
    <w:rsid w:val="00250F6D"/>
    <w:rsid w:val="00251117"/>
    <w:rsid w:val="0025111B"/>
    <w:rsid w:val="002512A9"/>
    <w:rsid w:val="0025169E"/>
    <w:rsid w:val="00251929"/>
    <w:rsid w:val="00251F5E"/>
    <w:rsid w:val="00252052"/>
    <w:rsid w:val="002521A2"/>
    <w:rsid w:val="002521CC"/>
    <w:rsid w:val="002522FF"/>
    <w:rsid w:val="0025245E"/>
    <w:rsid w:val="002525BE"/>
    <w:rsid w:val="002530CC"/>
    <w:rsid w:val="002530D6"/>
    <w:rsid w:val="002530D9"/>
    <w:rsid w:val="0025325D"/>
    <w:rsid w:val="002533FF"/>
    <w:rsid w:val="00253400"/>
    <w:rsid w:val="002537F5"/>
    <w:rsid w:val="00253A89"/>
    <w:rsid w:val="00253D64"/>
    <w:rsid w:val="00254517"/>
    <w:rsid w:val="00254616"/>
    <w:rsid w:val="00254BF6"/>
    <w:rsid w:val="00254CC7"/>
    <w:rsid w:val="00255315"/>
    <w:rsid w:val="0025587F"/>
    <w:rsid w:val="00255C71"/>
    <w:rsid w:val="00256363"/>
    <w:rsid w:val="0025648C"/>
    <w:rsid w:val="00256F02"/>
    <w:rsid w:val="002571C8"/>
    <w:rsid w:val="002571D0"/>
    <w:rsid w:val="002572F1"/>
    <w:rsid w:val="00257500"/>
    <w:rsid w:val="00257578"/>
    <w:rsid w:val="00257A62"/>
    <w:rsid w:val="00260156"/>
    <w:rsid w:val="0026075E"/>
    <w:rsid w:val="00260FAD"/>
    <w:rsid w:val="002612A1"/>
    <w:rsid w:val="002613D2"/>
    <w:rsid w:val="0026179E"/>
    <w:rsid w:val="00261D05"/>
    <w:rsid w:val="00261FF8"/>
    <w:rsid w:val="002623AC"/>
    <w:rsid w:val="00262793"/>
    <w:rsid w:val="00262979"/>
    <w:rsid w:val="00262CEB"/>
    <w:rsid w:val="00262E69"/>
    <w:rsid w:val="00263038"/>
    <w:rsid w:val="00263538"/>
    <w:rsid w:val="00263B02"/>
    <w:rsid w:val="00263DD9"/>
    <w:rsid w:val="00263F00"/>
    <w:rsid w:val="00264110"/>
    <w:rsid w:val="002643C7"/>
    <w:rsid w:val="0026455A"/>
    <w:rsid w:val="0026468A"/>
    <w:rsid w:val="00264B64"/>
    <w:rsid w:val="00264C28"/>
    <w:rsid w:val="0026509A"/>
    <w:rsid w:val="002651FC"/>
    <w:rsid w:val="0026554D"/>
    <w:rsid w:val="00265701"/>
    <w:rsid w:val="00265C17"/>
    <w:rsid w:val="00265E9A"/>
    <w:rsid w:val="00266210"/>
    <w:rsid w:val="00266345"/>
    <w:rsid w:val="002663D6"/>
    <w:rsid w:val="002664D0"/>
    <w:rsid w:val="00266A94"/>
    <w:rsid w:val="0026716C"/>
    <w:rsid w:val="0026772E"/>
    <w:rsid w:val="00267825"/>
    <w:rsid w:val="00267A30"/>
    <w:rsid w:val="00267CFE"/>
    <w:rsid w:val="00267EF5"/>
    <w:rsid w:val="00267F60"/>
    <w:rsid w:val="00270621"/>
    <w:rsid w:val="00270C63"/>
    <w:rsid w:val="00270C98"/>
    <w:rsid w:val="00270E57"/>
    <w:rsid w:val="00270F4A"/>
    <w:rsid w:val="00271736"/>
    <w:rsid w:val="00271738"/>
    <w:rsid w:val="0027193C"/>
    <w:rsid w:val="00271B1E"/>
    <w:rsid w:val="00271EEF"/>
    <w:rsid w:val="0027242C"/>
    <w:rsid w:val="00272474"/>
    <w:rsid w:val="002726EE"/>
    <w:rsid w:val="00272C29"/>
    <w:rsid w:val="00272D06"/>
    <w:rsid w:val="00272FEB"/>
    <w:rsid w:val="0027309D"/>
    <w:rsid w:val="0027318B"/>
    <w:rsid w:val="0027320A"/>
    <w:rsid w:val="002732F9"/>
    <w:rsid w:val="00273388"/>
    <w:rsid w:val="002738C9"/>
    <w:rsid w:val="00273B2D"/>
    <w:rsid w:val="00273CC9"/>
    <w:rsid w:val="00273CFB"/>
    <w:rsid w:val="00274125"/>
    <w:rsid w:val="0027467D"/>
    <w:rsid w:val="00274BED"/>
    <w:rsid w:val="00274D08"/>
    <w:rsid w:val="00275435"/>
    <w:rsid w:val="00275464"/>
    <w:rsid w:val="0027568B"/>
    <w:rsid w:val="002756D5"/>
    <w:rsid w:val="00275AD8"/>
    <w:rsid w:val="00275CD2"/>
    <w:rsid w:val="00276001"/>
    <w:rsid w:val="002761BF"/>
    <w:rsid w:val="002764FB"/>
    <w:rsid w:val="002767B4"/>
    <w:rsid w:val="00276CDE"/>
    <w:rsid w:val="0027720E"/>
    <w:rsid w:val="0027779A"/>
    <w:rsid w:val="0027799A"/>
    <w:rsid w:val="00277D7D"/>
    <w:rsid w:val="00277E66"/>
    <w:rsid w:val="002801E2"/>
    <w:rsid w:val="0028052D"/>
    <w:rsid w:val="00280684"/>
    <w:rsid w:val="0028073A"/>
    <w:rsid w:val="00280851"/>
    <w:rsid w:val="00280960"/>
    <w:rsid w:val="00280ACC"/>
    <w:rsid w:val="002817B4"/>
    <w:rsid w:val="002825CE"/>
    <w:rsid w:val="002826D0"/>
    <w:rsid w:val="002829D3"/>
    <w:rsid w:val="002829E8"/>
    <w:rsid w:val="00283181"/>
    <w:rsid w:val="002835A5"/>
    <w:rsid w:val="002836DC"/>
    <w:rsid w:val="00283B90"/>
    <w:rsid w:val="00283CC3"/>
    <w:rsid w:val="00283D6B"/>
    <w:rsid w:val="00284428"/>
    <w:rsid w:val="00284E7F"/>
    <w:rsid w:val="0028527A"/>
    <w:rsid w:val="00285520"/>
    <w:rsid w:val="00285894"/>
    <w:rsid w:val="00285D1C"/>
    <w:rsid w:val="00285E28"/>
    <w:rsid w:val="00285F3C"/>
    <w:rsid w:val="00286112"/>
    <w:rsid w:val="002863BA"/>
    <w:rsid w:val="00286487"/>
    <w:rsid w:val="00286631"/>
    <w:rsid w:val="00286B14"/>
    <w:rsid w:val="00286F76"/>
    <w:rsid w:val="00287376"/>
    <w:rsid w:val="002877DE"/>
    <w:rsid w:val="00287AE3"/>
    <w:rsid w:val="00287C28"/>
    <w:rsid w:val="00290254"/>
    <w:rsid w:val="002907DA"/>
    <w:rsid w:val="0029178F"/>
    <w:rsid w:val="00291B01"/>
    <w:rsid w:val="00292B70"/>
    <w:rsid w:val="00292CBD"/>
    <w:rsid w:val="00293504"/>
    <w:rsid w:val="00293559"/>
    <w:rsid w:val="00293A4A"/>
    <w:rsid w:val="002943A4"/>
    <w:rsid w:val="002944CA"/>
    <w:rsid w:val="00294654"/>
    <w:rsid w:val="0029466E"/>
    <w:rsid w:val="00294722"/>
    <w:rsid w:val="0029491A"/>
    <w:rsid w:val="00294AB1"/>
    <w:rsid w:val="00294FB4"/>
    <w:rsid w:val="0029512F"/>
    <w:rsid w:val="00295226"/>
    <w:rsid w:val="0029548C"/>
    <w:rsid w:val="00295539"/>
    <w:rsid w:val="0029556D"/>
    <w:rsid w:val="002958DF"/>
    <w:rsid w:val="00295F1C"/>
    <w:rsid w:val="0029636B"/>
    <w:rsid w:val="002963EC"/>
    <w:rsid w:val="002965C5"/>
    <w:rsid w:val="00296FD8"/>
    <w:rsid w:val="002971CA"/>
    <w:rsid w:val="002972ED"/>
    <w:rsid w:val="0029743A"/>
    <w:rsid w:val="00297499"/>
    <w:rsid w:val="002974AA"/>
    <w:rsid w:val="002976A3"/>
    <w:rsid w:val="002979BC"/>
    <w:rsid w:val="00297F46"/>
    <w:rsid w:val="002A0050"/>
    <w:rsid w:val="002A0581"/>
    <w:rsid w:val="002A05EF"/>
    <w:rsid w:val="002A0724"/>
    <w:rsid w:val="002A0A16"/>
    <w:rsid w:val="002A161F"/>
    <w:rsid w:val="002A1737"/>
    <w:rsid w:val="002A1A57"/>
    <w:rsid w:val="002A1C6E"/>
    <w:rsid w:val="002A1DA1"/>
    <w:rsid w:val="002A205B"/>
    <w:rsid w:val="002A223F"/>
    <w:rsid w:val="002A22F3"/>
    <w:rsid w:val="002A24F5"/>
    <w:rsid w:val="002A2B35"/>
    <w:rsid w:val="002A2FE5"/>
    <w:rsid w:val="002A30CB"/>
    <w:rsid w:val="002A31FF"/>
    <w:rsid w:val="002A3668"/>
    <w:rsid w:val="002A3771"/>
    <w:rsid w:val="002A3B12"/>
    <w:rsid w:val="002A3CF2"/>
    <w:rsid w:val="002A4102"/>
    <w:rsid w:val="002A4918"/>
    <w:rsid w:val="002A4E20"/>
    <w:rsid w:val="002A4EFE"/>
    <w:rsid w:val="002A523D"/>
    <w:rsid w:val="002A5488"/>
    <w:rsid w:val="002A570C"/>
    <w:rsid w:val="002A5912"/>
    <w:rsid w:val="002A5F1E"/>
    <w:rsid w:val="002A5FC1"/>
    <w:rsid w:val="002A60B6"/>
    <w:rsid w:val="002A6377"/>
    <w:rsid w:val="002A649B"/>
    <w:rsid w:val="002A68D9"/>
    <w:rsid w:val="002A732C"/>
    <w:rsid w:val="002A7635"/>
    <w:rsid w:val="002A7A6A"/>
    <w:rsid w:val="002A7AB4"/>
    <w:rsid w:val="002A7B72"/>
    <w:rsid w:val="002A7E8B"/>
    <w:rsid w:val="002B05B2"/>
    <w:rsid w:val="002B0740"/>
    <w:rsid w:val="002B07BF"/>
    <w:rsid w:val="002B0805"/>
    <w:rsid w:val="002B0C99"/>
    <w:rsid w:val="002B0EDA"/>
    <w:rsid w:val="002B10F9"/>
    <w:rsid w:val="002B112E"/>
    <w:rsid w:val="002B151A"/>
    <w:rsid w:val="002B159E"/>
    <w:rsid w:val="002B21D6"/>
    <w:rsid w:val="002B264B"/>
    <w:rsid w:val="002B27CA"/>
    <w:rsid w:val="002B2C92"/>
    <w:rsid w:val="002B2F85"/>
    <w:rsid w:val="002B3081"/>
    <w:rsid w:val="002B3177"/>
    <w:rsid w:val="002B318B"/>
    <w:rsid w:val="002B31B6"/>
    <w:rsid w:val="002B32BC"/>
    <w:rsid w:val="002B340B"/>
    <w:rsid w:val="002B34AE"/>
    <w:rsid w:val="002B3616"/>
    <w:rsid w:val="002B3D90"/>
    <w:rsid w:val="002B3F04"/>
    <w:rsid w:val="002B44E1"/>
    <w:rsid w:val="002B47C0"/>
    <w:rsid w:val="002B4982"/>
    <w:rsid w:val="002B4C39"/>
    <w:rsid w:val="002B4F00"/>
    <w:rsid w:val="002B5193"/>
    <w:rsid w:val="002B5370"/>
    <w:rsid w:val="002B5499"/>
    <w:rsid w:val="002B5976"/>
    <w:rsid w:val="002B6397"/>
    <w:rsid w:val="002B64FE"/>
    <w:rsid w:val="002B651D"/>
    <w:rsid w:val="002B6890"/>
    <w:rsid w:val="002B694E"/>
    <w:rsid w:val="002B6F2F"/>
    <w:rsid w:val="002B71EC"/>
    <w:rsid w:val="002B76FF"/>
    <w:rsid w:val="002C0100"/>
    <w:rsid w:val="002C020D"/>
    <w:rsid w:val="002C04C2"/>
    <w:rsid w:val="002C07F7"/>
    <w:rsid w:val="002C0818"/>
    <w:rsid w:val="002C0DD0"/>
    <w:rsid w:val="002C0E0A"/>
    <w:rsid w:val="002C175A"/>
    <w:rsid w:val="002C1C49"/>
    <w:rsid w:val="002C1C4F"/>
    <w:rsid w:val="002C1DF1"/>
    <w:rsid w:val="002C1EFC"/>
    <w:rsid w:val="002C203A"/>
    <w:rsid w:val="002C273B"/>
    <w:rsid w:val="002C27F3"/>
    <w:rsid w:val="002C2B30"/>
    <w:rsid w:val="002C2E8A"/>
    <w:rsid w:val="002C2FCD"/>
    <w:rsid w:val="002C3216"/>
    <w:rsid w:val="002C36D3"/>
    <w:rsid w:val="002C383E"/>
    <w:rsid w:val="002C3AE4"/>
    <w:rsid w:val="002C3B99"/>
    <w:rsid w:val="002C3C99"/>
    <w:rsid w:val="002C3E89"/>
    <w:rsid w:val="002C3FF2"/>
    <w:rsid w:val="002C4110"/>
    <w:rsid w:val="002C44BB"/>
    <w:rsid w:val="002C44DB"/>
    <w:rsid w:val="002C47BD"/>
    <w:rsid w:val="002C4FAC"/>
    <w:rsid w:val="002C51A0"/>
    <w:rsid w:val="002C5533"/>
    <w:rsid w:val="002C5620"/>
    <w:rsid w:val="002C5A6B"/>
    <w:rsid w:val="002C5AD6"/>
    <w:rsid w:val="002C5DAF"/>
    <w:rsid w:val="002C61E0"/>
    <w:rsid w:val="002C62B2"/>
    <w:rsid w:val="002C68E9"/>
    <w:rsid w:val="002C782F"/>
    <w:rsid w:val="002C7B03"/>
    <w:rsid w:val="002C7B0D"/>
    <w:rsid w:val="002C7D95"/>
    <w:rsid w:val="002D001E"/>
    <w:rsid w:val="002D0298"/>
    <w:rsid w:val="002D04DC"/>
    <w:rsid w:val="002D0657"/>
    <w:rsid w:val="002D066F"/>
    <w:rsid w:val="002D08B9"/>
    <w:rsid w:val="002D0987"/>
    <w:rsid w:val="002D099E"/>
    <w:rsid w:val="002D09B3"/>
    <w:rsid w:val="002D1371"/>
    <w:rsid w:val="002D13B7"/>
    <w:rsid w:val="002D15C0"/>
    <w:rsid w:val="002D165D"/>
    <w:rsid w:val="002D1DFE"/>
    <w:rsid w:val="002D2057"/>
    <w:rsid w:val="002D20F7"/>
    <w:rsid w:val="002D2528"/>
    <w:rsid w:val="002D2B4E"/>
    <w:rsid w:val="002D35C8"/>
    <w:rsid w:val="002D3968"/>
    <w:rsid w:val="002D425A"/>
    <w:rsid w:val="002D4322"/>
    <w:rsid w:val="002D4A54"/>
    <w:rsid w:val="002D4C64"/>
    <w:rsid w:val="002D4E37"/>
    <w:rsid w:val="002D5216"/>
    <w:rsid w:val="002D52E0"/>
    <w:rsid w:val="002D5DEA"/>
    <w:rsid w:val="002D60B9"/>
    <w:rsid w:val="002D6127"/>
    <w:rsid w:val="002D620D"/>
    <w:rsid w:val="002D63B8"/>
    <w:rsid w:val="002D68C3"/>
    <w:rsid w:val="002D6C69"/>
    <w:rsid w:val="002D745A"/>
    <w:rsid w:val="002D772F"/>
    <w:rsid w:val="002E018E"/>
    <w:rsid w:val="002E04F0"/>
    <w:rsid w:val="002E0864"/>
    <w:rsid w:val="002E0A48"/>
    <w:rsid w:val="002E0D02"/>
    <w:rsid w:val="002E0E94"/>
    <w:rsid w:val="002E169E"/>
    <w:rsid w:val="002E16BC"/>
    <w:rsid w:val="002E1941"/>
    <w:rsid w:val="002E1A90"/>
    <w:rsid w:val="002E21D5"/>
    <w:rsid w:val="002E251B"/>
    <w:rsid w:val="002E2923"/>
    <w:rsid w:val="002E2A53"/>
    <w:rsid w:val="002E2A76"/>
    <w:rsid w:val="002E2BB0"/>
    <w:rsid w:val="002E306D"/>
    <w:rsid w:val="002E3402"/>
    <w:rsid w:val="002E3624"/>
    <w:rsid w:val="002E3653"/>
    <w:rsid w:val="002E36AE"/>
    <w:rsid w:val="002E38B7"/>
    <w:rsid w:val="002E38D8"/>
    <w:rsid w:val="002E394B"/>
    <w:rsid w:val="002E3BE7"/>
    <w:rsid w:val="002E43BA"/>
    <w:rsid w:val="002E45D5"/>
    <w:rsid w:val="002E4DC0"/>
    <w:rsid w:val="002E5290"/>
    <w:rsid w:val="002E56B2"/>
    <w:rsid w:val="002E58E1"/>
    <w:rsid w:val="002E5BDD"/>
    <w:rsid w:val="002E5C56"/>
    <w:rsid w:val="002E65C8"/>
    <w:rsid w:val="002E679D"/>
    <w:rsid w:val="002E6994"/>
    <w:rsid w:val="002E7321"/>
    <w:rsid w:val="002E7840"/>
    <w:rsid w:val="002E7894"/>
    <w:rsid w:val="002E7FA9"/>
    <w:rsid w:val="002F0045"/>
    <w:rsid w:val="002F00F0"/>
    <w:rsid w:val="002F025B"/>
    <w:rsid w:val="002F03ED"/>
    <w:rsid w:val="002F0684"/>
    <w:rsid w:val="002F081E"/>
    <w:rsid w:val="002F09A5"/>
    <w:rsid w:val="002F0A0A"/>
    <w:rsid w:val="002F0ADB"/>
    <w:rsid w:val="002F0D65"/>
    <w:rsid w:val="002F1246"/>
    <w:rsid w:val="002F1B45"/>
    <w:rsid w:val="002F1B6E"/>
    <w:rsid w:val="002F2338"/>
    <w:rsid w:val="002F2AE0"/>
    <w:rsid w:val="002F2DC1"/>
    <w:rsid w:val="002F3325"/>
    <w:rsid w:val="002F35D0"/>
    <w:rsid w:val="002F363D"/>
    <w:rsid w:val="002F3F16"/>
    <w:rsid w:val="002F413F"/>
    <w:rsid w:val="002F43B6"/>
    <w:rsid w:val="002F44AD"/>
    <w:rsid w:val="002F45D3"/>
    <w:rsid w:val="002F4934"/>
    <w:rsid w:val="002F4A52"/>
    <w:rsid w:val="002F4CF5"/>
    <w:rsid w:val="002F4EE1"/>
    <w:rsid w:val="002F4F93"/>
    <w:rsid w:val="002F4FC5"/>
    <w:rsid w:val="002F5417"/>
    <w:rsid w:val="002F5422"/>
    <w:rsid w:val="002F5634"/>
    <w:rsid w:val="002F5FDA"/>
    <w:rsid w:val="002F619C"/>
    <w:rsid w:val="002F6319"/>
    <w:rsid w:val="002F68BF"/>
    <w:rsid w:val="002F6941"/>
    <w:rsid w:val="002F6BDA"/>
    <w:rsid w:val="002F6E26"/>
    <w:rsid w:val="002F6EA2"/>
    <w:rsid w:val="002F7B6D"/>
    <w:rsid w:val="002F7D48"/>
    <w:rsid w:val="002F7EC5"/>
    <w:rsid w:val="00300203"/>
    <w:rsid w:val="003003AD"/>
    <w:rsid w:val="003004CC"/>
    <w:rsid w:val="003004DC"/>
    <w:rsid w:val="00301106"/>
    <w:rsid w:val="003011C0"/>
    <w:rsid w:val="003016FB"/>
    <w:rsid w:val="00301EE4"/>
    <w:rsid w:val="003024AF"/>
    <w:rsid w:val="003024DE"/>
    <w:rsid w:val="00302701"/>
    <w:rsid w:val="00302734"/>
    <w:rsid w:val="00302739"/>
    <w:rsid w:val="00302D52"/>
    <w:rsid w:val="0030327E"/>
    <w:rsid w:val="0030361B"/>
    <w:rsid w:val="00303634"/>
    <w:rsid w:val="00303F58"/>
    <w:rsid w:val="00303FB7"/>
    <w:rsid w:val="003044E7"/>
    <w:rsid w:val="00304549"/>
    <w:rsid w:val="0030469C"/>
    <w:rsid w:val="00304AC5"/>
    <w:rsid w:val="00304FCA"/>
    <w:rsid w:val="00305E8E"/>
    <w:rsid w:val="003062FA"/>
    <w:rsid w:val="003065FB"/>
    <w:rsid w:val="0030663B"/>
    <w:rsid w:val="00306E33"/>
    <w:rsid w:val="00307614"/>
    <w:rsid w:val="00307B27"/>
    <w:rsid w:val="00307F28"/>
    <w:rsid w:val="00310148"/>
    <w:rsid w:val="003101DC"/>
    <w:rsid w:val="0031035A"/>
    <w:rsid w:val="00310693"/>
    <w:rsid w:val="003106D1"/>
    <w:rsid w:val="0031079B"/>
    <w:rsid w:val="00310CC6"/>
    <w:rsid w:val="003111AD"/>
    <w:rsid w:val="003111DA"/>
    <w:rsid w:val="00311642"/>
    <w:rsid w:val="00311761"/>
    <w:rsid w:val="00311941"/>
    <w:rsid w:val="003119F3"/>
    <w:rsid w:val="00311AFC"/>
    <w:rsid w:val="00311D01"/>
    <w:rsid w:val="003121B8"/>
    <w:rsid w:val="00312357"/>
    <w:rsid w:val="00312416"/>
    <w:rsid w:val="00312D99"/>
    <w:rsid w:val="003137A0"/>
    <w:rsid w:val="003137ED"/>
    <w:rsid w:val="00313C4F"/>
    <w:rsid w:val="003141C2"/>
    <w:rsid w:val="00314629"/>
    <w:rsid w:val="0031518B"/>
    <w:rsid w:val="0031586B"/>
    <w:rsid w:val="0031599D"/>
    <w:rsid w:val="00315F72"/>
    <w:rsid w:val="00316072"/>
    <w:rsid w:val="00316265"/>
    <w:rsid w:val="00316786"/>
    <w:rsid w:val="00316A94"/>
    <w:rsid w:val="00316C58"/>
    <w:rsid w:val="00316E46"/>
    <w:rsid w:val="00317050"/>
    <w:rsid w:val="003172FB"/>
    <w:rsid w:val="00317854"/>
    <w:rsid w:val="00317884"/>
    <w:rsid w:val="00317A42"/>
    <w:rsid w:val="003200D5"/>
    <w:rsid w:val="00320B1B"/>
    <w:rsid w:val="0032172E"/>
    <w:rsid w:val="00321822"/>
    <w:rsid w:val="00321B02"/>
    <w:rsid w:val="00321B15"/>
    <w:rsid w:val="00321D6A"/>
    <w:rsid w:val="00321D74"/>
    <w:rsid w:val="003222E4"/>
    <w:rsid w:val="00322A6A"/>
    <w:rsid w:val="00322BC3"/>
    <w:rsid w:val="00322E3B"/>
    <w:rsid w:val="00323325"/>
    <w:rsid w:val="00323A49"/>
    <w:rsid w:val="00323FAD"/>
    <w:rsid w:val="003240EB"/>
    <w:rsid w:val="00324636"/>
    <w:rsid w:val="00324731"/>
    <w:rsid w:val="00324788"/>
    <w:rsid w:val="003249F8"/>
    <w:rsid w:val="003259EB"/>
    <w:rsid w:val="00326251"/>
    <w:rsid w:val="0032649F"/>
    <w:rsid w:val="003264A2"/>
    <w:rsid w:val="0032695B"/>
    <w:rsid w:val="00326BBA"/>
    <w:rsid w:val="00326FC1"/>
    <w:rsid w:val="003271E3"/>
    <w:rsid w:val="003272D0"/>
    <w:rsid w:val="003273DE"/>
    <w:rsid w:val="00327470"/>
    <w:rsid w:val="00327897"/>
    <w:rsid w:val="003278C7"/>
    <w:rsid w:val="0032793B"/>
    <w:rsid w:val="00327AEA"/>
    <w:rsid w:val="00330533"/>
    <w:rsid w:val="003308C4"/>
    <w:rsid w:val="00330990"/>
    <w:rsid w:val="00330B70"/>
    <w:rsid w:val="00330C30"/>
    <w:rsid w:val="00330DE8"/>
    <w:rsid w:val="00331029"/>
    <w:rsid w:val="00331BCC"/>
    <w:rsid w:val="00331CD3"/>
    <w:rsid w:val="00332158"/>
    <w:rsid w:val="003321C3"/>
    <w:rsid w:val="00332202"/>
    <w:rsid w:val="0033265F"/>
    <w:rsid w:val="00332962"/>
    <w:rsid w:val="00332A33"/>
    <w:rsid w:val="00332B7D"/>
    <w:rsid w:val="00333238"/>
    <w:rsid w:val="0033392F"/>
    <w:rsid w:val="00334815"/>
    <w:rsid w:val="003349CA"/>
    <w:rsid w:val="00335097"/>
    <w:rsid w:val="00335250"/>
    <w:rsid w:val="0033592C"/>
    <w:rsid w:val="00335BAA"/>
    <w:rsid w:val="00335E2A"/>
    <w:rsid w:val="00336225"/>
    <w:rsid w:val="00336760"/>
    <w:rsid w:val="00336780"/>
    <w:rsid w:val="003367C5"/>
    <w:rsid w:val="00336D35"/>
    <w:rsid w:val="003370D3"/>
    <w:rsid w:val="00337121"/>
    <w:rsid w:val="003375B2"/>
    <w:rsid w:val="003377F1"/>
    <w:rsid w:val="0033787B"/>
    <w:rsid w:val="00337C71"/>
    <w:rsid w:val="003401C5"/>
    <w:rsid w:val="0034097A"/>
    <w:rsid w:val="00340E16"/>
    <w:rsid w:val="00340E58"/>
    <w:rsid w:val="00341087"/>
    <w:rsid w:val="0034119A"/>
    <w:rsid w:val="00341CDF"/>
    <w:rsid w:val="00342317"/>
    <w:rsid w:val="0034243C"/>
    <w:rsid w:val="0034246D"/>
    <w:rsid w:val="003426DE"/>
    <w:rsid w:val="00342925"/>
    <w:rsid w:val="0034305B"/>
    <w:rsid w:val="003430E0"/>
    <w:rsid w:val="00343752"/>
    <w:rsid w:val="00343C24"/>
    <w:rsid w:val="00343F02"/>
    <w:rsid w:val="00344118"/>
    <w:rsid w:val="00344725"/>
    <w:rsid w:val="00344898"/>
    <w:rsid w:val="00344C47"/>
    <w:rsid w:val="0034511B"/>
    <w:rsid w:val="00345C58"/>
    <w:rsid w:val="00346EA4"/>
    <w:rsid w:val="003471DC"/>
    <w:rsid w:val="0034733D"/>
    <w:rsid w:val="0034745C"/>
    <w:rsid w:val="00347655"/>
    <w:rsid w:val="00347A3F"/>
    <w:rsid w:val="00347D04"/>
    <w:rsid w:val="00347F2E"/>
    <w:rsid w:val="0035025F"/>
    <w:rsid w:val="003503F4"/>
    <w:rsid w:val="0035041A"/>
    <w:rsid w:val="003505AD"/>
    <w:rsid w:val="00350631"/>
    <w:rsid w:val="00350757"/>
    <w:rsid w:val="003508C5"/>
    <w:rsid w:val="0035141D"/>
    <w:rsid w:val="0035180B"/>
    <w:rsid w:val="00351C98"/>
    <w:rsid w:val="0035216E"/>
    <w:rsid w:val="00352431"/>
    <w:rsid w:val="0035265C"/>
    <w:rsid w:val="00352759"/>
    <w:rsid w:val="00352828"/>
    <w:rsid w:val="00352952"/>
    <w:rsid w:val="00352AB0"/>
    <w:rsid w:val="00352CC9"/>
    <w:rsid w:val="00352DAE"/>
    <w:rsid w:val="00352FD6"/>
    <w:rsid w:val="003530A0"/>
    <w:rsid w:val="0035319A"/>
    <w:rsid w:val="003531B0"/>
    <w:rsid w:val="003532D2"/>
    <w:rsid w:val="0035334C"/>
    <w:rsid w:val="003536C6"/>
    <w:rsid w:val="003539B2"/>
    <w:rsid w:val="00353F9F"/>
    <w:rsid w:val="0035414B"/>
    <w:rsid w:val="003542B7"/>
    <w:rsid w:val="0035488F"/>
    <w:rsid w:val="003552C6"/>
    <w:rsid w:val="0035533C"/>
    <w:rsid w:val="00355623"/>
    <w:rsid w:val="00355A83"/>
    <w:rsid w:val="00355CC0"/>
    <w:rsid w:val="00355E36"/>
    <w:rsid w:val="003560B8"/>
    <w:rsid w:val="003562D7"/>
    <w:rsid w:val="00356351"/>
    <w:rsid w:val="00356353"/>
    <w:rsid w:val="003563E4"/>
    <w:rsid w:val="003567C9"/>
    <w:rsid w:val="00356CEC"/>
    <w:rsid w:val="003571D6"/>
    <w:rsid w:val="003572DE"/>
    <w:rsid w:val="00357659"/>
    <w:rsid w:val="00357712"/>
    <w:rsid w:val="00357A5C"/>
    <w:rsid w:val="00357D8A"/>
    <w:rsid w:val="0036012E"/>
    <w:rsid w:val="0036029D"/>
    <w:rsid w:val="003604DB"/>
    <w:rsid w:val="0036056F"/>
    <w:rsid w:val="00360986"/>
    <w:rsid w:val="00360DE9"/>
    <w:rsid w:val="00360E73"/>
    <w:rsid w:val="003617B5"/>
    <w:rsid w:val="0036185C"/>
    <w:rsid w:val="00361B3C"/>
    <w:rsid w:val="00361C91"/>
    <w:rsid w:val="0036262C"/>
    <w:rsid w:val="00362C5A"/>
    <w:rsid w:val="00363D68"/>
    <w:rsid w:val="00363E00"/>
    <w:rsid w:val="00363E9E"/>
    <w:rsid w:val="0036416E"/>
    <w:rsid w:val="00364591"/>
    <w:rsid w:val="00364A63"/>
    <w:rsid w:val="00365D32"/>
    <w:rsid w:val="00366EB2"/>
    <w:rsid w:val="00367080"/>
    <w:rsid w:val="00367730"/>
    <w:rsid w:val="00367D2F"/>
    <w:rsid w:val="003700A7"/>
    <w:rsid w:val="00370285"/>
    <w:rsid w:val="003704EE"/>
    <w:rsid w:val="003705F6"/>
    <w:rsid w:val="00370880"/>
    <w:rsid w:val="00370A4F"/>
    <w:rsid w:val="00370EFD"/>
    <w:rsid w:val="00371137"/>
    <w:rsid w:val="003711DE"/>
    <w:rsid w:val="003714B4"/>
    <w:rsid w:val="0037165D"/>
    <w:rsid w:val="00371766"/>
    <w:rsid w:val="00371796"/>
    <w:rsid w:val="00371831"/>
    <w:rsid w:val="003718AF"/>
    <w:rsid w:val="003718D6"/>
    <w:rsid w:val="003719F5"/>
    <w:rsid w:val="00372029"/>
    <w:rsid w:val="003723C6"/>
    <w:rsid w:val="003724A1"/>
    <w:rsid w:val="003724EB"/>
    <w:rsid w:val="0037297C"/>
    <w:rsid w:val="00372A6B"/>
    <w:rsid w:val="00372F2E"/>
    <w:rsid w:val="00372F5D"/>
    <w:rsid w:val="00372FD7"/>
    <w:rsid w:val="003733D1"/>
    <w:rsid w:val="00373414"/>
    <w:rsid w:val="003734F9"/>
    <w:rsid w:val="00373C10"/>
    <w:rsid w:val="00373E10"/>
    <w:rsid w:val="00373EFE"/>
    <w:rsid w:val="00373F2C"/>
    <w:rsid w:val="0037406C"/>
    <w:rsid w:val="003741D2"/>
    <w:rsid w:val="00374491"/>
    <w:rsid w:val="003744CB"/>
    <w:rsid w:val="0037456D"/>
    <w:rsid w:val="00374804"/>
    <w:rsid w:val="00374916"/>
    <w:rsid w:val="00374DE2"/>
    <w:rsid w:val="00374F06"/>
    <w:rsid w:val="00374F99"/>
    <w:rsid w:val="00375D8B"/>
    <w:rsid w:val="00375FFC"/>
    <w:rsid w:val="003764FA"/>
    <w:rsid w:val="00376897"/>
    <w:rsid w:val="00376B24"/>
    <w:rsid w:val="00376E52"/>
    <w:rsid w:val="0037709A"/>
    <w:rsid w:val="00377146"/>
    <w:rsid w:val="00377397"/>
    <w:rsid w:val="003773E2"/>
    <w:rsid w:val="003773F2"/>
    <w:rsid w:val="003774FD"/>
    <w:rsid w:val="003775BD"/>
    <w:rsid w:val="003779D4"/>
    <w:rsid w:val="003802C7"/>
    <w:rsid w:val="0038084F"/>
    <w:rsid w:val="00380892"/>
    <w:rsid w:val="00380AE2"/>
    <w:rsid w:val="00380B11"/>
    <w:rsid w:val="00381022"/>
    <w:rsid w:val="00381685"/>
    <w:rsid w:val="003821E7"/>
    <w:rsid w:val="00382238"/>
    <w:rsid w:val="0038232C"/>
    <w:rsid w:val="0038242A"/>
    <w:rsid w:val="00382903"/>
    <w:rsid w:val="00382920"/>
    <w:rsid w:val="00383246"/>
    <w:rsid w:val="00383483"/>
    <w:rsid w:val="003834A2"/>
    <w:rsid w:val="0038365A"/>
    <w:rsid w:val="00383816"/>
    <w:rsid w:val="00383827"/>
    <w:rsid w:val="00383D4B"/>
    <w:rsid w:val="00383DDB"/>
    <w:rsid w:val="00383EBF"/>
    <w:rsid w:val="00383F15"/>
    <w:rsid w:val="00383F1F"/>
    <w:rsid w:val="0038415A"/>
    <w:rsid w:val="003842A8"/>
    <w:rsid w:val="003848D9"/>
    <w:rsid w:val="00384969"/>
    <w:rsid w:val="00385141"/>
    <w:rsid w:val="00385192"/>
    <w:rsid w:val="003852CC"/>
    <w:rsid w:val="003852E9"/>
    <w:rsid w:val="0038556E"/>
    <w:rsid w:val="00385737"/>
    <w:rsid w:val="00385823"/>
    <w:rsid w:val="00385AA3"/>
    <w:rsid w:val="00385BD7"/>
    <w:rsid w:val="00386063"/>
    <w:rsid w:val="003862D5"/>
    <w:rsid w:val="00386498"/>
    <w:rsid w:val="003865B4"/>
    <w:rsid w:val="00386A15"/>
    <w:rsid w:val="00386B67"/>
    <w:rsid w:val="00386B71"/>
    <w:rsid w:val="0038702D"/>
    <w:rsid w:val="003870BC"/>
    <w:rsid w:val="0038732E"/>
    <w:rsid w:val="00387675"/>
    <w:rsid w:val="00387771"/>
    <w:rsid w:val="00387854"/>
    <w:rsid w:val="00387B2B"/>
    <w:rsid w:val="00387D1D"/>
    <w:rsid w:val="003904B1"/>
    <w:rsid w:val="003907D2"/>
    <w:rsid w:val="00390B8F"/>
    <w:rsid w:val="00390B9A"/>
    <w:rsid w:val="00390C56"/>
    <w:rsid w:val="0039122C"/>
    <w:rsid w:val="0039124D"/>
    <w:rsid w:val="003914C2"/>
    <w:rsid w:val="00391A92"/>
    <w:rsid w:val="00392669"/>
    <w:rsid w:val="003926BE"/>
    <w:rsid w:val="00392DB8"/>
    <w:rsid w:val="0039383D"/>
    <w:rsid w:val="00393B78"/>
    <w:rsid w:val="00394739"/>
    <w:rsid w:val="00394775"/>
    <w:rsid w:val="00394A43"/>
    <w:rsid w:val="00394B44"/>
    <w:rsid w:val="0039502C"/>
    <w:rsid w:val="00395515"/>
    <w:rsid w:val="0039564D"/>
    <w:rsid w:val="003956CC"/>
    <w:rsid w:val="003956FE"/>
    <w:rsid w:val="0039598F"/>
    <w:rsid w:val="003959BD"/>
    <w:rsid w:val="003960D5"/>
    <w:rsid w:val="0039610F"/>
    <w:rsid w:val="0039665F"/>
    <w:rsid w:val="00396850"/>
    <w:rsid w:val="003970C8"/>
    <w:rsid w:val="00397424"/>
    <w:rsid w:val="003978B8"/>
    <w:rsid w:val="00397A38"/>
    <w:rsid w:val="00397B96"/>
    <w:rsid w:val="00397C89"/>
    <w:rsid w:val="00397E0D"/>
    <w:rsid w:val="00397F7C"/>
    <w:rsid w:val="003A0311"/>
    <w:rsid w:val="003A0736"/>
    <w:rsid w:val="003A07F5"/>
    <w:rsid w:val="003A08E9"/>
    <w:rsid w:val="003A0F8F"/>
    <w:rsid w:val="003A1135"/>
    <w:rsid w:val="003A1341"/>
    <w:rsid w:val="003A1350"/>
    <w:rsid w:val="003A162C"/>
    <w:rsid w:val="003A168D"/>
    <w:rsid w:val="003A19E0"/>
    <w:rsid w:val="003A1DD5"/>
    <w:rsid w:val="003A2019"/>
    <w:rsid w:val="003A2D39"/>
    <w:rsid w:val="003A2FE7"/>
    <w:rsid w:val="003A36CA"/>
    <w:rsid w:val="003A425A"/>
    <w:rsid w:val="003A42BB"/>
    <w:rsid w:val="003A435A"/>
    <w:rsid w:val="003A45FB"/>
    <w:rsid w:val="003A48FC"/>
    <w:rsid w:val="003A4E82"/>
    <w:rsid w:val="003A590E"/>
    <w:rsid w:val="003A6223"/>
    <w:rsid w:val="003A6330"/>
    <w:rsid w:val="003A65E0"/>
    <w:rsid w:val="003A6700"/>
    <w:rsid w:val="003A67EA"/>
    <w:rsid w:val="003A6BC9"/>
    <w:rsid w:val="003A700D"/>
    <w:rsid w:val="003A7391"/>
    <w:rsid w:val="003A76A9"/>
    <w:rsid w:val="003A7747"/>
    <w:rsid w:val="003B028F"/>
    <w:rsid w:val="003B0299"/>
    <w:rsid w:val="003B0901"/>
    <w:rsid w:val="003B0A92"/>
    <w:rsid w:val="003B0B4D"/>
    <w:rsid w:val="003B0FA6"/>
    <w:rsid w:val="003B1046"/>
    <w:rsid w:val="003B1140"/>
    <w:rsid w:val="003B14B8"/>
    <w:rsid w:val="003B1575"/>
    <w:rsid w:val="003B188F"/>
    <w:rsid w:val="003B18ED"/>
    <w:rsid w:val="003B1CC2"/>
    <w:rsid w:val="003B21B1"/>
    <w:rsid w:val="003B2295"/>
    <w:rsid w:val="003B2B79"/>
    <w:rsid w:val="003B2B7D"/>
    <w:rsid w:val="003B3C4E"/>
    <w:rsid w:val="003B3EE6"/>
    <w:rsid w:val="003B4482"/>
    <w:rsid w:val="003B45D1"/>
    <w:rsid w:val="003B4BCD"/>
    <w:rsid w:val="003B4FC5"/>
    <w:rsid w:val="003B5134"/>
    <w:rsid w:val="003B570F"/>
    <w:rsid w:val="003B5B57"/>
    <w:rsid w:val="003B5B7E"/>
    <w:rsid w:val="003B5E30"/>
    <w:rsid w:val="003B6194"/>
    <w:rsid w:val="003B6953"/>
    <w:rsid w:val="003B6A81"/>
    <w:rsid w:val="003B6C1C"/>
    <w:rsid w:val="003B6F75"/>
    <w:rsid w:val="003B6FCB"/>
    <w:rsid w:val="003B7020"/>
    <w:rsid w:val="003B704C"/>
    <w:rsid w:val="003B7271"/>
    <w:rsid w:val="003B7294"/>
    <w:rsid w:val="003B75C4"/>
    <w:rsid w:val="003B76FE"/>
    <w:rsid w:val="003B7E7C"/>
    <w:rsid w:val="003C009A"/>
    <w:rsid w:val="003C0242"/>
    <w:rsid w:val="003C03D5"/>
    <w:rsid w:val="003C04E2"/>
    <w:rsid w:val="003C07D7"/>
    <w:rsid w:val="003C0985"/>
    <w:rsid w:val="003C0B22"/>
    <w:rsid w:val="003C0D37"/>
    <w:rsid w:val="003C1EC9"/>
    <w:rsid w:val="003C226A"/>
    <w:rsid w:val="003C270B"/>
    <w:rsid w:val="003C2C9D"/>
    <w:rsid w:val="003C30C6"/>
    <w:rsid w:val="003C3B73"/>
    <w:rsid w:val="003C4002"/>
    <w:rsid w:val="003C4250"/>
    <w:rsid w:val="003C4692"/>
    <w:rsid w:val="003C4730"/>
    <w:rsid w:val="003C4753"/>
    <w:rsid w:val="003C4952"/>
    <w:rsid w:val="003C4D16"/>
    <w:rsid w:val="003C4D8C"/>
    <w:rsid w:val="003C4F25"/>
    <w:rsid w:val="003C592E"/>
    <w:rsid w:val="003C6200"/>
    <w:rsid w:val="003C62C4"/>
    <w:rsid w:val="003C6580"/>
    <w:rsid w:val="003C6E76"/>
    <w:rsid w:val="003C728E"/>
    <w:rsid w:val="003C730B"/>
    <w:rsid w:val="003C7459"/>
    <w:rsid w:val="003C75E4"/>
    <w:rsid w:val="003C7728"/>
    <w:rsid w:val="003C78C0"/>
    <w:rsid w:val="003C79A4"/>
    <w:rsid w:val="003D09DA"/>
    <w:rsid w:val="003D0A97"/>
    <w:rsid w:val="003D0B50"/>
    <w:rsid w:val="003D0CCB"/>
    <w:rsid w:val="003D0D74"/>
    <w:rsid w:val="003D0D75"/>
    <w:rsid w:val="003D0E68"/>
    <w:rsid w:val="003D16A2"/>
    <w:rsid w:val="003D2050"/>
    <w:rsid w:val="003D2339"/>
    <w:rsid w:val="003D26AA"/>
    <w:rsid w:val="003D287F"/>
    <w:rsid w:val="003D28F0"/>
    <w:rsid w:val="003D2A2B"/>
    <w:rsid w:val="003D2F94"/>
    <w:rsid w:val="003D3201"/>
    <w:rsid w:val="003D34D8"/>
    <w:rsid w:val="003D3666"/>
    <w:rsid w:val="003D39A6"/>
    <w:rsid w:val="003D3F75"/>
    <w:rsid w:val="003D42A0"/>
    <w:rsid w:val="003D4330"/>
    <w:rsid w:val="003D4350"/>
    <w:rsid w:val="003D4409"/>
    <w:rsid w:val="003D5083"/>
    <w:rsid w:val="003D50AE"/>
    <w:rsid w:val="003D5176"/>
    <w:rsid w:val="003D52A8"/>
    <w:rsid w:val="003D5717"/>
    <w:rsid w:val="003D5878"/>
    <w:rsid w:val="003D59FE"/>
    <w:rsid w:val="003D5D14"/>
    <w:rsid w:val="003D60D5"/>
    <w:rsid w:val="003D63BA"/>
    <w:rsid w:val="003D680E"/>
    <w:rsid w:val="003D6AC2"/>
    <w:rsid w:val="003D6DEB"/>
    <w:rsid w:val="003D74B4"/>
    <w:rsid w:val="003D772E"/>
    <w:rsid w:val="003D79E8"/>
    <w:rsid w:val="003E03FC"/>
    <w:rsid w:val="003E089F"/>
    <w:rsid w:val="003E0A9E"/>
    <w:rsid w:val="003E0AD0"/>
    <w:rsid w:val="003E0ADB"/>
    <w:rsid w:val="003E0CE4"/>
    <w:rsid w:val="003E0F2A"/>
    <w:rsid w:val="003E1304"/>
    <w:rsid w:val="003E149E"/>
    <w:rsid w:val="003E1723"/>
    <w:rsid w:val="003E1748"/>
    <w:rsid w:val="003E187F"/>
    <w:rsid w:val="003E18AD"/>
    <w:rsid w:val="003E19B9"/>
    <w:rsid w:val="003E1CF4"/>
    <w:rsid w:val="003E240A"/>
    <w:rsid w:val="003E2482"/>
    <w:rsid w:val="003E2A34"/>
    <w:rsid w:val="003E2BF4"/>
    <w:rsid w:val="003E2CCC"/>
    <w:rsid w:val="003E2EB5"/>
    <w:rsid w:val="003E34E1"/>
    <w:rsid w:val="003E3524"/>
    <w:rsid w:val="003E3C5B"/>
    <w:rsid w:val="003E3D11"/>
    <w:rsid w:val="003E40C9"/>
    <w:rsid w:val="003E4155"/>
    <w:rsid w:val="003E43E9"/>
    <w:rsid w:val="003E4CDB"/>
    <w:rsid w:val="003E52EB"/>
    <w:rsid w:val="003E61AF"/>
    <w:rsid w:val="003E6592"/>
    <w:rsid w:val="003E6928"/>
    <w:rsid w:val="003E6D14"/>
    <w:rsid w:val="003E703E"/>
    <w:rsid w:val="003E70AF"/>
    <w:rsid w:val="003E73BC"/>
    <w:rsid w:val="003E7A07"/>
    <w:rsid w:val="003F0656"/>
    <w:rsid w:val="003F0905"/>
    <w:rsid w:val="003F0D71"/>
    <w:rsid w:val="003F1438"/>
    <w:rsid w:val="003F16E1"/>
    <w:rsid w:val="003F1786"/>
    <w:rsid w:val="003F1B6D"/>
    <w:rsid w:val="003F1D73"/>
    <w:rsid w:val="003F1D98"/>
    <w:rsid w:val="003F1DA9"/>
    <w:rsid w:val="003F20E2"/>
    <w:rsid w:val="003F2244"/>
    <w:rsid w:val="003F23A7"/>
    <w:rsid w:val="003F2564"/>
    <w:rsid w:val="003F2624"/>
    <w:rsid w:val="003F2711"/>
    <w:rsid w:val="003F2A56"/>
    <w:rsid w:val="003F2DEB"/>
    <w:rsid w:val="003F324B"/>
    <w:rsid w:val="003F3652"/>
    <w:rsid w:val="003F3865"/>
    <w:rsid w:val="003F3A47"/>
    <w:rsid w:val="003F3DFF"/>
    <w:rsid w:val="003F412F"/>
    <w:rsid w:val="003F4407"/>
    <w:rsid w:val="003F4933"/>
    <w:rsid w:val="003F4977"/>
    <w:rsid w:val="003F4E1C"/>
    <w:rsid w:val="003F4E39"/>
    <w:rsid w:val="003F4FE1"/>
    <w:rsid w:val="003F536B"/>
    <w:rsid w:val="003F5651"/>
    <w:rsid w:val="003F5667"/>
    <w:rsid w:val="003F586D"/>
    <w:rsid w:val="003F59D4"/>
    <w:rsid w:val="003F5FA3"/>
    <w:rsid w:val="003F60EF"/>
    <w:rsid w:val="003F62B4"/>
    <w:rsid w:val="003F632E"/>
    <w:rsid w:val="003F6853"/>
    <w:rsid w:val="003F6930"/>
    <w:rsid w:val="003F6ACE"/>
    <w:rsid w:val="003F6C7B"/>
    <w:rsid w:val="003F6E02"/>
    <w:rsid w:val="003F6F1A"/>
    <w:rsid w:val="003F73A0"/>
    <w:rsid w:val="003F75DD"/>
    <w:rsid w:val="003F7DFF"/>
    <w:rsid w:val="00400032"/>
    <w:rsid w:val="0040015E"/>
    <w:rsid w:val="00400277"/>
    <w:rsid w:val="00400427"/>
    <w:rsid w:val="004010CF"/>
    <w:rsid w:val="004012FA"/>
    <w:rsid w:val="004017C6"/>
    <w:rsid w:val="00401907"/>
    <w:rsid w:val="004021C9"/>
    <w:rsid w:val="004024AB"/>
    <w:rsid w:val="00402F2C"/>
    <w:rsid w:val="0040303D"/>
    <w:rsid w:val="0040322B"/>
    <w:rsid w:val="004032B9"/>
    <w:rsid w:val="0040379F"/>
    <w:rsid w:val="00403805"/>
    <w:rsid w:val="00403824"/>
    <w:rsid w:val="00403F25"/>
    <w:rsid w:val="0040495B"/>
    <w:rsid w:val="00404AE9"/>
    <w:rsid w:val="00405194"/>
    <w:rsid w:val="0040568F"/>
    <w:rsid w:val="00405898"/>
    <w:rsid w:val="00405D95"/>
    <w:rsid w:val="00405F90"/>
    <w:rsid w:val="00405FCD"/>
    <w:rsid w:val="00406108"/>
    <w:rsid w:val="00406412"/>
    <w:rsid w:val="004064B6"/>
    <w:rsid w:val="0040669E"/>
    <w:rsid w:val="00406DEB"/>
    <w:rsid w:val="00406F4B"/>
    <w:rsid w:val="00406FBD"/>
    <w:rsid w:val="004073B0"/>
    <w:rsid w:val="00407612"/>
    <w:rsid w:val="00407A66"/>
    <w:rsid w:val="00407C9E"/>
    <w:rsid w:val="0041029D"/>
    <w:rsid w:val="00410CC4"/>
    <w:rsid w:val="00411230"/>
    <w:rsid w:val="0041138F"/>
    <w:rsid w:val="004118C9"/>
    <w:rsid w:val="0041195D"/>
    <w:rsid w:val="00411B37"/>
    <w:rsid w:val="00411B58"/>
    <w:rsid w:val="00412437"/>
    <w:rsid w:val="00412697"/>
    <w:rsid w:val="00412B1D"/>
    <w:rsid w:val="00412DBE"/>
    <w:rsid w:val="00412F8D"/>
    <w:rsid w:val="00413369"/>
    <w:rsid w:val="00413501"/>
    <w:rsid w:val="00413F24"/>
    <w:rsid w:val="00414129"/>
    <w:rsid w:val="004142FC"/>
    <w:rsid w:val="004145AE"/>
    <w:rsid w:val="00414A69"/>
    <w:rsid w:val="0041577E"/>
    <w:rsid w:val="004157F6"/>
    <w:rsid w:val="0041596C"/>
    <w:rsid w:val="004159D3"/>
    <w:rsid w:val="00415A14"/>
    <w:rsid w:val="00415EC0"/>
    <w:rsid w:val="0041616C"/>
    <w:rsid w:val="00416468"/>
    <w:rsid w:val="00416583"/>
    <w:rsid w:val="00416A66"/>
    <w:rsid w:val="00416DCB"/>
    <w:rsid w:val="00417435"/>
    <w:rsid w:val="004175BF"/>
    <w:rsid w:val="00417678"/>
    <w:rsid w:val="00420126"/>
    <w:rsid w:val="004203CF"/>
    <w:rsid w:val="00420755"/>
    <w:rsid w:val="00420CB7"/>
    <w:rsid w:val="00420F26"/>
    <w:rsid w:val="00421078"/>
    <w:rsid w:val="0042110F"/>
    <w:rsid w:val="004213E8"/>
    <w:rsid w:val="0042156E"/>
    <w:rsid w:val="00421EC5"/>
    <w:rsid w:val="004222BF"/>
    <w:rsid w:val="00422399"/>
    <w:rsid w:val="004228B8"/>
    <w:rsid w:val="00422A01"/>
    <w:rsid w:val="00422DB5"/>
    <w:rsid w:val="0042307B"/>
    <w:rsid w:val="00423326"/>
    <w:rsid w:val="004238F9"/>
    <w:rsid w:val="00423921"/>
    <w:rsid w:val="00423A73"/>
    <w:rsid w:val="0042425E"/>
    <w:rsid w:val="00424994"/>
    <w:rsid w:val="00424E7E"/>
    <w:rsid w:val="00424EEE"/>
    <w:rsid w:val="00425164"/>
    <w:rsid w:val="00425BAC"/>
    <w:rsid w:val="00425C97"/>
    <w:rsid w:val="00425FFD"/>
    <w:rsid w:val="004262F8"/>
    <w:rsid w:val="00426442"/>
    <w:rsid w:val="0042654A"/>
    <w:rsid w:val="00426A93"/>
    <w:rsid w:val="00426DFA"/>
    <w:rsid w:val="004273BA"/>
    <w:rsid w:val="004276E3"/>
    <w:rsid w:val="004279ED"/>
    <w:rsid w:val="00427AF4"/>
    <w:rsid w:val="00427D62"/>
    <w:rsid w:val="00427E47"/>
    <w:rsid w:val="00427E67"/>
    <w:rsid w:val="00430178"/>
    <w:rsid w:val="00430495"/>
    <w:rsid w:val="00430680"/>
    <w:rsid w:val="00430773"/>
    <w:rsid w:val="00430A72"/>
    <w:rsid w:val="00431214"/>
    <w:rsid w:val="004314E7"/>
    <w:rsid w:val="0043189C"/>
    <w:rsid w:val="0043193A"/>
    <w:rsid w:val="00431CB1"/>
    <w:rsid w:val="00431DB5"/>
    <w:rsid w:val="0043270B"/>
    <w:rsid w:val="00432780"/>
    <w:rsid w:val="00432DB9"/>
    <w:rsid w:val="00432E64"/>
    <w:rsid w:val="00432F8F"/>
    <w:rsid w:val="00432F9E"/>
    <w:rsid w:val="00433106"/>
    <w:rsid w:val="00433C6F"/>
    <w:rsid w:val="00433F45"/>
    <w:rsid w:val="00434583"/>
    <w:rsid w:val="00434754"/>
    <w:rsid w:val="0043480E"/>
    <w:rsid w:val="00434A45"/>
    <w:rsid w:val="00434D1A"/>
    <w:rsid w:val="00434D46"/>
    <w:rsid w:val="00435178"/>
    <w:rsid w:val="00435248"/>
    <w:rsid w:val="004353C1"/>
    <w:rsid w:val="0043542F"/>
    <w:rsid w:val="004355EB"/>
    <w:rsid w:val="00435602"/>
    <w:rsid w:val="004356FA"/>
    <w:rsid w:val="00435B98"/>
    <w:rsid w:val="00435CCF"/>
    <w:rsid w:val="004364EB"/>
    <w:rsid w:val="00436A3B"/>
    <w:rsid w:val="00436C57"/>
    <w:rsid w:val="00436D48"/>
    <w:rsid w:val="00436DA6"/>
    <w:rsid w:val="00436F28"/>
    <w:rsid w:val="00437027"/>
    <w:rsid w:val="00437132"/>
    <w:rsid w:val="004371AB"/>
    <w:rsid w:val="0043751C"/>
    <w:rsid w:val="004375CC"/>
    <w:rsid w:val="00437681"/>
    <w:rsid w:val="0043793C"/>
    <w:rsid w:val="00437CE2"/>
    <w:rsid w:val="00437DBC"/>
    <w:rsid w:val="00437F1D"/>
    <w:rsid w:val="004402A7"/>
    <w:rsid w:val="0044035D"/>
    <w:rsid w:val="0044068F"/>
    <w:rsid w:val="00440EA5"/>
    <w:rsid w:val="0044131C"/>
    <w:rsid w:val="0044142F"/>
    <w:rsid w:val="004425C2"/>
    <w:rsid w:val="00442824"/>
    <w:rsid w:val="00442FFB"/>
    <w:rsid w:val="004430FD"/>
    <w:rsid w:val="00443CDE"/>
    <w:rsid w:val="00443EB0"/>
    <w:rsid w:val="00443F64"/>
    <w:rsid w:val="004442A7"/>
    <w:rsid w:val="00444901"/>
    <w:rsid w:val="00444934"/>
    <w:rsid w:val="00444F5E"/>
    <w:rsid w:val="004452EC"/>
    <w:rsid w:val="0044540F"/>
    <w:rsid w:val="00445494"/>
    <w:rsid w:val="004454B3"/>
    <w:rsid w:val="00445513"/>
    <w:rsid w:val="00445907"/>
    <w:rsid w:val="00445CFF"/>
    <w:rsid w:val="00445EE7"/>
    <w:rsid w:val="004462AF"/>
    <w:rsid w:val="00446624"/>
    <w:rsid w:val="0044662A"/>
    <w:rsid w:val="0044666E"/>
    <w:rsid w:val="00446A0D"/>
    <w:rsid w:val="00447291"/>
    <w:rsid w:val="00447357"/>
    <w:rsid w:val="00447486"/>
    <w:rsid w:val="00450778"/>
    <w:rsid w:val="00450B28"/>
    <w:rsid w:val="00450D3B"/>
    <w:rsid w:val="00450D7D"/>
    <w:rsid w:val="004513BD"/>
    <w:rsid w:val="004518D5"/>
    <w:rsid w:val="004519BF"/>
    <w:rsid w:val="00451B06"/>
    <w:rsid w:val="00451BEB"/>
    <w:rsid w:val="00451C1F"/>
    <w:rsid w:val="004527C0"/>
    <w:rsid w:val="00453871"/>
    <w:rsid w:val="00453B31"/>
    <w:rsid w:val="00453D65"/>
    <w:rsid w:val="00453DEF"/>
    <w:rsid w:val="004543E4"/>
    <w:rsid w:val="0045443D"/>
    <w:rsid w:val="004548E5"/>
    <w:rsid w:val="00454AA7"/>
    <w:rsid w:val="00454F08"/>
    <w:rsid w:val="0045502E"/>
    <w:rsid w:val="00455105"/>
    <w:rsid w:val="004553ED"/>
    <w:rsid w:val="0045584A"/>
    <w:rsid w:val="00455BD9"/>
    <w:rsid w:val="00455C09"/>
    <w:rsid w:val="00455E02"/>
    <w:rsid w:val="00456114"/>
    <w:rsid w:val="004566D8"/>
    <w:rsid w:val="00456971"/>
    <w:rsid w:val="004569CC"/>
    <w:rsid w:val="00456A01"/>
    <w:rsid w:val="00456B9B"/>
    <w:rsid w:val="004570A8"/>
    <w:rsid w:val="0045742D"/>
    <w:rsid w:val="004576F3"/>
    <w:rsid w:val="00457C5E"/>
    <w:rsid w:val="0046026D"/>
    <w:rsid w:val="0046027A"/>
    <w:rsid w:val="004603B2"/>
    <w:rsid w:val="004605CC"/>
    <w:rsid w:val="0046063D"/>
    <w:rsid w:val="0046072D"/>
    <w:rsid w:val="00460921"/>
    <w:rsid w:val="00460958"/>
    <w:rsid w:val="0046110A"/>
    <w:rsid w:val="00461266"/>
    <w:rsid w:val="004612C8"/>
    <w:rsid w:val="004614A1"/>
    <w:rsid w:val="0046164D"/>
    <w:rsid w:val="004616E5"/>
    <w:rsid w:val="004616FF"/>
    <w:rsid w:val="004617A0"/>
    <w:rsid w:val="0046193C"/>
    <w:rsid w:val="0046194F"/>
    <w:rsid w:val="00461C00"/>
    <w:rsid w:val="00461D6B"/>
    <w:rsid w:val="004622A1"/>
    <w:rsid w:val="004622D0"/>
    <w:rsid w:val="00462420"/>
    <w:rsid w:val="004628D4"/>
    <w:rsid w:val="00462A9C"/>
    <w:rsid w:val="00462B09"/>
    <w:rsid w:val="00462FC4"/>
    <w:rsid w:val="00463448"/>
    <w:rsid w:val="00463702"/>
    <w:rsid w:val="00463E84"/>
    <w:rsid w:val="00463ECB"/>
    <w:rsid w:val="0046434B"/>
    <w:rsid w:val="00464374"/>
    <w:rsid w:val="00464513"/>
    <w:rsid w:val="004648C0"/>
    <w:rsid w:val="00464919"/>
    <w:rsid w:val="00464B42"/>
    <w:rsid w:val="00464EE0"/>
    <w:rsid w:val="00465461"/>
    <w:rsid w:val="00465467"/>
    <w:rsid w:val="00465573"/>
    <w:rsid w:val="004658C3"/>
    <w:rsid w:val="00465AAF"/>
    <w:rsid w:val="00465EB3"/>
    <w:rsid w:val="00466409"/>
    <w:rsid w:val="0046645E"/>
    <w:rsid w:val="00467245"/>
    <w:rsid w:val="00467716"/>
    <w:rsid w:val="00467838"/>
    <w:rsid w:val="0046790A"/>
    <w:rsid w:val="0047034D"/>
    <w:rsid w:val="0047041E"/>
    <w:rsid w:val="00470750"/>
    <w:rsid w:val="00470893"/>
    <w:rsid w:val="00470E35"/>
    <w:rsid w:val="00470F05"/>
    <w:rsid w:val="00470FE9"/>
    <w:rsid w:val="0047157D"/>
    <w:rsid w:val="0047166D"/>
    <w:rsid w:val="00471856"/>
    <w:rsid w:val="00471978"/>
    <w:rsid w:val="004719A1"/>
    <w:rsid w:val="00471DB0"/>
    <w:rsid w:val="00471F3B"/>
    <w:rsid w:val="00471FAB"/>
    <w:rsid w:val="00472749"/>
    <w:rsid w:val="004727D8"/>
    <w:rsid w:val="00472ACB"/>
    <w:rsid w:val="004730B8"/>
    <w:rsid w:val="00473F5F"/>
    <w:rsid w:val="0047410D"/>
    <w:rsid w:val="00474144"/>
    <w:rsid w:val="00474CEE"/>
    <w:rsid w:val="00474FB4"/>
    <w:rsid w:val="00475131"/>
    <w:rsid w:val="00475260"/>
    <w:rsid w:val="004755D5"/>
    <w:rsid w:val="0047574D"/>
    <w:rsid w:val="00475A1B"/>
    <w:rsid w:val="00475D3E"/>
    <w:rsid w:val="00475E50"/>
    <w:rsid w:val="00475F90"/>
    <w:rsid w:val="00476534"/>
    <w:rsid w:val="004765DA"/>
    <w:rsid w:val="004768BD"/>
    <w:rsid w:val="00476D8B"/>
    <w:rsid w:val="00476EAE"/>
    <w:rsid w:val="00476FC4"/>
    <w:rsid w:val="004772CB"/>
    <w:rsid w:val="004774C5"/>
    <w:rsid w:val="004775ED"/>
    <w:rsid w:val="004777C7"/>
    <w:rsid w:val="00477DE0"/>
    <w:rsid w:val="00477E71"/>
    <w:rsid w:val="004802F4"/>
    <w:rsid w:val="004803A9"/>
    <w:rsid w:val="00480497"/>
    <w:rsid w:val="0048069C"/>
    <w:rsid w:val="004807D5"/>
    <w:rsid w:val="00480870"/>
    <w:rsid w:val="00480B03"/>
    <w:rsid w:val="004810EC"/>
    <w:rsid w:val="00481315"/>
    <w:rsid w:val="004814F6"/>
    <w:rsid w:val="00481607"/>
    <w:rsid w:val="00482302"/>
    <w:rsid w:val="0048234B"/>
    <w:rsid w:val="00482358"/>
    <w:rsid w:val="00482389"/>
    <w:rsid w:val="00482849"/>
    <w:rsid w:val="00482943"/>
    <w:rsid w:val="00482ADC"/>
    <w:rsid w:val="00482B1F"/>
    <w:rsid w:val="00482BAD"/>
    <w:rsid w:val="00482D0D"/>
    <w:rsid w:val="00482D67"/>
    <w:rsid w:val="00483D11"/>
    <w:rsid w:val="00483D20"/>
    <w:rsid w:val="0048406D"/>
    <w:rsid w:val="0048410E"/>
    <w:rsid w:val="004844C7"/>
    <w:rsid w:val="00484758"/>
    <w:rsid w:val="00484C46"/>
    <w:rsid w:val="004853DD"/>
    <w:rsid w:val="004855A3"/>
    <w:rsid w:val="004855C4"/>
    <w:rsid w:val="00485969"/>
    <w:rsid w:val="0048598C"/>
    <w:rsid w:val="00485E8A"/>
    <w:rsid w:val="00485F63"/>
    <w:rsid w:val="0048620B"/>
    <w:rsid w:val="004862DE"/>
    <w:rsid w:val="0048655A"/>
    <w:rsid w:val="00486CF2"/>
    <w:rsid w:val="00486EC5"/>
    <w:rsid w:val="00487056"/>
    <w:rsid w:val="00487442"/>
    <w:rsid w:val="004877EB"/>
    <w:rsid w:val="00487BB8"/>
    <w:rsid w:val="00487F28"/>
    <w:rsid w:val="004903B5"/>
    <w:rsid w:val="00490649"/>
    <w:rsid w:val="0049093B"/>
    <w:rsid w:val="00490E94"/>
    <w:rsid w:val="00490EE3"/>
    <w:rsid w:val="0049143D"/>
    <w:rsid w:val="00491728"/>
    <w:rsid w:val="004918A0"/>
    <w:rsid w:val="00491E33"/>
    <w:rsid w:val="00492102"/>
    <w:rsid w:val="004924E5"/>
    <w:rsid w:val="00492619"/>
    <w:rsid w:val="004928ED"/>
    <w:rsid w:val="00492D3C"/>
    <w:rsid w:val="00492EC0"/>
    <w:rsid w:val="00492ECB"/>
    <w:rsid w:val="0049349F"/>
    <w:rsid w:val="004935A4"/>
    <w:rsid w:val="00493D08"/>
    <w:rsid w:val="00494722"/>
    <w:rsid w:val="00494743"/>
    <w:rsid w:val="00494D25"/>
    <w:rsid w:val="00494E4A"/>
    <w:rsid w:val="00494E75"/>
    <w:rsid w:val="00495007"/>
    <w:rsid w:val="00495071"/>
    <w:rsid w:val="00495227"/>
    <w:rsid w:val="004961DB"/>
    <w:rsid w:val="0049653E"/>
    <w:rsid w:val="0049681D"/>
    <w:rsid w:val="00496BEF"/>
    <w:rsid w:val="0049792C"/>
    <w:rsid w:val="00497A67"/>
    <w:rsid w:val="00497F79"/>
    <w:rsid w:val="004A01E1"/>
    <w:rsid w:val="004A05B4"/>
    <w:rsid w:val="004A06D4"/>
    <w:rsid w:val="004A0814"/>
    <w:rsid w:val="004A086E"/>
    <w:rsid w:val="004A0C81"/>
    <w:rsid w:val="004A0E00"/>
    <w:rsid w:val="004A0E98"/>
    <w:rsid w:val="004A15F7"/>
    <w:rsid w:val="004A1600"/>
    <w:rsid w:val="004A1B20"/>
    <w:rsid w:val="004A1D1E"/>
    <w:rsid w:val="004A201F"/>
    <w:rsid w:val="004A23B8"/>
    <w:rsid w:val="004A23C0"/>
    <w:rsid w:val="004A28D4"/>
    <w:rsid w:val="004A28FF"/>
    <w:rsid w:val="004A2908"/>
    <w:rsid w:val="004A2B3D"/>
    <w:rsid w:val="004A2B97"/>
    <w:rsid w:val="004A2BE1"/>
    <w:rsid w:val="004A2E44"/>
    <w:rsid w:val="004A30F7"/>
    <w:rsid w:val="004A366E"/>
    <w:rsid w:val="004A36C0"/>
    <w:rsid w:val="004A36DD"/>
    <w:rsid w:val="004A3AA3"/>
    <w:rsid w:val="004A3F2D"/>
    <w:rsid w:val="004A41E6"/>
    <w:rsid w:val="004A4247"/>
    <w:rsid w:val="004A4635"/>
    <w:rsid w:val="004A4900"/>
    <w:rsid w:val="004A4934"/>
    <w:rsid w:val="004A4C8C"/>
    <w:rsid w:val="004A4D38"/>
    <w:rsid w:val="004A4E7E"/>
    <w:rsid w:val="004A4E95"/>
    <w:rsid w:val="004A5270"/>
    <w:rsid w:val="004A5667"/>
    <w:rsid w:val="004A57FC"/>
    <w:rsid w:val="004A6C23"/>
    <w:rsid w:val="004A705C"/>
    <w:rsid w:val="004A717D"/>
    <w:rsid w:val="004A71FB"/>
    <w:rsid w:val="004A7276"/>
    <w:rsid w:val="004A7447"/>
    <w:rsid w:val="004A74E1"/>
    <w:rsid w:val="004A7805"/>
    <w:rsid w:val="004A7AAA"/>
    <w:rsid w:val="004A7EE7"/>
    <w:rsid w:val="004A7FB0"/>
    <w:rsid w:val="004B028F"/>
    <w:rsid w:val="004B0706"/>
    <w:rsid w:val="004B0770"/>
    <w:rsid w:val="004B0787"/>
    <w:rsid w:val="004B0971"/>
    <w:rsid w:val="004B09A0"/>
    <w:rsid w:val="004B1313"/>
    <w:rsid w:val="004B169E"/>
    <w:rsid w:val="004B191D"/>
    <w:rsid w:val="004B1B53"/>
    <w:rsid w:val="004B1C42"/>
    <w:rsid w:val="004B26FA"/>
    <w:rsid w:val="004B2700"/>
    <w:rsid w:val="004B27E7"/>
    <w:rsid w:val="004B2B31"/>
    <w:rsid w:val="004B2C33"/>
    <w:rsid w:val="004B2CDB"/>
    <w:rsid w:val="004B3125"/>
    <w:rsid w:val="004B3A42"/>
    <w:rsid w:val="004B3C3F"/>
    <w:rsid w:val="004B4372"/>
    <w:rsid w:val="004B4433"/>
    <w:rsid w:val="004B4543"/>
    <w:rsid w:val="004B45A2"/>
    <w:rsid w:val="004B4A0F"/>
    <w:rsid w:val="004B4AA2"/>
    <w:rsid w:val="004B4BF8"/>
    <w:rsid w:val="004B4C67"/>
    <w:rsid w:val="004B50E0"/>
    <w:rsid w:val="004B55EC"/>
    <w:rsid w:val="004B5E6E"/>
    <w:rsid w:val="004B5F75"/>
    <w:rsid w:val="004B6271"/>
    <w:rsid w:val="004B6301"/>
    <w:rsid w:val="004B6A3B"/>
    <w:rsid w:val="004B6FFB"/>
    <w:rsid w:val="004B7851"/>
    <w:rsid w:val="004B795F"/>
    <w:rsid w:val="004B7BA5"/>
    <w:rsid w:val="004C0346"/>
    <w:rsid w:val="004C03CC"/>
    <w:rsid w:val="004C0B5B"/>
    <w:rsid w:val="004C0F99"/>
    <w:rsid w:val="004C130D"/>
    <w:rsid w:val="004C1599"/>
    <w:rsid w:val="004C1624"/>
    <w:rsid w:val="004C188E"/>
    <w:rsid w:val="004C1987"/>
    <w:rsid w:val="004C2371"/>
    <w:rsid w:val="004C2713"/>
    <w:rsid w:val="004C2C4E"/>
    <w:rsid w:val="004C2F01"/>
    <w:rsid w:val="004C3012"/>
    <w:rsid w:val="004C311C"/>
    <w:rsid w:val="004C3472"/>
    <w:rsid w:val="004C34E8"/>
    <w:rsid w:val="004C380B"/>
    <w:rsid w:val="004C3C51"/>
    <w:rsid w:val="004C4384"/>
    <w:rsid w:val="004C47FE"/>
    <w:rsid w:val="004C4BCE"/>
    <w:rsid w:val="004C4BF3"/>
    <w:rsid w:val="004C4F33"/>
    <w:rsid w:val="004C521E"/>
    <w:rsid w:val="004C5230"/>
    <w:rsid w:val="004C586E"/>
    <w:rsid w:val="004C5C61"/>
    <w:rsid w:val="004C5EF0"/>
    <w:rsid w:val="004C60C4"/>
    <w:rsid w:val="004C63D6"/>
    <w:rsid w:val="004C660B"/>
    <w:rsid w:val="004C6627"/>
    <w:rsid w:val="004C6834"/>
    <w:rsid w:val="004C6915"/>
    <w:rsid w:val="004C6D25"/>
    <w:rsid w:val="004C6D4C"/>
    <w:rsid w:val="004C718C"/>
    <w:rsid w:val="004C730E"/>
    <w:rsid w:val="004C7554"/>
    <w:rsid w:val="004C7739"/>
    <w:rsid w:val="004C7BDF"/>
    <w:rsid w:val="004C7D7C"/>
    <w:rsid w:val="004D001B"/>
    <w:rsid w:val="004D0200"/>
    <w:rsid w:val="004D0E42"/>
    <w:rsid w:val="004D171F"/>
    <w:rsid w:val="004D1916"/>
    <w:rsid w:val="004D1A33"/>
    <w:rsid w:val="004D1D64"/>
    <w:rsid w:val="004D2474"/>
    <w:rsid w:val="004D24F2"/>
    <w:rsid w:val="004D2577"/>
    <w:rsid w:val="004D27C4"/>
    <w:rsid w:val="004D2E1A"/>
    <w:rsid w:val="004D2E57"/>
    <w:rsid w:val="004D31C3"/>
    <w:rsid w:val="004D3251"/>
    <w:rsid w:val="004D363A"/>
    <w:rsid w:val="004D44B1"/>
    <w:rsid w:val="004D4968"/>
    <w:rsid w:val="004D4977"/>
    <w:rsid w:val="004D4A8A"/>
    <w:rsid w:val="004D4BEA"/>
    <w:rsid w:val="004D50CC"/>
    <w:rsid w:val="004D58D1"/>
    <w:rsid w:val="004D5989"/>
    <w:rsid w:val="004D5A2A"/>
    <w:rsid w:val="004D5F02"/>
    <w:rsid w:val="004D68C0"/>
    <w:rsid w:val="004D710C"/>
    <w:rsid w:val="004D7448"/>
    <w:rsid w:val="004D7872"/>
    <w:rsid w:val="004D7CAC"/>
    <w:rsid w:val="004E0033"/>
    <w:rsid w:val="004E03BE"/>
    <w:rsid w:val="004E06EA"/>
    <w:rsid w:val="004E07E7"/>
    <w:rsid w:val="004E0CD0"/>
    <w:rsid w:val="004E1260"/>
    <w:rsid w:val="004E1CBB"/>
    <w:rsid w:val="004E1D07"/>
    <w:rsid w:val="004E1F73"/>
    <w:rsid w:val="004E209D"/>
    <w:rsid w:val="004E21D3"/>
    <w:rsid w:val="004E27DC"/>
    <w:rsid w:val="004E2A75"/>
    <w:rsid w:val="004E2C41"/>
    <w:rsid w:val="004E2DA4"/>
    <w:rsid w:val="004E2DF8"/>
    <w:rsid w:val="004E2E33"/>
    <w:rsid w:val="004E2F51"/>
    <w:rsid w:val="004E2F60"/>
    <w:rsid w:val="004E319A"/>
    <w:rsid w:val="004E32FE"/>
    <w:rsid w:val="004E340C"/>
    <w:rsid w:val="004E3579"/>
    <w:rsid w:val="004E3892"/>
    <w:rsid w:val="004E3FD8"/>
    <w:rsid w:val="004E4668"/>
    <w:rsid w:val="004E471C"/>
    <w:rsid w:val="004E47ED"/>
    <w:rsid w:val="004E4E24"/>
    <w:rsid w:val="004E53AE"/>
    <w:rsid w:val="004E5449"/>
    <w:rsid w:val="004E54CE"/>
    <w:rsid w:val="004E5763"/>
    <w:rsid w:val="004E57C6"/>
    <w:rsid w:val="004E58DD"/>
    <w:rsid w:val="004E5C61"/>
    <w:rsid w:val="004E601D"/>
    <w:rsid w:val="004E6158"/>
    <w:rsid w:val="004E6184"/>
    <w:rsid w:val="004E63C9"/>
    <w:rsid w:val="004E6401"/>
    <w:rsid w:val="004E6605"/>
    <w:rsid w:val="004E6CEA"/>
    <w:rsid w:val="004E7339"/>
    <w:rsid w:val="004E7691"/>
    <w:rsid w:val="004E76A5"/>
    <w:rsid w:val="004E7831"/>
    <w:rsid w:val="004E78C3"/>
    <w:rsid w:val="004E7B7F"/>
    <w:rsid w:val="004E7E45"/>
    <w:rsid w:val="004F003D"/>
    <w:rsid w:val="004F01B4"/>
    <w:rsid w:val="004F020A"/>
    <w:rsid w:val="004F080C"/>
    <w:rsid w:val="004F09DD"/>
    <w:rsid w:val="004F0C82"/>
    <w:rsid w:val="004F133C"/>
    <w:rsid w:val="004F13D2"/>
    <w:rsid w:val="004F1A00"/>
    <w:rsid w:val="004F1D32"/>
    <w:rsid w:val="004F2826"/>
    <w:rsid w:val="004F2AA6"/>
    <w:rsid w:val="004F2B9C"/>
    <w:rsid w:val="004F2CCE"/>
    <w:rsid w:val="004F2D1C"/>
    <w:rsid w:val="004F2D47"/>
    <w:rsid w:val="004F33A9"/>
    <w:rsid w:val="004F359A"/>
    <w:rsid w:val="004F3CEA"/>
    <w:rsid w:val="004F3DD1"/>
    <w:rsid w:val="004F4000"/>
    <w:rsid w:val="004F40F1"/>
    <w:rsid w:val="004F46D8"/>
    <w:rsid w:val="004F4760"/>
    <w:rsid w:val="004F4DAC"/>
    <w:rsid w:val="004F4E25"/>
    <w:rsid w:val="004F4E53"/>
    <w:rsid w:val="004F4EA3"/>
    <w:rsid w:val="004F4EBA"/>
    <w:rsid w:val="004F56E7"/>
    <w:rsid w:val="004F58AB"/>
    <w:rsid w:val="004F64AD"/>
    <w:rsid w:val="004F66FA"/>
    <w:rsid w:val="004F67A9"/>
    <w:rsid w:val="004F68F9"/>
    <w:rsid w:val="004F6999"/>
    <w:rsid w:val="004F6AFE"/>
    <w:rsid w:val="004F6F20"/>
    <w:rsid w:val="004F713B"/>
    <w:rsid w:val="004F7373"/>
    <w:rsid w:val="004F73A5"/>
    <w:rsid w:val="004F76A6"/>
    <w:rsid w:val="004F78C3"/>
    <w:rsid w:val="004F7B29"/>
    <w:rsid w:val="004F7C51"/>
    <w:rsid w:val="004F7CE6"/>
    <w:rsid w:val="004F7F1A"/>
    <w:rsid w:val="0050031C"/>
    <w:rsid w:val="005004F7"/>
    <w:rsid w:val="00500798"/>
    <w:rsid w:val="005007E7"/>
    <w:rsid w:val="00500A59"/>
    <w:rsid w:val="00500D5B"/>
    <w:rsid w:val="005012BB"/>
    <w:rsid w:val="0050132F"/>
    <w:rsid w:val="00501723"/>
    <w:rsid w:val="0050192A"/>
    <w:rsid w:val="00501A8C"/>
    <w:rsid w:val="00501F0D"/>
    <w:rsid w:val="0050223A"/>
    <w:rsid w:val="00502320"/>
    <w:rsid w:val="0050259B"/>
    <w:rsid w:val="00502877"/>
    <w:rsid w:val="005029A2"/>
    <w:rsid w:val="00502A40"/>
    <w:rsid w:val="00502FCA"/>
    <w:rsid w:val="00503104"/>
    <w:rsid w:val="005033B7"/>
    <w:rsid w:val="005035E7"/>
    <w:rsid w:val="005038A7"/>
    <w:rsid w:val="00503B71"/>
    <w:rsid w:val="00503C88"/>
    <w:rsid w:val="00503E69"/>
    <w:rsid w:val="00503EC2"/>
    <w:rsid w:val="00503FAD"/>
    <w:rsid w:val="00504639"/>
    <w:rsid w:val="005050F8"/>
    <w:rsid w:val="00505850"/>
    <w:rsid w:val="00505961"/>
    <w:rsid w:val="00505A2A"/>
    <w:rsid w:val="00505B90"/>
    <w:rsid w:val="00505D65"/>
    <w:rsid w:val="00505E39"/>
    <w:rsid w:val="0050614B"/>
    <w:rsid w:val="00506571"/>
    <w:rsid w:val="00506A8D"/>
    <w:rsid w:val="00506C2E"/>
    <w:rsid w:val="00506D3B"/>
    <w:rsid w:val="005074C9"/>
    <w:rsid w:val="00507754"/>
    <w:rsid w:val="00507816"/>
    <w:rsid w:val="0050785D"/>
    <w:rsid w:val="00507CAF"/>
    <w:rsid w:val="00510374"/>
    <w:rsid w:val="00510444"/>
    <w:rsid w:val="00510753"/>
    <w:rsid w:val="005109F8"/>
    <w:rsid w:val="00510B25"/>
    <w:rsid w:val="00510EC2"/>
    <w:rsid w:val="005118DD"/>
    <w:rsid w:val="00511B42"/>
    <w:rsid w:val="00511CAC"/>
    <w:rsid w:val="00511E67"/>
    <w:rsid w:val="0051227E"/>
    <w:rsid w:val="005124B0"/>
    <w:rsid w:val="00512747"/>
    <w:rsid w:val="0051317C"/>
    <w:rsid w:val="00513825"/>
    <w:rsid w:val="005138DA"/>
    <w:rsid w:val="00513F8F"/>
    <w:rsid w:val="005143E2"/>
    <w:rsid w:val="00514455"/>
    <w:rsid w:val="005147E7"/>
    <w:rsid w:val="00514882"/>
    <w:rsid w:val="005148FE"/>
    <w:rsid w:val="005149A2"/>
    <w:rsid w:val="00514CEE"/>
    <w:rsid w:val="005150E4"/>
    <w:rsid w:val="00515271"/>
    <w:rsid w:val="00515907"/>
    <w:rsid w:val="00515E2B"/>
    <w:rsid w:val="00516B96"/>
    <w:rsid w:val="00516D2A"/>
    <w:rsid w:val="00517186"/>
    <w:rsid w:val="0051739D"/>
    <w:rsid w:val="005173A4"/>
    <w:rsid w:val="0051770E"/>
    <w:rsid w:val="0052001B"/>
    <w:rsid w:val="005200E6"/>
    <w:rsid w:val="00520278"/>
    <w:rsid w:val="005205C8"/>
    <w:rsid w:val="005205D5"/>
    <w:rsid w:val="00520A4F"/>
    <w:rsid w:val="00521D65"/>
    <w:rsid w:val="005221A4"/>
    <w:rsid w:val="00522400"/>
    <w:rsid w:val="0052248A"/>
    <w:rsid w:val="005224CA"/>
    <w:rsid w:val="005226AB"/>
    <w:rsid w:val="005227EA"/>
    <w:rsid w:val="00523366"/>
    <w:rsid w:val="00523E18"/>
    <w:rsid w:val="00523F32"/>
    <w:rsid w:val="0052422C"/>
    <w:rsid w:val="005244D5"/>
    <w:rsid w:val="005245A9"/>
    <w:rsid w:val="005248C4"/>
    <w:rsid w:val="00524AD1"/>
    <w:rsid w:val="00524B43"/>
    <w:rsid w:val="00524D2A"/>
    <w:rsid w:val="00524E6A"/>
    <w:rsid w:val="005251DA"/>
    <w:rsid w:val="005251F6"/>
    <w:rsid w:val="00525407"/>
    <w:rsid w:val="0052543E"/>
    <w:rsid w:val="00525F16"/>
    <w:rsid w:val="00525F71"/>
    <w:rsid w:val="00526270"/>
    <w:rsid w:val="005266A9"/>
    <w:rsid w:val="005269C2"/>
    <w:rsid w:val="00526C8A"/>
    <w:rsid w:val="00526E5A"/>
    <w:rsid w:val="00526E75"/>
    <w:rsid w:val="00527192"/>
    <w:rsid w:val="00527489"/>
    <w:rsid w:val="0053012B"/>
    <w:rsid w:val="0053058D"/>
    <w:rsid w:val="00530AFD"/>
    <w:rsid w:val="00530FF3"/>
    <w:rsid w:val="00531113"/>
    <w:rsid w:val="0053173A"/>
    <w:rsid w:val="00531824"/>
    <w:rsid w:val="005318B6"/>
    <w:rsid w:val="00531AF4"/>
    <w:rsid w:val="00531F71"/>
    <w:rsid w:val="00532462"/>
    <w:rsid w:val="00532B16"/>
    <w:rsid w:val="00532C9D"/>
    <w:rsid w:val="00532DBB"/>
    <w:rsid w:val="00533215"/>
    <w:rsid w:val="005334E4"/>
    <w:rsid w:val="005338BD"/>
    <w:rsid w:val="0053394F"/>
    <w:rsid w:val="005339A3"/>
    <w:rsid w:val="00533B6D"/>
    <w:rsid w:val="0053405D"/>
    <w:rsid w:val="00534451"/>
    <w:rsid w:val="00534695"/>
    <w:rsid w:val="005347FB"/>
    <w:rsid w:val="005348FE"/>
    <w:rsid w:val="005349EB"/>
    <w:rsid w:val="00534AA6"/>
    <w:rsid w:val="00534C83"/>
    <w:rsid w:val="00534C99"/>
    <w:rsid w:val="005354A1"/>
    <w:rsid w:val="00535590"/>
    <w:rsid w:val="005357B3"/>
    <w:rsid w:val="00535A20"/>
    <w:rsid w:val="00535A27"/>
    <w:rsid w:val="00535BE9"/>
    <w:rsid w:val="00535C00"/>
    <w:rsid w:val="00535D4C"/>
    <w:rsid w:val="0053637E"/>
    <w:rsid w:val="00536752"/>
    <w:rsid w:val="00536AEE"/>
    <w:rsid w:val="00537BE9"/>
    <w:rsid w:val="00537E22"/>
    <w:rsid w:val="00540147"/>
    <w:rsid w:val="005402B2"/>
    <w:rsid w:val="005405D3"/>
    <w:rsid w:val="005408F9"/>
    <w:rsid w:val="005409DC"/>
    <w:rsid w:val="00540C54"/>
    <w:rsid w:val="00540EB6"/>
    <w:rsid w:val="00541096"/>
    <w:rsid w:val="005417A0"/>
    <w:rsid w:val="0054199D"/>
    <w:rsid w:val="00541D8A"/>
    <w:rsid w:val="00541E2B"/>
    <w:rsid w:val="005424B2"/>
    <w:rsid w:val="00542F16"/>
    <w:rsid w:val="00543639"/>
    <w:rsid w:val="005436D7"/>
    <w:rsid w:val="00543703"/>
    <w:rsid w:val="00543867"/>
    <w:rsid w:val="00543A66"/>
    <w:rsid w:val="00543A83"/>
    <w:rsid w:val="00544220"/>
    <w:rsid w:val="00544284"/>
    <w:rsid w:val="005444D2"/>
    <w:rsid w:val="00544C33"/>
    <w:rsid w:val="0054556F"/>
    <w:rsid w:val="005458CC"/>
    <w:rsid w:val="00545A3E"/>
    <w:rsid w:val="00545B4E"/>
    <w:rsid w:val="00545C3D"/>
    <w:rsid w:val="00545DA4"/>
    <w:rsid w:val="00545E6A"/>
    <w:rsid w:val="00546310"/>
    <w:rsid w:val="00546738"/>
    <w:rsid w:val="005467D6"/>
    <w:rsid w:val="00546922"/>
    <w:rsid w:val="00546942"/>
    <w:rsid w:val="00546A1F"/>
    <w:rsid w:val="00546A81"/>
    <w:rsid w:val="00547123"/>
    <w:rsid w:val="00550047"/>
    <w:rsid w:val="00550470"/>
    <w:rsid w:val="005504D9"/>
    <w:rsid w:val="00550C45"/>
    <w:rsid w:val="00550C5D"/>
    <w:rsid w:val="00550C80"/>
    <w:rsid w:val="00550D6F"/>
    <w:rsid w:val="00550E94"/>
    <w:rsid w:val="005511B1"/>
    <w:rsid w:val="005513A2"/>
    <w:rsid w:val="0055190B"/>
    <w:rsid w:val="00551E1E"/>
    <w:rsid w:val="00551E52"/>
    <w:rsid w:val="00552038"/>
    <w:rsid w:val="0055217E"/>
    <w:rsid w:val="0055233E"/>
    <w:rsid w:val="00552569"/>
    <w:rsid w:val="005526F2"/>
    <w:rsid w:val="005529D8"/>
    <w:rsid w:val="00552AE7"/>
    <w:rsid w:val="00552B8F"/>
    <w:rsid w:val="00552C4A"/>
    <w:rsid w:val="00552FF4"/>
    <w:rsid w:val="0055348F"/>
    <w:rsid w:val="00553DFF"/>
    <w:rsid w:val="0055410A"/>
    <w:rsid w:val="005543EE"/>
    <w:rsid w:val="005547CB"/>
    <w:rsid w:val="00554DF7"/>
    <w:rsid w:val="005552D8"/>
    <w:rsid w:val="005553FF"/>
    <w:rsid w:val="00555675"/>
    <w:rsid w:val="00555713"/>
    <w:rsid w:val="00555772"/>
    <w:rsid w:val="00555C03"/>
    <w:rsid w:val="00555D6F"/>
    <w:rsid w:val="00555DC4"/>
    <w:rsid w:val="00556680"/>
    <w:rsid w:val="005567AA"/>
    <w:rsid w:val="005567BF"/>
    <w:rsid w:val="005569D2"/>
    <w:rsid w:val="00557065"/>
    <w:rsid w:val="005570E7"/>
    <w:rsid w:val="0055718D"/>
    <w:rsid w:val="00557464"/>
    <w:rsid w:val="00557541"/>
    <w:rsid w:val="0055771C"/>
    <w:rsid w:val="00557CAB"/>
    <w:rsid w:val="005608D5"/>
    <w:rsid w:val="00560955"/>
    <w:rsid w:val="00560AC9"/>
    <w:rsid w:val="00560DDA"/>
    <w:rsid w:val="00560F9A"/>
    <w:rsid w:val="00561250"/>
    <w:rsid w:val="0056134D"/>
    <w:rsid w:val="005617E8"/>
    <w:rsid w:val="00561A95"/>
    <w:rsid w:val="00561BF6"/>
    <w:rsid w:val="00561E4A"/>
    <w:rsid w:val="005625FE"/>
    <w:rsid w:val="00562C27"/>
    <w:rsid w:val="00562CDC"/>
    <w:rsid w:val="00563855"/>
    <w:rsid w:val="00563C64"/>
    <w:rsid w:val="00563D83"/>
    <w:rsid w:val="00563FD2"/>
    <w:rsid w:val="0056434D"/>
    <w:rsid w:val="0056484F"/>
    <w:rsid w:val="00564ED6"/>
    <w:rsid w:val="005650BF"/>
    <w:rsid w:val="005652E4"/>
    <w:rsid w:val="00565679"/>
    <w:rsid w:val="0056620B"/>
    <w:rsid w:val="00566219"/>
    <w:rsid w:val="0056636D"/>
    <w:rsid w:val="005666AD"/>
    <w:rsid w:val="00566A42"/>
    <w:rsid w:val="00566E05"/>
    <w:rsid w:val="0056719E"/>
    <w:rsid w:val="005676E3"/>
    <w:rsid w:val="005701C5"/>
    <w:rsid w:val="005701F8"/>
    <w:rsid w:val="005703E3"/>
    <w:rsid w:val="0057043C"/>
    <w:rsid w:val="0057054C"/>
    <w:rsid w:val="005706C1"/>
    <w:rsid w:val="00570825"/>
    <w:rsid w:val="005708C3"/>
    <w:rsid w:val="005708C6"/>
    <w:rsid w:val="00570C83"/>
    <w:rsid w:val="00570D79"/>
    <w:rsid w:val="00570D85"/>
    <w:rsid w:val="00570E9B"/>
    <w:rsid w:val="005710C7"/>
    <w:rsid w:val="0057110E"/>
    <w:rsid w:val="00571115"/>
    <w:rsid w:val="0057128C"/>
    <w:rsid w:val="00571358"/>
    <w:rsid w:val="00571382"/>
    <w:rsid w:val="00572370"/>
    <w:rsid w:val="00572583"/>
    <w:rsid w:val="00572643"/>
    <w:rsid w:val="00572E58"/>
    <w:rsid w:val="00572F26"/>
    <w:rsid w:val="00572F28"/>
    <w:rsid w:val="005730FF"/>
    <w:rsid w:val="0057317F"/>
    <w:rsid w:val="005732CD"/>
    <w:rsid w:val="005732F8"/>
    <w:rsid w:val="0057337E"/>
    <w:rsid w:val="0057380A"/>
    <w:rsid w:val="00573948"/>
    <w:rsid w:val="00573BB0"/>
    <w:rsid w:val="00573CB8"/>
    <w:rsid w:val="00573D2B"/>
    <w:rsid w:val="00573F24"/>
    <w:rsid w:val="00574167"/>
    <w:rsid w:val="00574886"/>
    <w:rsid w:val="005748AD"/>
    <w:rsid w:val="00574923"/>
    <w:rsid w:val="00574B86"/>
    <w:rsid w:val="00575224"/>
    <w:rsid w:val="005753BB"/>
    <w:rsid w:val="005753BD"/>
    <w:rsid w:val="005753DB"/>
    <w:rsid w:val="005755C2"/>
    <w:rsid w:val="005758BA"/>
    <w:rsid w:val="00575D99"/>
    <w:rsid w:val="00575E27"/>
    <w:rsid w:val="00575EC1"/>
    <w:rsid w:val="00575F55"/>
    <w:rsid w:val="00576050"/>
    <w:rsid w:val="0057681E"/>
    <w:rsid w:val="00576A37"/>
    <w:rsid w:val="00576C34"/>
    <w:rsid w:val="00576D95"/>
    <w:rsid w:val="00576DD6"/>
    <w:rsid w:val="00576F31"/>
    <w:rsid w:val="00576FC7"/>
    <w:rsid w:val="00577368"/>
    <w:rsid w:val="005777AC"/>
    <w:rsid w:val="00577BE4"/>
    <w:rsid w:val="00577EB4"/>
    <w:rsid w:val="00577F3D"/>
    <w:rsid w:val="00580282"/>
    <w:rsid w:val="005809EB"/>
    <w:rsid w:val="00580E45"/>
    <w:rsid w:val="005815D2"/>
    <w:rsid w:val="005818D4"/>
    <w:rsid w:val="005819D7"/>
    <w:rsid w:val="00581F00"/>
    <w:rsid w:val="00581F40"/>
    <w:rsid w:val="005829CC"/>
    <w:rsid w:val="00582E3D"/>
    <w:rsid w:val="00583147"/>
    <w:rsid w:val="00583526"/>
    <w:rsid w:val="005836D0"/>
    <w:rsid w:val="00583B29"/>
    <w:rsid w:val="00583C6C"/>
    <w:rsid w:val="00583E78"/>
    <w:rsid w:val="00584496"/>
    <w:rsid w:val="00584F8D"/>
    <w:rsid w:val="00585338"/>
    <w:rsid w:val="0058564A"/>
    <w:rsid w:val="00585932"/>
    <w:rsid w:val="005859D4"/>
    <w:rsid w:val="00585A7B"/>
    <w:rsid w:val="00585C3A"/>
    <w:rsid w:val="0058628A"/>
    <w:rsid w:val="005863AF"/>
    <w:rsid w:val="00586897"/>
    <w:rsid w:val="00587117"/>
    <w:rsid w:val="0058759B"/>
    <w:rsid w:val="00587649"/>
    <w:rsid w:val="0058764D"/>
    <w:rsid w:val="00590203"/>
    <w:rsid w:val="00590BF6"/>
    <w:rsid w:val="005915AB"/>
    <w:rsid w:val="005915B4"/>
    <w:rsid w:val="00591777"/>
    <w:rsid w:val="00591B9C"/>
    <w:rsid w:val="00591E71"/>
    <w:rsid w:val="00591E92"/>
    <w:rsid w:val="00592160"/>
    <w:rsid w:val="005923C9"/>
    <w:rsid w:val="0059284F"/>
    <w:rsid w:val="00592891"/>
    <w:rsid w:val="00593396"/>
    <w:rsid w:val="00593F19"/>
    <w:rsid w:val="00594131"/>
    <w:rsid w:val="00594360"/>
    <w:rsid w:val="005943C6"/>
    <w:rsid w:val="0059441D"/>
    <w:rsid w:val="00594819"/>
    <w:rsid w:val="00594951"/>
    <w:rsid w:val="005954F2"/>
    <w:rsid w:val="00595777"/>
    <w:rsid w:val="00595BC4"/>
    <w:rsid w:val="00595E99"/>
    <w:rsid w:val="00596115"/>
    <w:rsid w:val="00596308"/>
    <w:rsid w:val="005968C4"/>
    <w:rsid w:val="005968F0"/>
    <w:rsid w:val="00596A56"/>
    <w:rsid w:val="00597097"/>
    <w:rsid w:val="005970DB"/>
    <w:rsid w:val="0059715B"/>
    <w:rsid w:val="0059737F"/>
    <w:rsid w:val="005973C7"/>
    <w:rsid w:val="005973CD"/>
    <w:rsid w:val="00597605"/>
    <w:rsid w:val="00597942"/>
    <w:rsid w:val="00597A36"/>
    <w:rsid w:val="00597E86"/>
    <w:rsid w:val="005A05C6"/>
    <w:rsid w:val="005A05DF"/>
    <w:rsid w:val="005A0753"/>
    <w:rsid w:val="005A0CB6"/>
    <w:rsid w:val="005A129E"/>
    <w:rsid w:val="005A1D03"/>
    <w:rsid w:val="005A2174"/>
    <w:rsid w:val="005A2229"/>
    <w:rsid w:val="005A2BB3"/>
    <w:rsid w:val="005A2E7A"/>
    <w:rsid w:val="005A320D"/>
    <w:rsid w:val="005A36E3"/>
    <w:rsid w:val="005A3834"/>
    <w:rsid w:val="005A38FE"/>
    <w:rsid w:val="005A3A31"/>
    <w:rsid w:val="005A3AF1"/>
    <w:rsid w:val="005A3B1E"/>
    <w:rsid w:val="005A40D5"/>
    <w:rsid w:val="005A438E"/>
    <w:rsid w:val="005A4999"/>
    <w:rsid w:val="005A49C4"/>
    <w:rsid w:val="005A4E38"/>
    <w:rsid w:val="005A50CE"/>
    <w:rsid w:val="005A588D"/>
    <w:rsid w:val="005A59CF"/>
    <w:rsid w:val="005A6A3A"/>
    <w:rsid w:val="005A6FA1"/>
    <w:rsid w:val="005A7E8A"/>
    <w:rsid w:val="005A7F72"/>
    <w:rsid w:val="005B030E"/>
    <w:rsid w:val="005B0604"/>
    <w:rsid w:val="005B08FF"/>
    <w:rsid w:val="005B1352"/>
    <w:rsid w:val="005B1F54"/>
    <w:rsid w:val="005B2D4D"/>
    <w:rsid w:val="005B2EB8"/>
    <w:rsid w:val="005B355C"/>
    <w:rsid w:val="005B3C58"/>
    <w:rsid w:val="005B3C7C"/>
    <w:rsid w:val="005B4911"/>
    <w:rsid w:val="005B49B9"/>
    <w:rsid w:val="005B4C5C"/>
    <w:rsid w:val="005B4E3D"/>
    <w:rsid w:val="005B4E83"/>
    <w:rsid w:val="005B53DB"/>
    <w:rsid w:val="005B541A"/>
    <w:rsid w:val="005B5425"/>
    <w:rsid w:val="005B54FE"/>
    <w:rsid w:val="005B5A4A"/>
    <w:rsid w:val="005B5A55"/>
    <w:rsid w:val="005B5D1D"/>
    <w:rsid w:val="005B6404"/>
    <w:rsid w:val="005B6E03"/>
    <w:rsid w:val="005B6FAE"/>
    <w:rsid w:val="005B703E"/>
    <w:rsid w:val="005B70E8"/>
    <w:rsid w:val="005B7824"/>
    <w:rsid w:val="005C0625"/>
    <w:rsid w:val="005C0904"/>
    <w:rsid w:val="005C09BF"/>
    <w:rsid w:val="005C0D61"/>
    <w:rsid w:val="005C0DDE"/>
    <w:rsid w:val="005C11DA"/>
    <w:rsid w:val="005C1225"/>
    <w:rsid w:val="005C132F"/>
    <w:rsid w:val="005C1752"/>
    <w:rsid w:val="005C1894"/>
    <w:rsid w:val="005C2144"/>
    <w:rsid w:val="005C3015"/>
    <w:rsid w:val="005C3016"/>
    <w:rsid w:val="005C376D"/>
    <w:rsid w:val="005C3A65"/>
    <w:rsid w:val="005C3CDF"/>
    <w:rsid w:val="005C44D1"/>
    <w:rsid w:val="005C45E0"/>
    <w:rsid w:val="005C4A30"/>
    <w:rsid w:val="005C4B4D"/>
    <w:rsid w:val="005C4DE3"/>
    <w:rsid w:val="005C4EA1"/>
    <w:rsid w:val="005C5379"/>
    <w:rsid w:val="005C56B4"/>
    <w:rsid w:val="005C5769"/>
    <w:rsid w:val="005C5849"/>
    <w:rsid w:val="005C59BA"/>
    <w:rsid w:val="005C63F0"/>
    <w:rsid w:val="005C68E1"/>
    <w:rsid w:val="005C698C"/>
    <w:rsid w:val="005C7027"/>
    <w:rsid w:val="005C7340"/>
    <w:rsid w:val="005C77F4"/>
    <w:rsid w:val="005C7A54"/>
    <w:rsid w:val="005C7CAD"/>
    <w:rsid w:val="005C7EF8"/>
    <w:rsid w:val="005D0102"/>
    <w:rsid w:val="005D02FA"/>
    <w:rsid w:val="005D047B"/>
    <w:rsid w:val="005D0790"/>
    <w:rsid w:val="005D12A2"/>
    <w:rsid w:val="005D1F85"/>
    <w:rsid w:val="005D20FC"/>
    <w:rsid w:val="005D241F"/>
    <w:rsid w:val="005D24A2"/>
    <w:rsid w:val="005D26D7"/>
    <w:rsid w:val="005D2990"/>
    <w:rsid w:val="005D2A49"/>
    <w:rsid w:val="005D2A80"/>
    <w:rsid w:val="005D2AAC"/>
    <w:rsid w:val="005D2B7E"/>
    <w:rsid w:val="005D2EE8"/>
    <w:rsid w:val="005D304E"/>
    <w:rsid w:val="005D31D3"/>
    <w:rsid w:val="005D379C"/>
    <w:rsid w:val="005D3894"/>
    <w:rsid w:val="005D3897"/>
    <w:rsid w:val="005D39A2"/>
    <w:rsid w:val="005D3EA6"/>
    <w:rsid w:val="005D423F"/>
    <w:rsid w:val="005D4764"/>
    <w:rsid w:val="005D495D"/>
    <w:rsid w:val="005D5499"/>
    <w:rsid w:val="005D55C2"/>
    <w:rsid w:val="005D576B"/>
    <w:rsid w:val="005D594D"/>
    <w:rsid w:val="005D5E46"/>
    <w:rsid w:val="005D609E"/>
    <w:rsid w:val="005D610E"/>
    <w:rsid w:val="005D64A5"/>
    <w:rsid w:val="005D6929"/>
    <w:rsid w:val="005D69E8"/>
    <w:rsid w:val="005D6B30"/>
    <w:rsid w:val="005D6E1C"/>
    <w:rsid w:val="005D70C9"/>
    <w:rsid w:val="005D729E"/>
    <w:rsid w:val="005D7741"/>
    <w:rsid w:val="005D7E04"/>
    <w:rsid w:val="005E0082"/>
    <w:rsid w:val="005E0128"/>
    <w:rsid w:val="005E02D6"/>
    <w:rsid w:val="005E11F9"/>
    <w:rsid w:val="005E1385"/>
    <w:rsid w:val="005E1393"/>
    <w:rsid w:val="005E1987"/>
    <w:rsid w:val="005E1A58"/>
    <w:rsid w:val="005E1C06"/>
    <w:rsid w:val="005E1D4D"/>
    <w:rsid w:val="005E23CC"/>
    <w:rsid w:val="005E2E2C"/>
    <w:rsid w:val="005E2FA0"/>
    <w:rsid w:val="005E308C"/>
    <w:rsid w:val="005E35FD"/>
    <w:rsid w:val="005E383F"/>
    <w:rsid w:val="005E3CA2"/>
    <w:rsid w:val="005E4010"/>
    <w:rsid w:val="005E45DF"/>
    <w:rsid w:val="005E48F7"/>
    <w:rsid w:val="005E4F80"/>
    <w:rsid w:val="005E4FBD"/>
    <w:rsid w:val="005E5009"/>
    <w:rsid w:val="005E5486"/>
    <w:rsid w:val="005E5563"/>
    <w:rsid w:val="005E580A"/>
    <w:rsid w:val="005E5896"/>
    <w:rsid w:val="005E6444"/>
    <w:rsid w:val="005E66F1"/>
    <w:rsid w:val="005E6888"/>
    <w:rsid w:val="005E6AFB"/>
    <w:rsid w:val="005E7567"/>
    <w:rsid w:val="005E7698"/>
    <w:rsid w:val="005E76D5"/>
    <w:rsid w:val="005E76F5"/>
    <w:rsid w:val="005E7C06"/>
    <w:rsid w:val="005E7DF4"/>
    <w:rsid w:val="005E7FB6"/>
    <w:rsid w:val="005F0129"/>
    <w:rsid w:val="005F031E"/>
    <w:rsid w:val="005F0B4C"/>
    <w:rsid w:val="005F0B53"/>
    <w:rsid w:val="005F0C46"/>
    <w:rsid w:val="005F15BA"/>
    <w:rsid w:val="005F179F"/>
    <w:rsid w:val="005F1E42"/>
    <w:rsid w:val="005F1FE4"/>
    <w:rsid w:val="005F25D2"/>
    <w:rsid w:val="005F2CD8"/>
    <w:rsid w:val="005F327D"/>
    <w:rsid w:val="005F369B"/>
    <w:rsid w:val="005F3F7F"/>
    <w:rsid w:val="005F401B"/>
    <w:rsid w:val="005F40E5"/>
    <w:rsid w:val="005F42B8"/>
    <w:rsid w:val="005F4364"/>
    <w:rsid w:val="005F46D9"/>
    <w:rsid w:val="005F4950"/>
    <w:rsid w:val="005F509E"/>
    <w:rsid w:val="005F51DA"/>
    <w:rsid w:val="005F660A"/>
    <w:rsid w:val="005F6697"/>
    <w:rsid w:val="005F6C51"/>
    <w:rsid w:val="005F6F9C"/>
    <w:rsid w:val="005F6FFC"/>
    <w:rsid w:val="005F7311"/>
    <w:rsid w:val="005F7504"/>
    <w:rsid w:val="005F7B32"/>
    <w:rsid w:val="005F7F11"/>
    <w:rsid w:val="006004DE"/>
    <w:rsid w:val="00600860"/>
    <w:rsid w:val="006008BE"/>
    <w:rsid w:val="00600ECF"/>
    <w:rsid w:val="00601023"/>
    <w:rsid w:val="00601072"/>
    <w:rsid w:val="0060144E"/>
    <w:rsid w:val="00601486"/>
    <w:rsid w:val="0060168C"/>
    <w:rsid w:val="00601754"/>
    <w:rsid w:val="00601D4D"/>
    <w:rsid w:val="00601DFE"/>
    <w:rsid w:val="00601E39"/>
    <w:rsid w:val="00601FCD"/>
    <w:rsid w:val="006020B1"/>
    <w:rsid w:val="00602354"/>
    <w:rsid w:val="0060241D"/>
    <w:rsid w:val="0060254B"/>
    <w:rsid w:val="006025E1"/>
    <w:rsid w:val="0060268D"/>
    <w:rsid w:val="006026F1"/>
    <w:rsid w:val="0060318C"/>
    <w:rsid w:val="00603565"/>
    <w:rsid w:val="00603648"/>
    <w:rsid w:val="006039C5"/>
    <w:rsid w:val="00603B1B"/>
    <w:rsid w:val="00604148"/>
    <w:rsid w:val="0060419F"/>
    <w:rsid w:val="006043D7"/>
    <w:rsid w:val="00604594"/>
    <w:rsid w:val="00604708"/>
    <w:rsid w:val="00604727"/>
    <w:rsid w:val="00604AAE"/>
    <w:rsid w:val="00604CFF"/>
    <w:rsid w:val="00604F9E"/>
    <w:rsid w:val="00605207"/>
    <w:rsid w:val="00605399"/>
    <w:rsid w:val="006054EE"/>
    <w:rsid w:val="0060591D"/>
    <w:rsid w:val="0060594E"/>
    <w:rsid w:val="006059EC"/>
    <w:rsid w:val="00605A2C"/>
    <w:rsid w:val="00605B5D"/>
    <w:rsid w:val="0060632A"/>
    <w:rsid w:val="006065FC"/>
    <w:rsid w:val="006068B9"/>
    <w:rsid w:val="00606CB6"/>
    <w:rsid w:val="00606D2C"/>
    <w:rsid w:val="00607039"/>
    <w:rsid w:val="006074B1"/>
    <w:rsid w:val="00607504"/>
    <w:rsid w:val="006079D8"/>
    <w:rsid w:val="00607ADE"/>
    <w:rsid w:val="00607E68"/>
    <w:rsid w:val="006101AC"/>
    <w:rsid w:val="006102C6"/>
    <w:rsid w:val="006103F0"/>
    <w:rsid w:val="00611034"/>
    <w:rsid w:val="006113A9"/>
    <w:rsid w:val="00611960"/>
    <w:rsid w:val="0061262E"/>
    <w:rsid w:val="006126E9"/>
    <w:rsid w:val="006128B4"/>
    <w:rsid w:val="00612BD9"/>
    <w:rsid w:val="00612C73"/>
    <w:rsid w:val="00612D12"/>
    <w:rsid w:val="00613036"/>
    <w:rsid w:val="006134CE"/>
    <w:rsid w:val="0061367D"/>
    <w:rsid w:val="006138D8"/>
    <w:rsid w:val="00613A19"/>
    <w:rsid w:val="00613E28"/>
    <w:rsid w:val="00614064"/>
    <w:rsid w:val="00614096"/>
    <w:rsid w:val="006141D8"/>
    <w:rsid w:val="00614263"/>
    <w:rsid w:val="0061431C"/>
    <w:rsid w:val="006149B2"/>
    <w:rsid w:val="00614CB4"/>
    <w:rsid w:val="00614D1E"/>
    <w:rsid w:val="00614D3B"/>
    <w:rsid w:val="0061524B"/>
    <w:rsid w:val="0061565F"/>
    <w:rsid w:val="006157CF"/>
    <w:rsid w:val="00615BDB"/>
    <w:rsid w:val="006162DC"/>
    <w:rsid w:val="00616449"/>
    <w:rsid w:val="0061659C"/>
    <w:rsid w:val="00616885"/>
    <w:rsid w:val="00616893"/>
    <w:rsid w:val="0061717F"/>
    <w:rsid w:val="006171DC"/>
    <w:rsid w:val="006175CF"/>
    <w:rsid w:val="00620172"/>
    <w:rsid w:val="006201A2"/>
    <w:rsid w:val="00620254"/>
    <w:rsid w:val="006204D8"/>
    <w:rsid w:val="006205D1"/>
    <w:rsid w:val="00620686"/>
    <w:rsid w:val="006206D7"/>
    <w:rsid w:val="006209E8"/>
    <w:rsid w:val="00621626"/>
    <w:rsid w:val="00621A70"/>
    <w:rsid w:val="00621B6A"/>
    <w:rsid w:val="00621C0B"/>
    <w:rsid w:val="00621C72"/>
    <w:rsid w:val="00621CAD"/>
    <w:rsid w:val="0062286B"/>
    <w:rsid w:val="00623427"/>
    <w:rsid w:val="00623E94"/>
    <w:rsid w:val="00623EF3"/>
    <w:rsid w:val="0062424C"/>
    <w:rsid w:val="0062427E"/>
    <w:rsid w:val="0062489A"/>
    <w:rsid w:val="00624AFA"/>
    <w:rsid w:val="00624C6E"/>
    <w:rsid w:val="00624FB3"/>
    <w:rsid w:val="006250F7"/>
    <w:rsid w:val="00625160"/>
    <w:rsid w:val="006253DA"/>
    <w:rsid w:val="00625B24"/>
    <w:rsid w:val="0062657C"/>
    <w:rsid w:val="00626C25"/>
    <w:rsid w:val="00626E64"/>
    <w:rsid w:val="00626EFA"/>
    <w:rsid w:val="00627654"/>
    <w:rsid w:val="0062788D"/>
    <w:rsid w:val="00627BA3"/>
    <w:rsid w:val="00627C39"/>
    <w:rsid w:val="00627E44"/>
    <w:rsid w:val="00627F78"/>
    <w:rsid w:val="006300D7"/>
    <w:rsid w:val="006307B1"/>
    <w:rsid w:val="00630B9E"/>
    <w:rsid w:val="00630C47"/>
    <w:rsid w:val="00631007"/>
    <w:rsid w:val="00631692"/>
    <w:rsid w:val="00631826"/>
    <w:rsid w:val="00631C1D"/>
    <w:rsid w:val="00631DA3"/>
    <w:rsid w:val="00631E84"/>
    <w:rsid w:val="00632107"/>
    <w:rsid w:val="00632507"/>
    <w:rsid w:val="006326BC"/>
    <w:rsid w:val="00632927"/>
    <w:rsid w:val="00632A0E"/>
    <w:rsid w:val="00632A4C"/>
    <w:rsid w:val="00632B06"/>
    <w:rsid w:val="00632DA2"/>
    <w:rsid w:val="00632EB1"/>
    <w:rsid w:val="0063361D"/>
    <w:rsid w:val="00633811"/>
    <w:rsid w:val="00633951"/>
    <w:rsid w:val="00633965"/>
    <w:rsid w:val="00633B5E"/>
    <w:rsid w:val="00633C0A"/>
    <w:rsid w:val="00633CAF"/>
    <w:rsid w:val="00633D11"/>
    <w:rsid w:val="00633D62"/>
    <w:rsid w:val="0063405E"/>
    <w:rsid w:val="00634077"/>
    <w:rsid w:val="006341AD"/>
    <w:rsid w:val="00634232"/>
    <w:rsid w:val="006347F5"/>
    <w:rsid w:val="0063598F"/>
    <w:rsid w:val="00635EDC"/>
    <w:rsid w:val="00635EE6"/>
    <w:rsid w:val="00635F56"/>
    <w:rsid w:val="00636094"/>
    <w:rsid w:val="00636414"/>
    <w:rsid w:val="0063681F"/>
    <w:rsid w:val="00636A76"/>
    <w:rsid w:val="006372C0"/>
    <w:rsid w:val="006373C7"/>
    <w:rsid w:val="006374F0"/>
    <w:rsid w:val="006376E2"/>
    <w:rsid w:val="00637C24"/>
    <w:rsid w:val="00637E00"/>
    <w:rsid w:val="006400E1"/>
    <w:rsid w:val="006401C6"/>
    <w:rsid w:val="00640207"/>
    <w:rsid w:val="00640222"/>
    <w:rsid w:val="00640529"/>
    <w:rsid w:val="006409F3"/>
    <w:rsid w:val="00641061"/>
    <w:rsid w:val="006419E1"/>
    <w:rsid w:val="006419ED"/>
    <w:rsid w:val="00642499"/>
    <w:rsid w:val="00642A78"/>
    <w:rsid w:val="00642D10"/>
    <w:rsid w:val="00643769"/>
    <w:rsid w:val="006437A9"/>
    <w:rsid w:val="006438DA"/>
    <w:rsid w:val="00643973"/>
    <w:rsid w:val="00644200"/>
    <w:rsid w:val="0064428B"/>
    <w:rsid w:val="00644511"/>
    <w:rsid w:val="0064486C"/>
    <w:rsid w:val="00644E60"/>
    <w:rsid w:val="0064552C"/>
    <w:rsid w:val="006457B7"/>
    <w:rsid w:val="00645C7B"/>
    <w:rsid w:val="00646556"/>
    <w:rsid w:val="006473FF"/>
    <w:rsid w:val="00647CB3"/>
    <w:rsid w:val="00647D60"/>
    <w:rsid w:val="00650150"/>
    <w:rsid w:val="00650854"/>
    <w:rsid w:val="006508EE"/>
    <w:rsid w:val="00650CF1"/>
    <w:rsid w:val="00650D1E"/>
    <w:rsid w:val="00650EB8"/>
    <w:rsid w:val="00650F7C"/>
    <w:rsid w:val="00650FBE"/>
    <w:rsid w:val="006513D5"/>
    <w:rsid w:val="006518B1"/>
    <w:rsid w:val="00651AD0"/>
    <w:rsid w:val="00651AD3"/>
    <w:rsid w:val="00651FA0"/>
    <w:rsid w:val="006529BA"/>
    <w:rsid w:val="00652BB4"/>
    <w:rsid w:val="006530FC"/>
    <w:rsid w:val="00653273"/>
    <w:rsid w:val="00653365"/>
    <w:rsid w:val="0065403E"/>
    <w:rsid w:val="00654346"/>
    <w:rsid w:val="006544F6"/>
    <w:rsid w:val="00654A54"/>
    <w:rsid w:val="00654B42"/>
    <w:rsid w:val="00654C2D"/>
    <w:rsid w:val="00654C81"/>
    <w:rsid w:val="00655070"/>
    <w:rsid w:val="00655223"/>
    <w:rsid w:val="00655780"/>
    <w:rsid w:val="0065594D"/>
    <w:rsid w:val="00655F74"/>
    <w:rsid w:val="00655F76"/>
    <w:rsid w:val="006561FF"/>
    <w:rsid w:val="00656251"/>
    <w:rsid w:val="00656884"/>
    <w:rsid w:val="00656D6F"/>
    <w:rsid w:val="00657005"/>
    <w:rsid w:val="006578D9"/>
    <w:rsid w:val="00657F67"/>
    <w:rsid w:val="006601F9"/>
    <w:rsid w:val="006602D1"/>
    <w:rsid w:val="006605DC"/>
    <w:rsid w:val="00660891"/>
    <w:rsid w:val="00661601"/>
    <w:rsid w:val="00661636"/>
    <w:rsid w:val="00661B94"/>
    <w:rsid w:val="00661C1D"/>
    <w:rsid w:val="00661CC2"/>
    <w:rsid w:val="00662166"/>
    <w:rsid w:val="00662240"/>
    <w:rsid w:val="00662972"/>
    <w:rsid w:val="00662FA2"/>
    <w:rsid w:val="006631ED"/>
    <w:rsid w:val="00663572"/>
    <w:rsid w:val="006635DC"/>
    <w:rsid w:val="006637AA"/>
    <w:rsid w:val="00663908"/>
    <w:rsid w:val="0066402E"/>
    <w:rsid w:val="00664121"/>
    <w:rsid w:val="006646F4"/>
    <w:rsid w:val="00665229"/>
    <w:rsid w:val="00665316"/>
    <w:rsid w:val="006654E8"/>
    <w:rsid w:val="0066551A"/>
    <w:rsid w:val="0066568F"/>
    <w:rsid w:val="0066586E"/>
    <w:rsid w:val="00665CCE"/>
    <w:rsid w:val="006672FC"/>
    <w:rsid w:val="00667A27"/>
    <w:rsid w:val="00667DF0"/>
    <w:rsid w:val="006704BF"/>
    <w:rsid w:val="00670AAB"/>
    <w:rsid w:val="00670AD6"/>
    <w:rsid w:val="00670ECD"/>
    <w:rsid w:val="00671681"/>
    <w:rsid w:val="00671C8F"/>
    <w:rsid w:val="0067222A"/>
    <w:rsid w:val="00672575"/>
    <w:rsid w:val="00672966"/>
    <w:rsid w:val="006729A2"/>
    <w:rsid w:val="006729D5"/>
    <w:rsid w:val="00672B94"/>
    <w:rsid w:val="00672E1A"/>
    <w:rsid w:val="00672EC5"/>
    <w:rsid w:val="00672F44"/>
    <w:rsid w:val="006731E5"/>
    <w:rsid w:val="0067330E"/>
    <w:rsid w:val="006735BC"/>
    <w:rsid w:val="006736C7"/>
    <w:rsid w:val="006737C2"/>
    <w:rsid w:val="006737DD"/>
    <w:rsid w:val="00673BDE"/>
    <w:rsid w:val="00673DFA"/>
    <w:rsid w:val="00673EB7"/>
    <w:rsid w:val="00673FBF"/>
    <w:rsid w:val="00674460"/>
    <w:rsid w:val="00674676"/>
    <w:rsid w:val="006746FF"/>
    <w:rsid w:val="00674BB7"/>
    <w:rsid w:val="006750F2"/>
    <w:rsid w:val="0067517B"/>
    <w:rsid w:val="006755C0"/>
    <w:rsid w:val="00675652"/>
    <w:rsid w:val="006757DC"/>
    <w:rsid w:val="006760EF"/>
    <w:rsid w:val="00676366"/>
    <w:rsid w:val="006763E2"/>
    <w:rsid w:val="006767B8"/>
    <w:rsid w:val="0067690C"/>
    <w:rsid w:val="00677725"/>
    <w:rsid w:val="0068013A"/>
    <w:rsid w:val="006804EA"/>
    <w:rsid w:val="00680549"/>
    <w:rsid w:val="00680A97"/>
    <w:rsid w:val="00680F30"/>
    <w:rsid w:val="00680F81"/>
    <w:rsid w:val="0068102D"/>
    <w:rsid w:val="006819F6"/>
    <w:rsid w:val="00681D7C"/>
    <w:rsid w:val="0068226B"/>
    <w:rsid w:val="006822AF"/>
    <w:rsid w:val="00682318"/>
    <w:rsid w:val="006824E8"/>
    <w:rsid w:val="00682841"/>
    <w:rsid w:val="00682A4A"/>
    <w:rsid w:val="00682ED3"/>
    <w:rsid w:val="0068367C"/>
    <w:rsid w:val="00683738"/>
    <w:rsid w:val="00683D7F"/>
    <w:rsid w:val="00683EF3"/>
    <w:rsid w:val="00684258"/>
    <w:rsid w:val="00685211"/>
    <w:rsid w:val="00685725"/>
    <w:rsid w:val="00685D3B"/>
    <w:rsid w:val="00685DBC"/>
    <w:rsid w:val="0068623E"/>
    <w:rsid w:val="00686366"/>
    <w:rsid w:val="0068653A"/>
    <w:rsid w:val="0068673B"/>
    <w:rsid w:val="006868CB"/>
    <w:rsid w:val="0068721F"/>
    <w:rsid w:val="00687389"/>
    <w:rsid w:val="00687904"/>
    <w:rsid w:val="00690447"/>
    <w:rsid w:val="006906D8"/>
    <w:rsid w:val="00690D12"/>
    <w:rsid w:val="00690F0E"/>
    <w:rsid w:val="00691278"/>
    <w:rsid w:val="0069138C"/>
    <w:rsid w:val="0069172D"/>
    <w:rsid w:val="006918F9"/>
    <w:rsid w:val="006919C5"/>
    <w:rsid w:val="006919D4"/>
    <w:rsid w:val="00691D23"/>
    <w:rsid w:val="00691D43"/>
    <w:rsid w:val="00692258"/>
    <w:rsid w:val="00692521"/>
    <w:rsid w:val="00692602"/>
    <w:rsid w:val="00692799"/>
    <w:rsid w:val="006927F0"/>
    <w:rsid w:val="00692979"/>
    <w:rsid w:val="00692A0D"/>
    <w:rsid w:val="00693077"/>
    <w:rsid w:val="00693295"/>
    <w:rsid w:val="006935FA"/>
    <w:rsid w:val="00693CA1"/>
    <w:rsid w:val="00693F21"/>
    <w:rsid w:val="006943ED"/>
    <w:rsid w:val="0069447C"/>
    <w:rsid w:val="006949AD"/>
    <w:rsid w:val="00694A09"/>
    <w:rsid w:val="00694C98"/>
    <w:rsid w:val="00694FE8"/>
    <w:rsid w:val="0069546E"/>
    <w:rsid w:val="006954FA"/>
    <w:rsid w:val="00695D50"/>
    <w:rsid w:val="00695E95"/>
    <w:rsid w:val="00696244"/>
    <w:rsid w:val="006968C2"/>
    <w:rsid w:val="006969D6"/>
    <w:rsid w:val="00696C33"/>
    <w:rsid w:val="0069755C"/>
    <w:rsid w:val="00697905"/>
    <w:rsid w:val="006979DC"/>
    <w:rsid w:val="00697C2C"/>
    <w:rsid w:val="006A01FA"/>
    <w:rsid w:val="006A0558"/>
    <w:rsid w:val="006A05EF"/>
    <w:rsid w:val="006A0942"/>
    <w:rsid w:val="006A18CF"/>
    <w:rsid w:val="006A18DD"/>
    <w:rsid w:val="006A1B7F"/>
    <w:rsid w:val="006A1ECB"/>
    <w:rsid w:val="006A2245"/>
    <w:rsid w:val="006A2347"/>
    <w:rsid w:val="006A24B3"/>
    <w:rsid w:val="006A2D0E"/>
    <w:rsid w:val="006A2DC5"/>
    <w:rsid w:val="006A2E66"/>
    <w:rsid w:val="006A31AE"/>
    <w:rsid w:val="006A3227"/>
    <w:rsid w:val="006A3334"/>
    <w:rsid w:val="006A3396"/>
    <w:rsid w:val="006A3574"/>
    <w:rsid w:val="006A358A"/>
    <w:rsid w:val="006A3E12"/>
    <w:rsid w:val="006A3F94"/>
    <w:rsid w:val="006A4113"/>
    <w:rsid w:val="006A457C"/>
    <w:rsid w:val="006A4584"/>
    <w:rsid w:val="006A484F"/>
    <w:rsid w:val="006A49B5"/>
    <w:rsid w:val="006A5185"/>
    <w:rsid w:val="006A5A45"/>
    <w:rsid w:val="006A5CA3"/>
    <w:rsid w:val="006A5E26"/>
    <w:rsid w:val="006A6700"/>
    <w:rsid w:val="006A6725"/>
    <w:rsid w:val="006A6AFA"/>
    <w:rsid w:val="006A6B69"/>
    <w:rsid w:val="006A6CBB"/>
    <w:rsid w:val="006A752B"/>
    <w:rsid w:val="006A7574"/>
    <w:rsid w:val="006A7604"/>
    <w:rsid w:val="006A7B14"/>
    <w:rsid w:val="006A7BF2"/>
    <w:rsid w:val="006A7C40"/>
    <w:rsid w:val="006A7FDD"/>
    <w:rsid w:val="006B018A"/>
    <w:rsid w:val="006B0489"/>
    <w:rsid w:val="006B04F2"/>
    <w:rsid w:val="006B05F8"/>
    <w:rsid w:val="006B0C04"/>
    <w:rsid w:val="006B0C66"/>
    <w:rsid w:val="006B122A"/>
    <w:rsid w:val="006B14F4"/>
    <w:rsid w:val="006B163E"/>
    <w:rsid w:val="006B166D"/>
    <w:rsid w:val="006B18AF"/>
    <w:rsid w:val="006B18B8"/>
    <w:rsid w:val="006B19B2"/>
    <w:rsid w:val="006B1D7C"/>
    <w:rsid w:val="006B1DA2"/>
    <w:rsid w:val="006B1F5F"/>
    <w:rsid w:val="006B1FA7"/>
    <w:rsid w:val="006B20F8"/>
    <w:rsid w:val="006B21B7"/>
    <w:rsid w:val="006B21E9"/>
    <w:rsid w:val="006B242D"/>
    <w:rsid w:val="006B2744"/>
    <w:rsid w:val="006B3604"/>
    <w:rsid w:val="006B393F"/>
    <w:rsid w:val="006B3E55"/>
    <w:rsid w:val="006B4900"/>
    <w:rsid w:val="006B4D4E"/>
    <w:rsid w:val="006B5114"/>
    <w:rsid w:val="006B5764"/>
    <w:rsid w:val="006B5B43"/>
    <w:rsid w:val="006B5CDC"/>
    <w:rsid w:val="006B6AD0"/>
    <w:rsid w:val="006B6BA3"/>
    <w:rsid w:val="006B6BF0"/>
    <w:rsid w:val="006B6C95"/>
    <w:rsid w:val="006B725C"/>
    <w:rsid w:val="006B7360"/>
    <w:rsid w:val="006B7473"/>
    <w:rsid w:val="006B7864"/>
    <w:rsid w:val="006B789D"/>
    <w:rsid w:val="006C03B2"/>
    <w:rsid w:val="006C09DD"/>
    <w:rsid w:val="006C0A1A"/>
    <w:rsid w:val="006C1B3F"/>
    <w:rsid w:val="006C20C0"/>
    <w:rsid w:val="006C2AD8"/>
    <w:rsid w:val="006C2F89"/>
    <w:rsid w:val="006C34CF"/>
    <w:rsid w:val="006C375B"/>
    <w:rsid w:val="006C377A"/>
    <w:rsid w:val="006C3E79"/>
    <w:rsid w:val="006C3F40"/>
    <w:rsid w:val="006C42A7"/>
    <w:rsid w:val="006C44D3"/>
    <w:rsid w:val="006C45C1"/>
    <w:rsid w:val="006C4B0F"/>
    <w:rsid w:val="006C4B11"/>
    <w:rsid w:val="006C4BA2"/>
    <w:rsid w:val="006C4C68"/>
    <w:rsid w:val="006C4D69"/>
    <w:rsid w:val="006C4F9D"/>
    <w:rsid w:val="006C50C3"/>
    <w:rsid w:val="006C5215"/>
    <w:rsid w:val="006C5389"/>
    <w:rsid w:val="006C566C"/>
    <w:rsid w:val="006C56DF"/>
    <w:rsid w:val="006C57EC"/>
    <w:rsid w:val="006C5A4C"/>
    <w:rsid w:val="006C5C20"/>
    <w:rsid w:val="006C5FF1"/>
    <w:rsid w:val="006C61FE"/>
    <w:rsid w:val="006C6287"/>
    <w:rsid w:val="006C677C"/>
    <w:rsid w:val="006C688A"/>
    <w:rsid w:val="006C6E3F"/>
    <w:rsid w:val="006C6E92"/>
    <w:rsid w:val="006C75C9"/>
    <w:rsid w:val="006C7875"/>
    <w:rsid w:val="006D0233"/>
    <w:rsid w:val="006D03CD"/>
    <w:rsid w:val="006D0A70"/>
    <w:rsid w:val="006D0AD9"/>
    <w:rsid w:val="006D0DED"/>
    <w:rsid w:val="006D0E17"/>
    <w:rsid w:val="006D164F"/>
    <w:rsid w:val="006D19ED"/>
    <w:rsid w:val="006D1A23"/>
    <w:rsid w:val="006D1ABD"/>
    <w:rsid w:val="006D1B2E"/>
    <w:rsid w:val="006D1BD6"/>
    <w:rsid w:val="006D1F1A"/>
    <w:rsid w:val="006D21FF"/>
    <w:rsid w:val="006D2440"/>
    <w:rsid w:val="006D2627"/>
    <w:rsid w:val="006D312A"/>
    <w:rsid w:val="006D31AF"/>
    <w:rsid w:val="006D31DD"/>
    <w:rsid w:val="006D4345"/>
    <w:rsid w:val="006D43BD"/>
    <w:rsid w:val="006D47AB"/>
    <w:rsid w:val="006D492A"/>
    <w:rsid w:val="006D493C"/>
    <w:rsid w:val="006D4DCD"/>
    <w:rsid w:val="006D4ED6"/>
    <w:rsid w:val="006D4F72"/>
    <w:rsid w:val="006D58A9"/>
    <w:rsid w:val="006D59BF"/>
    <w:rsid w:val="006D5AE7"/>
    <w:rsid w:val="006D5B2C"/>
    <w:rsid w:val="006D5EC2"/>
    <w:rsid w:val="006D5FEF"/>
    <w:rsid w:val="006D615D"/>
    <w:rsid w:val="006D6907"/>
    <w:rsid w:val="006D6D22"/>
    <w:rsid w:val="006D7598"/>
    <w:rsid w:val="006D774A"/>
    <w:rsid w:val="006D7B93"/>
    <w:rsid w:val="006D7DAD"/>
    <w:rsid w:val="006E03AC"/>
    <w:rsid w:val="006E0B16"/>
    <w:rsid w:val="006E0BC0"/>
    <w:rsid w:val="006E0BE8"/>
    <w:rsid w:val="006E0E1D"/>
    <w:rsid w:val="006E0E60"/>
    <w:rsid w:val="006E0ED0"/>
    <w:rsid w:val="006E176F"/>
    <w:rsid w:val="006E1C69"/>
    <w:rsid w:val="006E1EE9"/>
    <w:rsid w:val="006E22CC"/>
    <w:rsid w:val="006E260B"/>
    <w:rsid w:val="006E2AA6"/>
    <w:rsid w:val="006E2F9C"/>
    <w:rsid w:val="006E3C82"/>
    <w:rsid w:val="006E3D3A"/>
    <w:rsid w:val="006E4058"/>
    <w:rsid w:val="006E4469"/>
    <w:rsid w:val="006E459B"/>
    <w:rsid w:val="006E4A83"/>
    <w:rsid w:val="006E4EC2"/>
    <w:rsid w:val="006E512D"/>
    <w:rsid w:val="006E5151"/>
    <w:rsid w:val="006E5266"/>
    <w:rsid w:val="006E54EC"/>
    <w:rsid w:val="006E554E"/>
    <w:rsid w:val="006E5D5A"/>
    <w:rsid w:val="006E63EA"/>
    <w:rsid w:val="006E6A05"/>
    <w:rsid w:val="006E6A86"/>
    <w:rsid w:val="006E6DA9"/>
    <w:rsid w:val="006E6F03"/>
    <w:rsid w:val="006E7090"/>
    <w:rsid w:val="006E71A8"/>
    <w:rsid w:val="006E7320"/>
    <w:rsid w:val="006E7496"/>
    <w:rsid w:val="006E78B5"/>
    <w:rsid w:val="006E792F"/>
    <w:rsid w:val="006E7969"/>
    <w:rsid w:val="006E7E49"/>
    <w:rsid w:val="006E7F71"/>
    <w:rsid w:val="006F05C2"/>
    <w:rsid w:val="006F090B"/>
    <w:rsid w:val="006F0C12"/>
    <w:rsid w:val="006F0C5B"/>
    <w:rsid w:val="006F0EB1"/>
    <w:rsid w:val="006F1008"/>
    <w:rsid w:val="006F1D86"/>
    <w:rsid w:val="006F2217"/>
    <w:rsid w:val="006F22CB"/>
    <w:rsid w:val="006F291E"/>
    <w:rsid w:val="006F2A39"/>
    <w:rsid w:val="006F2E21"/>
    <w:rsid w:val="006F3052"/>
    <w:rsid w:val="006F314D"/>
    <w:rsid w:val="006F3738"/>
    <w:rsid w:val="006F399D"/>
    <w:rsid w:val="006F3A50"/>
    <w:rsid w:val="006F3B01"/>
    <w:rsid w:val="006F3BDF"/>
    <w:rsid w:val="006F4072"/>
    <w:rsid w:val="006F407D"/>
    <w:rsid w:val="006F4189"/>
    <w:rsid w:val="006F4862"/>
    <w:rsid w:val="006F4A19"/>
    <w:rsid w:val="006F4C7E"/>
    <w:rsid w:val="006F4CB6"/>
    <w:rsid w:val="006F4D51"/>
    <w:rsid w:val="006F4F5A"/>
    <w:rsid w:val="006F4FD7"/>
    <w:rsid w:val="006F4FDE"/>
    <w:rsid w:val="006F557B"/>
    <w:rsid w:val="006F5B41"/>
    <w:rsid w:val="006F6432"/>
    <w:rsid w:val="006F64CB"/>
    <w:rsid w:val="006F6689"/>
    <w:rsid w:val="006F6740"/>
    <w:rsid w:val="006F6A24"/>
    <w:rsid w:val="006F746D"/>
    <w:rsid w:val="006F7A92"/>
    <w:rsid w:val="006F7C53"/>
    <w:rsid w:val="006F7E42"/>
    <w:rsid w:val="00700042"/>
    <w:rsid w:val="0070023A"/>
    <w:rsid w:val="00700F2D"/>
    <w:rsid w:val="00701493"/>
    <w:rsid w:val="007017EA"/>
    <w:rsid w:val="0070181F"/>
    <w:rsid w:val="0070193E"/>
    <w:rsid w:val="007019D2"/>
    <w:rsid w:val="00701B27"/>
    <w:rsid w:val="00702BFC"/>
    <w:rsid w:val="00702DFC"/>
    <w:rsid w:val="00703112"/>
    <w:rsid w:val="007034BC"/>
    <w:rsid w:val="007034FC"/>
    <w:rsid w:val="007035F6"/>
    <w:rsid w:val="007036E5"/>
    <w:rsid w:val="00703897"/>
    <w:rsid w:val="007038D5"/>
    <w:rsid w:val="00703C95"/>
    <w:rsid w:val="007047A7"/>
    <w:rsid w:val="007048DD"/>
    <w:rsid w:val="0070497C"/>
    <w:rsid w:val="00704A33"/>
    <w:rsid w:val="00704BC7"/>
    <w:rsid w:val="00704DEB"/>
    <w:rsid w:val="007051DB"/>
    <w:rsid w:val="007052F3"/>
    <w:rsid w:val="007053C9"/>
    <w:rsid w:val="0070542C"/>
    <w:rsid w:val="00705584"/>
    <w:rsid w:val="00705E96"/>
    <w:rsid w:val="00706122"/>
    <w:rsid w:val="00706DFB"/>
    <w:rsid w:val="00706E08"/>
    <w:rsid w:val="0070711F"/>
    <w:rsid w:val="00707299"/>
    <w:rsid w:val="0070743B"/>
    <w:rsid w:val="00707AE0"/>
    <w:rsid w:val="00707CFF"/>
    <w:rsid w:val="007100D1"/>
    <w:rsid w:val="007101EE"/>
    <w:rsid w:val="00710994"/>
    <w:rsid w:val="007109CD"/>
    <w:rsid w:val="00710A3E"/>
    <w:rsid w:val="00710D33"/>
    <w:rsid w:val="007110FE"/>
    <w:rsid w:val="007115A2"/>
    <w:rsid w:val="00711760"/>
    <w:rsid w:val="0071196B"/>
    <w:rsid w:val="00711A0F"/>
    <w:rsid w:val="00711AE4"/>
    <w:rsid w:val="00711D10"/>
    <w:rsid w:val="00711D73"/>
    <w:rsid w:val="00711E0C"/>
    <w:rsid w:val="00712A0F"/>
    <w:rsid w:val="00712FDB"/>
    <w:rsid w:val="00713214"/>
    <w:rsid w:val="007136DC"/>
    <w:rsid w:val="0071374D"/>
    <w:rsid w:val="00713B48"/>
    <w:rsid w:val="00713CA2"/>
    <w:rsid w:val="00713FFB"/>
    <w:rsid w:val="00714312"/>
    <w:rsid w:val="0071435E"/>
    <w:rsid w:val="00714722"/>
    <w:rsid w:val="00714D6A"/>
    <w:rsid w:val="0071506C"/>
    <w:rsid w:val="00715F49"/>
    <w:rsid w:val="007161E7"/>
    <w:rsid w:val="007162F2"/>
    <w:rsid w:val="007163BF"/>
    <w:rsid w:val="0071649C"/>
    <w:rsid w:val="00716C3F"/>
    <w:rsid w:val="00716F68"/>
    <w:rsid w:val="00716F80"/>
    <w:rsid w:val="00716FB1"/>
    <w:rsid w:val="00716FC0"/>
    <w:rsid w:val="00717267"/>
    <w:rsid w:val="0071779B"/>
    <w:rsid w:val="007178EE"/>
    <w:rsid w:val="00717B0A"/>
    <w:rsid w:val="00720209"/>
    <w:rsid w:val="00720759"/>
    <w:rsid w:val="00720BD4"/>
    <w:rsid w:val="0072149B"/>
    <w:rsid w:val="007215A9"/>
    <w:rsid w:val="007218A9"/>
    <w:rsid w:val="0072190B"/>
    <w:rsid w:val="007219ED"/>
    <w:rsid w:val="00721E1D"/>
    <w:rsid w:val="007221F1"/>
    <w:rsid w:val="00722B72"/>
    <w:rsid w:val="007230B7"/>
    <w:rsid w:val="0072345D"/>
    <w:rsid w:val="00723701"/>
    <w:rsid w:val="00723C97"/>
    <w:rsid w:val="00723D94"/>
    <w:rsid w:val="00723EC3"/>
    <w:rsid w:val="00724426"/>
    <w:rsid w:val="00724B73"/>
    <w:rsid w:val="00724FB9"/>
    <w:rsid w:val="00725068"/>
    <w:rsid w:val="007250C0"/>
    <w:rsid w:val="007254A9"/>
    <w:rsid w:val="007254B1"/>
    <w:rsid w:val="0072560E"/>
    <w:rsid w:val="00725735"/>
    <w:rsid w:val="007259B8"/>
    <w:rsid w:val="00725CB6"/>
    <w:rsid w:val="00725D75"/>
    <w:rsid w:val="0072602E"/>
    <w:rsid w:val="00726281"/>
    <w:rsid w:val="0072665F"/>
    <w:rsid w:val="00726661"/>
    <w:rsid w:val="00727E10"/>
    <w:rsid w:val="00727E9F"/>
    <w:rsid w:val="00730246"/>
    <w:rsid w:val="00730302"/>
    <w:rsid w:val="00730F4A"/>
    <w:rsid w:val="00731032"/>
    <w:rsid w:val="0073128B"/>
    <w:rsid w:val="0073171A"/>
    <w:rsid w:val="00731A41"/>
    <w:rsid w:val="00731D37"/>
    <w:rsid w:val="00731E4B"/>
    <w:rsid w:val="00731E9C"/>
    <w:rsid w:val="00732321"/>
    <w:rsid w:val="00733315"/>
    <w:rsid w:val="00733858"/>
    <w:rsid w:val="00733A74"/>
    <w:rsid w:val="00733A80"/>
    <w:rsid w:val="00733AA9"/>
    <w:rsid w:val="00733B1F"/>
    <w:rsid w:val="00733F4E"/>
    <w:rsid w:val="0073405A"/>
    <w:rsid w:val="0073497A"/>
    <w:rsid w:val="00734C03"/>
    <w:rsid w:val="007356D0"/>
    <w:rsid w:val="00735A6A"/>
    <w:rsid w:val="00735D07"/>
    <w:rsid w:val="0073637C"/>
    <w:rsid w:val="00736647"/>
    <w:rsid w:val="00736801"/>
    <w:rsid w:val="00736D7B"/>
    <w:rsid w:val="007377ED"/>
    <w:rsid w:val="007379C8"/>
    <w:rsid w:val="00737E0C"/>
    <w:rsid w:val="00740698"/>
    <w:rsid w:val="007406C0"/>
    <w:rsid w:val="007409E8"/>
    <w:rsid w:val="00740AC1"/>
    <w:rsid w:val="00740CD3"/>
    <w:rsid w:val="0074108B"/>
    <w:rsid w:val="007418D8"/>
    <w:rsid w:val="007419FC"/>
    <w:rsid w:val="007420C9"/>
    <w:rsid w:val="00742235"/>
    <w:rsid w:val="007422B2"/>
    <w:rsid w:val="00742695"/>
    <w:rsid w:val="007426BF"/>
    <w:rsid w:val="007429AB"/>
    <w:rsid w:val="00742A51"/>
    <w:rsid w:val="00742BFB"/>
    <w:rsid w:val="00742EC0"/>
    <w:rsid w:val="00743113"/>
    <w:rsid w:val="00743293"/>
    <w:rsid w:val="0074336F"/>
    <w:rsid w:val="00743757"/>
    <w:rsid w:val="00743867"/>
    <w:rsid w:val="00744055"/>
    <w:rsid w:val="007449C0"/>
    <w:rsid w:val="00744FB1"/>
    <w:rsid w:val="0074576E"/>
    <w:rsid w:val="00745EBB"/>
    <w:rsid w:val="00746167"/>
    <w:rsid w:val="00746199"/>
    <w:rsid w:val="0074644A"/>
    <w:rsid w:val="007467F4"/>
    <w:rsid w:val="00746C5F"/>
    <w:rsid w:val="00746CFE"/>
    <w:rsid w:val="00747446"/>
    <w:rsid w:val="00747BD8"/>
    <w:rsid w:val="00747E09"/>
    <w:rsid w:val="00747F05"/>
    <w:rsid w:val="00747FE3"/>
    <w:rsid w:val="0075038A"/>
    <w:rsid w:val="00750771"/>
    <w:rsid w:val="007509F9"/>
    <w:rsid w:val="00751571"/>
    <w:rsid w:val="007515C8"/>
    <w:rsid w:val="007517D1"/>
    <w:rsid w:val="00751F76"/>
    <w:rsid w:val="00752497"/>
    <w:rsid w:val="0075288B"/>
    <w:rsid w:val="00752A4B"/>
    <w:rsid w:val="00752FE7"/>
    <w:rsid w:val="007533B4"/>
    <w:rsid w:val="007536BB"/>
    <w:rsid w:val="00753B9D"/>
    <w:rsid w:val="00753E73"/>
    <w:rsid w:val="00753F01"/>
    <w:rsid w:val="0075401D"/>
    <w:rsid w:val="0075412E"/>
    <w:rsid w:val="00754220"/>
    <w:rsid w:val="00754D64"/>
    <w:rsid w:val="00755692"/>
    <w:rsid w:val="007556A5"/>
    <w:rsid w:val="00755B06"/>
    <w:rsid w:val="00755E06"/>
    <w:rsid w:val="0075639D"/>
    <w:rsid w:val="0075646E"/>
    <w:rsid w:val="007564B4"/>
    <w:rsid w:val="007565E2"/>
    <w:rsid w:val="007570A3"/>
    <w:rsid w:val="007572E9"/>
    <w:rsid w:val="00757495"/>
    <w:rsid w:val="00757A61"/>
    <w:rsid w:val="00757CCC"/>
    <w:rsid w:val="00757CD9"/>
    <w:rsid w:val="00757D4D"/>
    <w:rsid w:val="00757E8E"/>
    <w:rsid w:val="00757FE8"/>
    <w:rsid w:val="007600CF"/>
    <w:rsid w:val="007604E2"/>
    <w:rsid w:val="007605DA"/>
    <w:rsid w:val="007605FC"/>
    <w:rsid w:val="00760756"/>
    <w:rsid w:val="007608B3"/>
    <w:rsid w:val="00760D79"/>
    <w:rsid w:val="00760E75"/>
    <w:rsid w:val="00760EB3"/>
    <w:rsid w:val="0076131B"/>
    <w:rsid w:val="007613AF"/>
    <w:rsid w:val="00761520"/>
    <w:rsid w:val="007619FB"/>
    <w:rsid w:val="0076200C"/>
    <w:rsid w:val="007624B0"/>
    <w:rsid w:val="007624B9"/>
    <w:rsid w:val="00762924"/>
    <w:rsid w:val="0076295C"/>
    <w:rsid w:val="00762A84"/>
    <w:rsid w:val="00763055"/>
    <w:rsid w:val="00763272"/>
    <w:rsid w:val="0076357A"/>
    <w:rsid w:val="0076375B"/>
    <w:rsid w:val="00763D32"/>
    <w:rsid w:val="00763D8F"/>
    <w:rsid w:val="00764140"/>
    <w:rsid w:val="00764340"/>
    <w:rsid w:val="0076442F"/>
    <w:rsid w:val="0076460D"/>
    <w:rsid w:val="00764832"/>
    <w:rsid w:val="00764E4E"/>
    <w:rsid w:val="00764EB8"/>
    <w:rsid w:val="00765098"/>
    <w:rsid w:val="00765391"/>
    <w:rsid w:val="0076598E"/>
    <w:rsid w:val="00765A64"/>
    <w:rsid w:val="00765FDC"/>
    <w:rsid w:val="00766559"/>
    <w:rsid w:val="007667D5"/>
    <w:rsid w:val="00766B0E"/>
    <w:rsid w:val="00766BFB"/>
    <w:rsid w:val="00766DFE"/>
    <w:rsid w:val="00766E27"/>
    <w:rsid w:val="0076731C"/>
    <w:rsid w:val="00767416"/>
    <w:rsid w:val="0076747C"/>
    <w:rsid w:val="007678B6"/>
    <w:rsid w:val="00767B6C"/>
    <w:rsid w:val="007706CC"/>
    <w:rsid w:val="00770CEE"/>
    <w:rsid w:val="00771284"/>
    <w:rsid w:val="007718CC"/>
    <w:rsid w:val="007719DC"/>
    <w:rsid w:val="007721AD"/>
    <w:rsid w:val="00772ABA"/>
    <w:rsid w:val="00772C63"/>
    <w:rsid w:val="00772C97"/>
    <w:rsid w:val="00772D15"/>
    <w:rsid w:val="00772DC3"/>
    <w:rsid w:val="007733C4"/>
    <w:rsid w:val="007735AE"/>
    <w:rsid w:val="007743A1"/>
    <w:rsid w:val="007744EF"/>
    <w:rsid w:val="00774836"/>
    <w:rsid w:val="00774B37"/>
    <w:rsid w:val="007750DC"/>
    <w:rsid w:val="00775330"/>
    <w:rsid w:val="00775BAA"/>
    <w:rsid w:val="00775D0E"/>
    <w:rsid w:val="00775EFD"/>
    <w:rsid w:val="00775F11"/>
    <w:rsid w:val="007760CB"/>
    <w:rsid w:val="007762CD"/>
    <w:rsid w:val="007768F2"/>
    <w:rsid w:val="00776C25"/>
    <w:rsid w:val="00776E9E"/>
    <w:rsid w:val="00777053"/>
    <w:rsid w:val="007775EB"/>
    <w:rsid w:val="007777C3"/>
    <w:rsid w:val="007779FC"/>
    <w:rsid w:val="00777CD9"/>
    <w:rsid w:val="00777EE9"/>
    <w:rsid w:val="007800FA"/>
    <w:rsid w:val="00780657"/>
    <w:rsid w:val="00780980"/>
    <w:rsid w:val="007809E1"/>
    <w:rsid w:val="00780B71"/>
    <w:rsid w:val="00780FD1"/>
    <w:rsid w:val="0078109E"/>
    <w:rsid w:val="007813DB"/>
    <w:rsid w:val="0078146E"/>
    <w:rsid w:val="00781633"/>
    <w:rsid w:val="0078165E"/>
    <w:rsid w:val="007816FD"/>
    <w:rsid w:val="00781B9A"/>
    <w:rsid w:val="00781DAD"/>
    <w:rsid w:val="00782266"/>
    <w:rsid w:val="00782267"/>
    <w:rsid w:val="007822AF"/>
    <w:rsid w:val="0078243D"/>
    <w:rsid w:val="0078266C"/>
    <w:rsid w:val="007828BB"/>
    <w:rsid w:val="00782B9C"/>
    <w:rsid w:val="00782D8A"/>
    <w:rsid w:val="00783171"/>
    <w:rsid w:val="00783315"/>
    <w:rsid w:val="007833C3"/>
    <w:rsid w:val="007837BE"/>
    <w:rsid w:val="0078380D"/>
    <w:rsid w:val="00783DB9"/>
    <w:rsid w:val="00783F0C"/>
    <w:rsid w:val="00784132"/>
    <w:rsid w:val="007842FE"/>
    <w:rsid w:val="00784702"/>
    <w:rsid w:val="007848B8"/>
    <w:rsid w:val="00784C31"/>
    <w:rsid w:val="00784E6D"/>
    <w:rsid w:val="00784EA1"/>
    <w:rsid w:val="00784FC2"/>
    <w:rsid w:val="00784FC7"/>
    <w:rsid w:val="007861D1"/>
    <w:rsid w:val="00786272"/>
    <w:rsid w:val="007864B2"/>
    <w:rsid w:val="00786620"/>
    <w:rsid w:val="007868B7"/>
    <w:rsid w:val="00786BC0"/>
    <w:rsid w:val="007870C5"/>
    <w:rsid w:val="0078756D"/>
    <w:rsid w:val="00787736"/>
    <w:rsid w:val="007878B0"/>
    <w:rsid w:val="007878F1"/>
    <w:rsid w:val="00787977"/>
    <w:rsid w:val="00787A55"/>
    <w:rsid w:val="00787C13"/>
    <w:rsid w:val="00787FAC"/>
    <w:rsid w:val="00787FF1"/>
    <w:rsid w:val="0079051B"/>
    <w:rsid w:val="007908B3"/>
    <w:rsid w:val="007914CB"/>
    <w:rsid w:val="007916D2"/>
    <w:rsid w:val="00791ADE"/>
    <w:rsid w:val="00791BEA"/>
    <w:rsid w:val="007926B7"/>
    <w:rsid w:val="00792DB2"/>
    <w:rsid w:val="00792ECC"/>
    <w:rsid w:val="00792F7F"/>
    <w:rsid w:val="00792FCC"/>
    <w:rsid w:val="007939C7"/>
    <w:rsid w:val="00793F70"/>
    <w:rsid w:val="007945AC"/>
    <w:rsid w:val="007947FB"/>
    <w:rsid w:val="00794B96"/>
    <w:rsid w:val="007953DC"/>
    <w:rsid w:val="0079541B"/>
    <w:rsid w:val="007954AC"/>
    <w:rsid w:val="00795B69"/>
    <w:rsid w:val="0079601B"/>
    <w:rsid w:val="007962E1"/>
    <w:rsid w:val="0079663F"/>
    <w:rsid w:val="007968C9"/>
    <w:rsid w:val="00796F91"/>
    <w:rsid w:val="00797DAA"/>
    <w:rsid w:val="00797DDD"/>
    <w:rsid w:val="00797E01"/>
    <w:rsid w:val="00797FCF"/>
    <w:rsid w:val="007A0511"/>
    <w:rsid w:val="007A0616"/>
    <w:rsid w:val="007A0AC7"/>
    <w:rsid w:val="007A0DAC"/>
    <w:rsid w:val="007A0F46"/>
    <w:rsid w:val="007A1189"/>
    <w:rsid w:val="007A15BA"/>
    <w:rsid w:val="007A166E"/>
    <w:rsid w:val="007A1B05"/>
    <w:rsid w:val="007A1B63"/>
    <w:rsid w:val="007A2B63"/>
    <w:rsid w:val="007A2BFF"/>
    <w:rsid w:val="007A2DE7"/>
    <w:rsid w:val="007A2E12"/>
    <w:rsid w:val="007A300F"/>
    <w:rsid w:val="007A3040"/>
    <w:rsid w:val="007A3068"/>
    <w:rsid w:val="007A30CD"/>
    <w:rsid w:val="007A3373"/>
    <w:rsid w:val="007A3376"/>
    <w:rsid w:val="007A3395"/>
    <w:rsid w:val="007A3505"/>
    <w:rsid w:val="007A3BF2"/>
    <w:rsid w:val="007A4264"/>
    <w:rsid w:val="007A43F5"/>
    <w:rsid w:val="007A4A07"/>
    <w:rsid w:val="007A4AF1"/>
    <w:rsid w:val="007A4B1D"/>
    <w:rsid w:val="007A5288"/>
    <w:rsid w:val="007A618D"/>
    <w:rsid w:val="007A6333"/>
    <w:rsid w:val="007A6477"/>
    <w:rsid w:val="007A6909"/>
    <w:rsid w:val="007A6DE7"/>
    <w:rsid w:val="007A75A3"/>
    <w:rsid w:val="007A7A14"/>
    <w:rsid w:val="007B0253"/>
    <w:rsid w:val="007B073B"/>
    <w:rsid w:val="007B0865"/>
    <w:rsid w:val="007B09ED"/>
    <w:rsid w:val="007B0B92"/>
    <w:rsid w:val="007B1061"/>
    <w:rsid w:val="007B14A8"/>
    <w:rsid w:val="007B1C2D"/>
    <w:rsid w:val="007B1F9A"/>
    <w:rsid w:val="007B21A9"/>
    <w:rsid w:val="007B2638"/>
    <w:rsid w:val="007B2975"/>
    <w:rsid w:val="007B314C"/>
    <w:rsid w:val="007B322B"/>
    <w:rsid w:val="007B3476"/>
    <w:rsid w:val="007B3BF0"/>
    <w:rsid w:val="007B3D12"/>
    <w:rsid w:val="007B3D55"/>
    <w:rsid w:val="007B40AD"/>
    <w:rsid w:val="007B448A"/>
    <w:rsid w:val="007B44DC"/>
    <w:rsid w:val="007B4533"/>
    <w:rsid w:val="007B4543"/>
    <w:rsid w:val="007B484D"/>
    <w:rsid w:val="007B4937"/>
    <w:rsid w:val="007B5A66"/>
    <w:rsid w:val="007B5E5F"/>
    <w:rsid w:val="007B60B5"/>
    <w:rsid w:val="007B614B"/>
    <w:rsid w:val="007B630D"/>
    <w:rsid w:val="007B697F"/>
    <w:rsid w:val="007B7618"/>
    <w:rsid w:val="007B7CC2"/>
    <w:rsid w:val="007C0379"/>
    <w:rsid w:val="007C0880"/>
    <w:rsid w:val="007C0BD2"/>
    <w:rsid w:val="007C0F3A"/>
    <w:rsid w:val="007C1065"/>
    <w:rsid w:val="007C1357"/>
    <w:rsid w:val="007C140F"/>
    <w:rsid w:val="007C1537"/>
    <w:rsid w:val="007C16D7"/>
    <w:rsid w:val="007C1B94"/>
    <w:rsid w:val="007C286E"/>
    <w:rsid w:val="007C2A39"/>
    <w:rsid w:val="007C3D88"/>
    <w:rsid w:val="007C3EA6"/>
    <w:rsid w:val="007C3F14"/>
    <w:rsid w:val="007C49C4"/>
    <w:rsid w:val="007C4C2F"/>
    <w:rsid w:val="007C5077"/>
    <w:rsid w:val="007C508D"/>
    <w:rsid w:val="007C515A"/>
    <w:rsid w:val="007C52ED"/>
    <w:rsid w:val="007C5468"/>
    <w:rsid w:val="007C56CE"/>
    <w:rsid w:val="007C5772"/>
    <w:rsid w:val="007C57F8"/>
    <w:rsid w:val="007C59DC"/>
    <w:rsid w:val="007C5AB0"/>
    <w:rsid w:val="007C5CE6"/>
    <w:rsid w:val="007C5DB6"/>
    <w:rsid w:val="007C5F3A"/>
    <w:rsid w:val="007C61E0"/>
    <w:rsid w:val="007C646B"/>
    <w:rsid w:val="007C64BC"/>
    <w:rsid w:val="007C6847"/>
    <w:rsid w:val="007C6939"/>
    <w:rsid w:val="007C6941"/>
    <w:rsid w:val="007C6AA7"/>
    <w:rsid w:val="007C6D8A"/>
    <w:rsid w:val="007C7215"/>
    <w:rsid w:val="007C7720"/>
    <w:rsid w:val="007C776A"/>
    <w:rsid w:val="007C7A3E"/>
    <w:rsid w:val="007C7CEB"/>
    <w:rsid w:val="007C7EF3"/>
    <w:rsid w:val="007D020B"/>
    <w:rsid w:val="007D0677"/>
    <w:rsid w:val="007D0779"/>
    <w:rsid w:val="007D096E"/>
    <w:rsid w:val="007D098C"/>
    <w:rsid w:val="007D11B6"/>
    <w:rsid w:val="007D149C"/>
    <w:rsid w:val="007D1558"/>
    <w:rsid w:val="007D1B7C"/>
    <w:rsid w:val="007D1C02"/>
    <w:rsid w:val="007D214A"/>
    <w:rsid w:val="007D2306"/>
    <w:rsid w:val="007D2C8F"/>
    <w:rsid w:val="007D357E"/>
    <w:rsid w:val="007D3889"/>
    <w:rsid w:val="007D39A2"/>
    <w:rsid w:val="007D39D7"/>
    <w:rsid w:val="007D3F34"/>
    <w:rsid w:val="007D425D"/>
    <w:rsid w:val="007D4422"/>
    <w:rsid w:val="007D4677"/>
    <w:rsid w:val="007D47E5"/>
    <w:rsid w:val="007D4FF2"/>
    <w:rsid w:val="007D512C"/>
    <w:rsid w:val="007D526F"/>
    <w:rsid w:val="007D5338"/>
    <w:rsid w:val="007D54C0"/>
    <w:rsid w:val="007D5AB1"/>
    <w:rsid w:val="007D6115"/>
    <w:rsid w:val="007D6310"/>
    <w:rsid w:val="007D647B"/>
    <w:rsid w:val="007D673F"/>
    <w:rsid w:val="007D6877"/>
    <w:rsid w:val="007D68F4"/>
    <w:rsid w:val="007D6C84"/>
    <w:rsid w:val="007D6CE5"/>
    <w:rsid w:val="007D6EF0"/>
    <w:rsid w:val="007D7042"/>
    <w:rsid w:val="007D7059"/>
    <w:rsid w:val="007D794A"/>
    <w:rsid w:val="007D7B6F"/>
    <w:rsid w:val="007D7E94"/>
    <w:rsid w:val="007E015E"/>
    <w:rsid w:val="007E0162"/>
    <w:rsid w:val="007E02CC"/>
    <w:rsid w:val="007E07FD"/>
    <w:rsid w:val="007E0981"/>
    <w:rsid w:val="007E0986"/>
    <w:rsid w:val="007E0C8C"/>
    <w:rsid w:val="007E1479"/>
    <w:rsid w:val="007E152B"/>
    <w:rsid w:val="007E191F"/>
    <w:rsid w:val="007E1A55"/>
    <w:rsid w:val="007E1CB1"/>
    <w:rsid w:val="007E201B"/>
    <w:rsid w:val="007E2146"/>
    <w:rsid w:val="007E2416"/>
    <w:rsid w:val="007E284A"/>
    <w:rsid w:val="007E2B64"/>
    <w:rsid w:val="007E3F73"/>
    <w:rsid w:val="007E4584"/>
    <w:rsid w:val="007E4706"/>
    <w:rsid w:val="007E47BC"/>
    <w:rsid w:val="007E48CD"/>
    <w:rsid w:val="007E48E4"/>
    <w:rsid w:val="007E4CD7"/>
    <w:rsid w:val="007E4F0D"/>
    <w:rsid w:val="007E511F"/>
    <w:rsid w:val="007E531F"/>
    <w:rsid w:val="007E54DD"/>
    <w:rsid w:val="007E5A14"/>
    <w:rsid w:val="007E5B22"/>
    <w:rsid w:val="007E5FFD"/>
    <w:rsid w:val="007E666B"/>
    <w:rsid w:val="007E6735"/>
    <w:rsid w:val="007E67F4"/>
    <w:rsid w:val="007E6EF1"/>
    <w:rsid w:val="007E70BE"/>
    <w:rsid w:val="007E7B2B"/>
    <w:rsid w:val="007E7CBA"/>
    <w:rsid w:val="007F05E0"/>
    <w:rsid w:val="007F0B2A"/>
    <w:rsid w:val="007F0B77"/>
    <w:rsid w:val="007F0C6E"/>
    <w:rsid w:val="007F0DD3"/>
    <w:rsid w:val="007F14D7"/>
    <w:rsid w:val="007F18C0"/>
    <w:rsid w:val="007F1E6C"/>
    <w:rsid w:val="007F1F12"/>
    <w:rsid w:val="007F22A5"/>
    <w:rsid w:val="007F2538"/>
    <w:rsid w:val="007F2951"/>
    <w:rsid w:val="007F2DBB"/>
    <w:rsid w:val="007F2ED4"/>
    <w:rsid w:val="007F2F86"/>
    <w:rsid w:val="007F33CD"/>
    <w:rsid w:val="007F3564"/>
    <w:rsid w:val="007F3C69"/>
    <w:rsid w:val="007F3FB0"/>
    <w:rsid w:val="007F43A9"/>
    <w:rsid w:val="007F5608"/>
    <w:rsid w:val="007F5874"/>
    <w:rsid w:val="007F5D4A"/>
    <w:rsid w:val="007F6071"/>
    <w:rsid w:val="007F62F7"/>
    <w:rsid w:val="007F6562"/>
    <w:rsid w:val="007F65F2"/>
    <w:rsid w:val="007F6BB0"/>
    <w:rsid w:val="007F6C1B"/>
    <w:rsid w:val="007F6C5D"/>
    <w:rsid w:val="007F70D6"/>
    <w:rsid w:val="007F72AC"/>
    <w:rsid w:val="007F7864"/>
    <w:rsid w:val="007F795B"/>
    <w:rsid w:val="007F7AF9"/>
    <w:rsid w:val="007F7B6D"/>
    <w:rsid w:val="007F7C2F"/>
    <w:rsid w:val="007F7C5E"/>
    <w:rsid w:val="007F7C88"/>
    <w:rsid w:val="008000CD"/>
    <w:rsid w:val="00800104"/>
    <w:rsid w:val="00800184"/>
    <w:rsid w:val="008004B6"/>
    <w:rsid w:val="00800994"/>
    <w:rsid w:val="00800D5F"/>
    <w:rsid w:val="008013B8"/>
    <w:rsid w:val="00801703"/>
    <w:rsid w:val="0080179D"/>
    <w:rsid w:val="00801813"/>
    <w:rsid w:val="00801838"/>
    <w:rsid w:val="00801CC2"/>
    <w:rsid w:val="00801E41"/>
    <w:rsid w:val="00801FBC"/>
    <w:rsid w:val="00802410"/>
    <w:rsid w:val="00802841"/>
    <w:rsid w:val="00803A19"/>
    <w:rsid w:val="00803E2E"/>
    <w:rsid w:val="00803FAA"/>
    <w:rsid w:val="008041E1"/>
    <w:rsid w:val="00804404"/>
    <w:rsid w:val="00804867"/>
    <w:rsid w:val="0080487F"/>
    <w:rsid w:val="00804B2F"/>
    <w:rsid w:val="00804FDF"/>
    <w:rsid w:val="00805018"/>
    <w:rsid w:val="0080536A"/>
    <w:rsid w:val="008054A1"/>
    <w:rsid w:val="0080623D"/>
    <w:rsid w:val="0080626E"/>
    <w:rsid w:val="0080638C"/>
    <w:rsid w:val="008068E9"/>
    <w:rsid w:val="00806979"/>
    <w:rsid w:val="0080699F"/>
    <w:rsid w:val="00806BBA"/>
    <w:rsid w:val="00806D29"/>
    <w:rsid w:val="0080729C"/>
    <w:rsid w:val="0080770D"/>
    <w:rsid w:val="008078EA"/>
    <w:rsid w:val="00807D28"/>
    <w:rsid w:val="00807D5E"/>
    <w:rsid w:val="00807E1B"/>
    <w:rsid w:val="00807F05"/>
    <w:rsid w:val="0081012C"/>
    <w:rsid w:val="00810A5A"/>
    <w:rsid w:val="00810C3E"/>
    <w:rsid w:val="00810DE9"/>
    <w:rsid w:val="00810EAE"/>
    <w:rsid w:val="00811036"/>
    <w:rsid w:val="008118D6"/>
    <w:rsid w:val="00811EF6"/>
    <w:rsid w:val="00812204"/>
    <w:rsid w:val="008123D5"/>
    <w:rsid w:val="008124FE"/>
    <w:rsid w:val="008127B0"/>
    <w:rsid w:val="0081389D"/>
    <w:rsid w:val="00813C85"/>
    <w:rsid w:val="00813CE0"/>
    <w:rsid w:val="00813F45"/>
    <w:rsid w:val="0081433F"/>
    <w:rsid w:val="0081435D"/>
    <w:rsid w:val="008143A0"/>
    <w:rsid w:val="00814834"/>
    <w:rsid w:val="00814A14"/>
    <w:rsid w:val="00814A1F"/>
    <w:rsid w:val="00814B38"/>
    <w:rsid w:val="00814B65"/>
    <w:rsid w:val="00814C34"/>
    <w:rsid w:val="00814D2B"/>
    <w:rsid w:val="008154B6"/>
    <w:rsid w:val="008155E8"/>
    <w:rsid w:val="00815706"/>
    <w:rsid w:val="00815867"/>
    <w:rsid w:val="0081588C"/>
    <w:rsid w:val="00815F85"/>
    <w:rsid w:val="00816135"/>
    <w:rsid w:val="00816264"/>
    <w:rsid w:val="00816654"/>
    <w:rsid w:val="00816756"/>
    <w:rsid w:val="00816A54"/>
    <w:rsid w:val="00816D94"/>
    <w:rsid w:val="00817508"/>
    <w:rsid w:val="00817636"/>
    <w:rsid w:val="0081787C"/>
    <w:rsid w:val="00817B8F"/>
    <w:rsid w:val="00817C96"/>
    <w:rsid w:val="00817D2A"/>
    <w:rsid w:val="00817F27"/>
    <w:rsid w:val="00820DF1"/>
    <w:rsid w:val="0082172C"/>
    <w:rsid w:val="00821C95"/>
    <w:rsid w:val="00822541"/>
    <w:rsid w:val="008225A2"/>
    <w:rsid w:val="00823335"/>
    <w:rsid w:val="008237B2"/>
    <w:rsid w:val="00823A11"/>
    <w:rsid w:val="00823D4A"/>
    <w:rsid w:val="00823F61"/>
    <w:rsid w:val="0082449E"/>
    <w:rsid w:val="0082483B"/>
    <w:rsid w:val="008249FF"/>
    <w:rsid w:val="008251EC"/>
    <w:rsid w:val="00825C32"/>
    <w:rsid w:val="00825DD4"/>
    <w:rsid w:val="00826204"/>
    <w:rsid w:val="00826D90"/>
    <w:rsid w:val="00827015"/>
    <w:rsid w:val="00827109"/>
    <w:rsid w:val="00827373"/>
    <w:rsid w:val="00827376"/>
    <w:rsid w:val="00827648"/>
    <w:rsid w:val="008276F4"/>
    <w:rsid w:val="00827805"/>
    <w:rsid w:val="00827A41"/>
    <w:rsid w:val="00827AF3"/>
    <w:rsid w:val="00827CA7"/>
    <w:rsid w:val="00827DDC"/>
    <w:rsid w:val="00827E45"/>
    <w:rsid w:val="00830501"/>
    <w:rsid w:val="0083056F"/>
    <w:rsid w:val="00830F16"/>
    <w:rsid w:val="00831198"/>
    <w:rsid w:val="008311E8"/>
    <w:rsid w:val="008314BC"/>
    <w:rsid w:val="0083168E"/>
    <w:rsid w:val="00831AB4"/>
    <w:rsid w:val="00831AE6"/>
    <w:rsid w:val="00831E08"/>
    <w:rsid w:val="008320DA"/>
    <w:rsid w:val="00832142"/>
    <w:rsid w:val="008326B7"/>
    <w:rsid w:val="00832C18"/>
    <w:rsid w:val="00832CAF"/>
    <w:rsid w:val="00832F72"/>
    <w:rsid w:val="00832FF7"/>
    <w:rsid w:val="0083302B"/>
    <w:rsid w:val="008330AE"/>
    <w:rsid w:val="008330DB"/>
    <w:rsid w:val="00833351"/>
    <w:rsid w:val="00833434"/>
    <w:rsid w:val="00833EF5"/>
    <w:rsid w:val="00834137"/>
    <w:rsid w:val="0083417A"/>
    <w:rsid w:val="00834512"/>
    <w:rsid w:val="00834746"/>
    <w:rsid w:val="008349E7"/>
    <w:rsid w:val="00834F4B"/>
    <w:rsid w:val="008353C3"/>
    <w:rsid w:val="008353F6"/>
    <w:rsid w:val="008358DF"/>
    <w:rsid w:val="008359D7"/>
    <w:rsid w:val="00835B0A"/>
    <w:rsid w:val="00835B82"/>
    <w:rsid w:val="00835B8A"/>
    <w:rsid w:val="00836133"/>
    <w:rsid w:val="00836193"/>
    <w:rsid w:val="00836402"/>
    <w:rsid w:val="0083657B"/>
    <w:rsid w:val="008369C6"/>
    <w:rsid w:val="00836B5B"/>
    <w:rsid w:val="00836C1A"/>
    <w:rsid w:val="00836C68"/>
    <w:rsid w:val="00836D5D"/>
    <w:rsid w:val="00836F27"/>
    <w:rsid w:val="00836FC2"/>
    <w:rsid w:val="00837034"/>
    <w:rsid w:val="0083768C"/>
    <w:rsid w:val="008376BA"/>
    <w:rsid w:val="00837927"/>
    <w:rsid w:val="008401C3"/>
    <w:rsid w:val="008403BA"/>
    <w:rsid w:val="008404D7"/>
    <w:rsid w:val="00840634"/>
    <w:rsid w:val="00840A68"/>
    <w:rsid w:val="00840A83"/>
    <w:rsid w:val="00840D46"/>
    <w:rsid w:val="0084100E"/>
    <w:rsid w:val="008411A2"/>
    <w:rsid w:val="008412EA"/>
    <w:rsid w:val="00841573"/>
    <w:rsid w:val="008419A1"/>
    <w:rsid w:val="00841EA7"/>
    <w:rsid w:val="00841EB3"/>
    <w:rsid w:val="00842061"/>
    <w:rsid w:val="00842DB7"/>
    <w:rsid w:val="008430CD"/>
    <w:rsid w:val="00843388"/>
    <w:rsid w:val="0084351C"/>
    <w:rsid w:val="008436D3"/>
    <w:rsid w:val="0084387F"/>
    <w:rsid w:val="00843AFD"/>
    <w:rsid w:val="008444F8"/>
    <w:rsid w:val="008445B3"/>
    <w:rsid w:val="00844750"/>
    <w:rsid w:val="0084499E"/>
    <w:rsid w:val="00845055"/>
    <w:rsid w:val="00845F51"/>
    <w:rsid w:val="00845F5B"/>
    <w:rsid w:val="00845F6D"/>
    <w:rsid w:val="00846106"/>
    <w:rsid w:val="008462E7"/>
    <w:rsid w:val="00846467"/>
    <w:rsid w:val="0084688A"/>
    <w:rsid w:val="00846EE5"/>
    <w:rsid w:val="00847991"/>
    <w:rsid w:val="00847999"/>
    <w:rsid w:val="00847C4E"/>
    <w:rsid w:val="00850060"/>
    <w:rsid w:val="00850174"/>
    <w:rsid w:val="008504F0"/>
    <w:rsid w:val="00850608"/>
    <w:rsid w:val="00850A70"/>
    <w:rsid w:val="00851076"/>
    <w:rsid w:val="008511B7"/>
    <w:rsid w:val="0085130C"/>
    <w:rsid w:val="008519A8"/>
    <w:rsid w:val="00851B22"/>
    <w:rsid w:val="008521C5"/>
    <w:rsid w:val="00852317"/>
    <w:rsid w:val="00852338"/>
    <w:rsid w:val="00852F3B"/>
    <w:rsid w:val="0085302A"/>
    <w:rsid w:val="008531B1"/>
    <w:rsid w:val="00853506"/>
    <w:rsid w:val="00853657"/>
    <w:rsid w:val="00853B2A"/>
    <w:rsid w:val="00853C45"/>
    <w:rsid w:val="00853C6A"/>
    <w:rsid w:val="00853FD4"/>
    <w:rsid w:val="00854090"/>
    <w:rsid w:val="008540CB"/>
    <w:rsid w:val="008540E5"/>
    <w:rsid w:val="00854104"/>
    <w:rsid w:val="00854157"/>
    <w:rsid w:val="0085429C"/>
    <w:rsid w:val="00854983"/>
    <w:rsid w:val="00854B60"/>
    <w:rsid w:val="00854B9A"/>
    <w:rsid w:val="008551F7"/>
    <w:rsid w:val="008555CB"/>
    <w:rsid w:val="0085562C"/>
    <w:rsid w:val="00855A3E"/>
    <w:rsid w:val="00856301"/>
    <w:rsid w:val="00856562"/>
    <w:rsid w:val="008566E7"/>
    <w:rsid w:val="008569DF"/>
    <w:rsid w:val="00856ACF"/>
    <w:rsid w:val="00856E4A"/>
    <w:rsid w:val="00856FF3"/>
    <w:rsid w:val="0085722A"/>
    <w:rsid w:val="008577BE"/>
    <w:rsid w:val="008577F6"/>
    <w:rsid w:val="00857C34"/>
    <w:rsid w:val="00857F79"/>
    <w:rsid w:val="00860315"/>
    <w:rsid w:val="0086037F"/>
    <w:rsid w:val="00860F10"/>
    <w:rsid w:val="008615A2"/>
    <w:rsid w:val="00861B41"/>
    <w:rsid w:val="00861D65"/>
    <w:rsid w:val="00861DA1"/>
    <w:rsid w:val="008620C2"/>
    <w:rsid w:val="00862173"/>
    <w:rsid w:val="00862290"/>
    <w:rsid w:val="00862299"/>
    <w:rsid w:val="008626B0"/>
    <w:rsid w:val="00862988"/>
    <w:rsid w:val="00863479"/>
    <w:rsid w:val="00863AA0"/>
    <w:rsid w:val="00863BCC"/>
    <w:rsid w:val="00864A9F"/>
    <w:rsid w:val="008650AB"/>
    <w:rsid w:val="00865200"/>
    <w:rsid w:val="00865696"/>
    <w:rsid w:val="00865D4C"/>
    <w:rsid w:val="00865DE1"/>
    <w:rsid w:val="00866453"/>
    <w:rsid w:val="00866781"/>
    <w:rsid w:val="00866B3D"/>
    <w:rsid w:val="00867F66"/>
    <w:rsid w:val="00870018"/>
    <w:rsid w:val="008703F9"/>
    <w:rsid w:val="00870793"/>
    <w:rsid w:val="00870A1C"/>
    <w:rsid w:val="00870C0F"/>
    <w:rsid w:val="00870E13"/>
    <w:rsid w:val="00871029"/>
    <w:rsid w:val="00871096"/>
    <w:rsid w:val="008710EF"/>
    <w:rsid w:val="00871171"/>
    <w:rsid w:val="008712B8"/>
    <w:rsid w:val="008717A0"/>
    <w:rsid w:val="0087182E"/>
    <w:rsid w:val="00871CDF"/>
    <w:rsid w:val="00871D14"/>
    <w:rsid w:val="0087229F"/>
    <w:rsid w:val="008722B0"/>
    <w:rsid w:val="0087250F"/>
    <w:rsid w:val="008726A0"/>
    <w:rsid w:val="00872AE1"/>
    <w:rsid w:val="00873422"/>
    <w:rsid w:val="008734E7"/>
    <w:rsid w:val="00873BF0"/>
    <w:rsid w:val="00874013"/>
    <w:rsid w:val="00874D5F"/>
    <w:rsid w:val="00874E33"/>
    <w:rsid w:val="00874F9B"/>
    <w:rsid w:val="00874FAC"/>
    <w:rsid w:val="00874FE8"/>
    <w:rsid w:val="0087504C"/>
    <w:rsid w:val="00875389"/>
    <w:rsid w:val="00875391"/>
    <w:rsid w:val="00875905"/>
    <w:rsid w:val="00875B58"/>
    <w:rsid w:val="00875E7F"/>
    <w:rsid w:val="00875F79"/>
    <w:rsid w:val="00875FBD"/>
    <w:rsid w:val="00876321"/>
    <w:rsid w:val="00876AC7"/>
    <w:rsid w:val="0087707C"/>
    <w:rsid w:val="0087721D"/>
    <w:rsid w:val="008772A5"/>
    <w:rsid w:val="0087746C"/>
    <w:rsid w:val="00877C57"/>
    <w:rsid w:val="00877C86"/>
    <w:rsid w:val="00877FA3"/>
    <w:rsid w:val="0088011E"/>
    <w:rsid w:val="0088031D"/>
    <w:rsid w:val="008804C9"/>
    <w:rsid w:val="008804DC"/>
    <w:rsid w:val="0088052B"/>
    <w:rsid w:val="008806C5"/>
    <w:rsid w:val="00880B3D"/>
    <w:rsid w:val="00880D84"/>
    <w:rsid w:val="00880F69"/>
    <w:rsid w:val="008810DF"/>
    <w:rsid w:val="008810FA"/>
    <w:rsid w:val="008811F2"/>
    <w:rsid w:val="00881842"/>
    <w:rsid w:val="00881A1C"/>
    <w:rsid w:val="00881F28"/>
    <w:rsid w:val="0088261A"/>
    <w:rsid w:val="00882881"/>
    <w:rsid w:val="00882BB1"/>
    <w:rsid w:val="00882DCF"/>
    <w:rsid w:val="00883004"/>
    <w:rsid w:val="0088366F"/>
    <w:rsid w:val="00883D18"/>
    <w:rsid w:val="00883ED6"/>
    <w:rsid w:val="00883F8F"/>
    <w:rsid w:val="00884255"/>
    <w:rsid w:val="0088425B"/>
    <w:rsid w:val="00884B7A"/>
    <w:rsid w:val="0088579F"/>
    <w:rsid w:val="0088589E"/>
    <w:rsid w:val="0088599D"/>
    <w:rsid w:val="00885D5D"/>
    <w:rsid w:val="00885F46"/>
    <w:rsid w:val="00886116"/>
    <w:rsid w:val="00886211"/>
    <w:rsid w:val="0088651F"/>
    <w:rsid w:val="00886C56"/>
    <w:rsid w:val="00886D72"/>
    <w:rsid w:val="00886FC5"/>
    <w:rsid w:val="00887771"/>
    <w:rsid w:val="00887A19"/>
    <w:rsid w:val="00887A92"/>
    <w:rsid w:val="00887DAB"/>
    <w:rsid w:val="0089035C"/>
    <w:rsid w:val="0089076E"/>
    <w:rsid w:val="008907B2"/>
    <w:rsid w:val="00890B03"/>
    <w:rsid w:val="00890BCD"/>
    <w:rsid w:val="00890F04"/>
    <w:rsid w:val="00890F2B"/>
    <w:rsid w:val="00890F64"/>
    <w:rsid w:val="008911A2"/>
    <w:rsid w:val="00891692"/>
    <w:rsid w:val="00891A5E"/>
    <w:rsid w:val="00891D62"/>
    <w:rsid w:val="00891F63"/>
    <w:rsid w:val="008922DC"/>
    <w:rsid w:val="008922DF"/>
    <w:rsid w:val="00892FD7"/>
    <w:rsid w:val="00893024"/>
    <w:rsid w:val="00893723"/>
    <w:rsid w:val="00893ABC"/>
    <w:rsid w:val="00893B3B"/>
    <w:rsid w:val="00893CB5"/>
    <w:rsid w:val="00894304"/>
    <w:rsid w:val="00894A6F"/>
    <w:rsid w:val="00894BCD"/>
    <w:rsid w:val="00894D3B"/>
    <w:rsid w:val="00895243"/>
    <w:rsid w:val="00895461"/>
    <w:rsid w:val="00895A0C"/>
    <w:rsid w:val="0089654E"/>
    <w:rsid w:val="00896A6F"/>
    <w:rsid w:val="00896D10"/>
    <w:rsid w:val="00896DF5"/>
    <w:rsid w:val="0089761F"/>
    <w:rsid w:val="00897EFC"/>
    <w:rsid w:val="008A0173"/>
    <w:rsid w:val="008A0339"/>
    <w:rsid w:val="008A0364"/>
    <w:rsid w:val="008A03A0"/>
    <w:rsid w:val="008A0473"/>
    <w:rsid w:val="008A04BD"/>
    <w:rsid w:val="008A04C7"/>
    <w:rsid w:val="008A0627"/>
    <w:rsid w:val="008A0734"/>
    <w:rsid w:val="008A0D4A"/>
    <w:rsid w:val="008A111D"/>
    <w:rsid w:val="008A1706"/>
    <w:rsid w:val="008A18A4"/>
    <w:rsid w:val="008A197B"/>
    <w:rsid w:val="008A1AC3"/>
    <w:rsid w:val="008A1C65"/>
    <w:rsid w:val="008A1C6C"/>
    <w:rsid w:val="008A1C7D"/>
    <w:rsid w:val="008A1EA1"/>
    <w:rsid w:val="008A24B3"/>
    <w:rsid w:val="008A24BD"/>
    <w:rsid w:val="008A2AAE"/>
    <w:rsid w:val="008A2F26"/>
    <w:rsid w:val="008A2F9B"/>
    <w:rsid w:val="008A3623"/>
    <w:rsid w:val="008A36ED"/>
    <w:rsid w:val="008A3729"/>
    <w:rsid w:val="008A3898"/>
    <w:rsid w:val="008A3995"/>
    <w:rsid w:val="008A3FB5"/>
    <w:rsid w:val="008A42D8"/>
    <w:rsid w:val="008A457F"/>
    <w:rsid w:val="008A4FA2"/>
    <w:rsid w:val="008A53C3"/>
    <w:rsid w:val="008A56E0"/>
    <w:rsid w:val="008A5784"/>
    <w:rsid w:val="008A59E9"/>
    <w:rsid w:val="008A5EAA"/>
    <w:rsid w:val="008A631F"/>
    <w:rsid w:val="008A668F"/>
    <w:rsid w:val="008A6FA2"/>
    <w:rsid w:val="008A7285"/>
    <w:rsid w:val="008A72A4"/>
    <w:rsid w:val="008A745B"/>
    <w:rsid w:val="008A758D"/>
    <w:rsid w:val="008A75A2"/>
    <w:rsid w:val="008A75C5"/>
    <w:rsid w:val="008A7669"/>
    <w:rsid w:val="008A7819"/>
    <w:rsid w:val="008A7BEA"/>
    <w:rsid w:val="008A7C09"/>
    <w:rsid w:val="008A7CE5"/>
    <w:rsid w:val="008A7E4C"/>
    <w:rsid w:val="008B01A2"/>
    <w:rsid w:val="008B097E"/>
    <w:rsid w:val="008B0A66"/>
    <w:rsid w:val="008B0B3E"/>
    <w:rsid w:val="008B0C49"/>
    <w:rsid w:val="008B0CD0"/>
    <w:rsid w:val="008B0E6F"/>
    <w:rsid w:val="008B0FE8"/>
    <w:rsid w:val="008B1296"/>
    <w:rsid w:val="008B130E"/>
    <w:rsid w:val="008B14E3"/>
    <w:rsid w:val="008B1651"/>
    <w:rsid w:val="008B175A"/>
    <w:rsid w:val="008B1E1E"/>
    <w:rsid w:val="008B1EFF"/>
    <w:rsid w:val="008B2151"/>
    <w:rsid w:val="008B21F5"/>
    <w:rsid w:val="008B23D8"/>
    <w:rsid w:val="008B2417"/>
    <w:rsid w:val="008B269F"/>
    <w:rsid w:val="008B2A2E"/>
    <w:rsid w:val="008B2D1D"/>
    <w:rsid w:val="008B2D5B"/>
    <w:rsid w:val="008B2DEB"/>
    <w:rsid w:val="008B33D2"/>
    <w:rsid w:val="008B35ED"/>
    <w:rsid w:val="008B396C"/>
    <w:rsid w:val="008B41EF"/>
    <w:rsid w:val="008B4230"/>
    <w:rsid w:val="008B447F"/>
    <w:rsid w:val="008B4A3B"/>
    <w:rsid w:val="008B4AD8"/>
    <w:rsid w:val="008B4B0D"/>
    <w:rsid w:val="008B4B33"/>
    <w:rsid w:val="008B4BA7"/>
    <w:rsid w:val="008B4F28"/>
    <w:rsid w:val="008B4F3F"/>
    <w:rsid w:val="008B535C"/>
    <w:rsid w:val="008B5577"/>
    <w:rsid w:val="008B58AE"/>
    <w:rsid w:val="008B5A8B"/>
    <w:rsid w:val="008B60E9"/>
    <w:rsid w:val="008B60ED"/>
    <w:rsid w:val="008B68DD"/>
    <w:rsid w:val="008B6904"/>
    <w:rsid w:val="008B6E5C"/>
    <w:rsid w:val="008B7394"/>
    <w:rsid w:val="008B75B0"/>
    <w:rsid w:val="008B766A"/>
    <w:rsid w:val="008B7893"/>
    <w:rsid w:val="008B7A0E"/>
    <w:rsid w:val="008C0192"/>
    <w:rsid w:val="008C0B9C"/>
    <w:rsid w:val="008C0FB9"/>
    <w:rsid w:val="008C1106"/>
    <w:rsid w:val="008C2426"/>
    <w:rsid w:val="008C2453"/>
    <w:rsid w:val="008C26B4"/>
    <w:rsid w:val="008C28BA"/>
    <w:rsid w:val="008C30ED"/>
    <w:rsid w:val="008C3240"/>
    <w:rsid w:val="008C3519"/>
    <w:rsid w:val="008C39F9"/>
    <w:rsid w:val="008C4188"/>
    <w:rsid w:val="008C4514"/>
    <w:rsid w:val="008C4B47"/>
    <w:rsid w:val="008C4F50"/>
    <w:rsid w:val="008C4FE4"/>
    <w:rsid w:val="008C532E"/>
    <w:rsid w:val="008C550E"/>
    <w:rsid w:val="008C57D1"/>
    <w:rsid w:val="008C58BA"/>
    <w:rsid w:val="008C59D5"/>
    <w:rsid w:val="008C5B10"/>
    <w:rsid w:val="008C6C72"/>
    <w:rsid w:val="008C6C7A"/>
    <w:rsid w:val="008C6F4F"/>
    <w:rsid w:val="008C70B1"/>
    <w:rsid w:val="008C74CC"/>
    <w:rsid w:val="008C7F77"/>
    <w:rsid w:val="008D008C"/>
    <w:rsid w:val="008D0134"/>
    <w:rsid w:val="008D02CB"/>
    <w:rsid w:val="008D0459"/>
    <w:rsid w:val="008D05D2"/>
    <w:rsid w:val="008D0A9C"/>
    <w:rsid w:val="008D0B9F"/>
    <w:rsid w:val="008D13DC"/>
    <w:rsid w:val="008D149D"/>
    <w:rsid w:val="008D1E23"/>
    <w:rsid w:val="008D2461"/>
    <w:rsid w:val="008D24B4"/>
    <w:rsid w:val="008D27B6"/>
    <w:rsid w:val="008D2E98"/>
    <w:rsid w:val="008D3208"/>
    <w:rsid w:val="008D3BDC"/>
    <w:rsid w:val="008D3CEE"/>
    <w:rsid w:val="008D3F21"/>
    <w:rsid w:val="008D3F74"/>
    <w:rsid w:val="008D410B"/>
    <w:rsid w:val="008D4277"/>
    <w:rsid w:val="008D453F"/>
    <w:rsid w:val="008D469A"/>
    <w:rsid w:val="008D508F"/>
    <w:rsid w:val="008D538D"/>
    <w:rsid w:val="008D592A"/>
    <w:rsid w:val="008D592F"/>
    <w:rsid w:val="008D5D58"/>
    <w:rsid w:val="008D5F10"/>
    <w:rsid w:val="008D5FCD"/>
    <w:rsid w:val="008D6733"/>
    <w:rsid w:val="008D6927"/>
    <w:rsid w:val="008D6A69"/>
    <w:rsid w:val="008D6F90"/>
    <w:rsid w:val="008D72A4"/>
    <w:rsid w:val="008D7378"/>
    <w:rsid w:val="008D7554"/>
    <w:rsid w:val="008D7615"/>
    <w:rsid w:val="008D76A0"/>
    <w:rsid w:val="008D78C3"/>
    <w:rsid w:val="008D78F4"/>
    <w:rsid w:val="008D7DEB"/>
    <w:rsid w:val="008E0054"/>
    <w:rsid w:val="008E037E"/>
    <w:rsid w:val="008E03C6"/>
    <w:rsid w:val="008E04B5"/>
    <w:rsid w:val="008E0CDD"/>
    <w:rsid w:val="008E0E89"/>
    <w:rsid w:val="008E0E8C"/>
    <w:rsid w:val="008E1214"/>
    <w:rsid w:val="008E1217"/>
    <w:rsid w:val="008E1294"/>
    <w:rsid w:val="008E176B"/>
    <w:rsid w:val="008E1B76"/>
    <w:rsid w:val="008E1FDF"/>
    <w:rsid w:val="008E2051"/>
    <w:rsid w:val="008E20EC"/>
    <w:rsid w:val="008E24B5"/>
    <w:rsid w:val="008E2562"/>
    <w:rsid w:val="008E290D"/>
    <w:rsid w:val="008E2B47"/>
    <w:rsid w:val="008E2C59"/>
    <w:rsid w:val="008E2D58"/>
    <w:rsid w:val="008E329C"/>
    <w:rsid w:val="008E330B"/>
    <w:rsid w:val="008E35C0"/>
    <w:rsid w:val="008E378A"/>
    <w:rsid w:val="008E388C"/>
    <w:rsid w:val="008E3D78"/>
    <w:rsid w:val="008E3F52"/>
    <w:rsid w:val="008E412D"/>
    <w:rsid w:val="008E4152"/>
    <w:rsid w:val="008E427C"/>
    <w:rsid w:val="008E4280"/>
    <w:rsid w:val="008E451A"/>
    <w:rsid w:val="008E4820"/>
    <w:rsid w:val="008E4DE6"/>
    <w:rsid w:val="008E577E"/>
    <w:rsid w:val="008E5B5F"/>
    <w:rsid w:val="008E5B80"/>
    <w:rsid w:val="008E5D5A"/>
    <w:rsid w:val="008E60D0"/>
    <w:rsid w:val="008E6333"/>
    <w:rsid w:val="008E63CD"/>
    <w:rsid w:val="008E6718"/>
    <w:rsid w:val="008E6788"/>
    <w:rsid w:val="008E7284"/>
    <w:rsid w:val="008E7DB3"/>
    <w:rsid w:val="008F01AB"/>
    <w:rsid w:val="008F0460"/>
    <w:rsid w:val="008F0D27"/>
    <w:rsid w:val="008F11C6"/>
    <w:rsid w:val="008F1219"/>
    <w:rsid w:val="008F123C"/>
    <w:rsid w:val="008F1CF8"/>
    <w:rsid w:val="008F1F85"/>
    <w:rsid w:val="008F2201"/>
    <w:rsid w:val="008F22C4"/>
    <w:rsid w:val="008F2369"/>
    <w:rsid w:val="008F2595"/>
    <w:rsid w:val="008F2716"/>
    <w:rsid w:val="008F2B4B"/>
    <w:rsid w:val="008F2F36"/>
    <w:rsid w:val="008F3A40"/>
    <w:rsid w:val="008F3D2D"/>
    <w:rsid w:val="008F3D7C"/>
    <w:rsid w:val="008F3DC9"/>
    <w:rsid w:val="008F3F46"/>
    <w:rsid w:val="008F4107"/>
    <w:rsid w:val="008F46DB"/>
    <w:rsid w:val="008F473A"/>
    <w:rsid w:val="008F4786"/>
    <w:rsid w:val="008F4B05"/>
    <w:rsid w:val="008F4BFE"/>
    <w:rsid w:val="008F4E3F"/>
    <w:rsid w:val="008F5085"/>
    <w:rsid w:val="008F5184"/>
    <w:rsid w:val="008F52BC"/>
    <w:rsid w:val="008F595E"/>
    <w:rsid w:val="008F5AA2"/>
    <w:rsid w:val="008F6030"/>
    <w:rsid w:val="008F607A"/>
    <w:rsid w:val="008F6188"/>
    <w:rsid w:val="008F6649"/>
    <w:rsid w:val="008F68E9"/>
    <w:rsid w:val="008F6CD0"/>
    <w:rsid w:val="008F6CD1"/>
    <w:rsid w:val="008F7067"/>
    <w:rsid w:val="008F77C3"/>
    <w:rsid w:val="008F7BD6"/>
    <w:rsid w:val="008F7CEF"/>
    <w:rsid w:val="009000FD"/>
    <w:rsid w:val="00900DDE"/>
    <w:rsid w:val="00900DF1"/>
    <w:rsid w:val="00900E95"/>
    <w:rsid w:val="00900FA1"/>
    <w:rsid w:val="0090108C"/>
    <w:rsid w:val="00901421"/>
    <w:rsid w:val="0090173C"/>
    <w:rsid w:val="009017E2"/>
    <w:rsid w:val="00901845"/>
    <w:rsid w:val="00901926"/>
    <w:rsid w:val="009022BC"/>
    <w:rsid w:val="0090255A"/>
    <w:rsid w:val="00902734"/>
    <w:rsid w:val="00902997"/>
    <w:rsid w:val="009029F0"/>
    <w:rsid w:val="0090300D"/>
    <w:rsid w:val="009030C4"/>
    <w:rsid w:val="00903281"/>
    <w:rsid w:val="009032CC"/>
    <w:rsid w:val="009036A5"/>
    <w:rsid w:val="00903F59"/>
    <w:rsid w:val="0090411E"/>
    <w:rsid w:val="009045C7"/>
    <w:rsid w:val="0090480E"/>
    <w:rsid w:val="00904A52"/>
    <w:rsid w:val="00904A62"/>
    <w:rsid w:val="00904B6D"/>
    <w:rsid w:val="00904C73"/>
    <w:rsid w:val="00904E1D"/>
    <w:rsid w:val="0090557B"/>
    <w:rsid w:val="00905A06"/>
    <w:rsid w:val="00905E2D"/>
    <w:rsid w:val="00906100"/>
    <w:rsid w:val="009067B8"/>
    <w:rsid w:val="00906EED"/>
    <w:rsid w:val="00907071"/>
    <w:rsid w:val="0090715C"/>
    <w:rsid w:val="00910178"/>
    <w:rsid w:val="009106B0"/>
    <w:rsid w:val="009108A7"/>
    <w:rsid w:val="00910A24"/>
    <w:rsid w:val="00910D91"/>
    <w:rsid w:val="00910ED6"/>
    <w:rsid w:val="00911052"/>
    <w:rsid w:val="0091192E"/>
    <w:rsid w:val="0091199C"/>
    <w:rsid w:val="00911E1A"/>
    <w:rsid w:val="009122C8"/>
    <w:rsid w:val="009123B9"/>
    <w:rsid w:val="00912BE4"/>
    <w:rsid w:val="009131D7"/>
    <w:rsid w:val="009136E4"/>
    <w:rsid w:val="009138EB"/>
    <w:rsid w:val="00913AEE"/>
    <w:rsid w:val="00913B4C"/>
    <w:rsid w:val="00913F4C"/>
    <w:rsid w:val="0091404B"/>
    <w:rsid w:val="0091423A"/>
    <w:rsid w:val="00914A5D"/>
    <w:rsid w:val="00914B0F"/>
    <w:rsid w:val="00914B9E"/>
    <w:rsid w:val="00914F86"/>
    <w:rsid w:val="00915032"/>
    <w:rsid w:val="0091537E"/>
    <w:rsid w:val="009154BD"/>
    <w:rsid w:val="0091590D"/>
    <w:rsid w:val="00915DB6"/>
    <w:rsid w:val="0091610F"/>
    <w:rsid w:val="009161BA"/>
    <w:rsid w:val="009166EE"/>
    <w:rsid w:val="00916827"/>
    <w:rsid w:val="00916886"/>
    <w:rsid w:val="0091690C"/>
    <w:rsid w:val="009170CE"/>
    <w:rsid w:val="009171B7"/>
    <w:rsid w:val="009172BA"/>
    <w:rsid w:val="00917FC8"/>
    <w:rsid w:val="009200D2"/>
    <w:rsid w:val="0092082F"/>
    <w:rsid w:val="00920A7B"/>
    <w:rsid w:val="00920E93"/>
    <w:rsid w:val="00920FE4"/>
    <w:rsid w:val="00921140"/>
    <w:rsid w:val="009216BF"/>
    <w:rsid w:val="009218D2"/>
    <w:rsid w:val="00921A74"/>
    <w:rsid w:val="00921C78"/>
    <w:rsid w:val="00921C9F"/>
    <w:rsid w:val="00921ED5"/>
    <w:rsid w:val="00921FA1"/>
    <w:rsid w:val="009223FC"/>
    <w:rsid w:val="009225B6"/>
    <w:rsid w:val="0092286C"/>
    <w:rsid w:val="00922D55"/>
    <w:rsid w:val="00922DE5"/>
    <w:rsid w:val="00923151"/>
    <w:rsid w:val="009239D8"/>
    <w:rsid w:val="00923ABA"/>
    <w:rsid w:val="00924108"/>
    <w:rsid w:val="0092434B"/>
    <w:rsid w:val="009247D8"/>
    <w:rsid w:val="00924842"/>
    <w:rsid w:val="00924AB6"/>
    <w:rsid w:val="00924BE9"/>
    <w:rsid w:val="00924F5D"/>
    <w:rsid w:val="0092507E"/>
    <w:rsid w:val="009255A9"/>
    <w:rsid w:val="00925603"/>
    <w:rsid w:val="00925836"/>
    <w:rsid w:val="00925AE7"/>
    <w:rsid w:val="00925C3F"/>
    <w:rsid w:val="00925DD1"/>
    <w:rsid w:val="009260EC"/>
    <w:rsid w:val="00926264"/>
    <w:rsid w:val="0092634B"/>
    <w:rsid w:val="00926595"/>
    <w:rsid w:val="0092698B"/>
    <w:rsid w:val="009269EB"/>
    <w:rsid w:val="00927060"/>
    <w:rsid w:val="00927211"/>
    <w:rsid w:val="009272DB"/>
    <w:rsid w:val="00927752"/>
    <w:rsid w:val="00930305"/>
    <w:rsid w:val="0093063D"/>
    <w:rsid w:val="0093135E"/>
    <w:rsid w:val="0093195D"/>
    <w:rsid w:val="00932100"/>
    <w:rsid w:val="00932109"/>
    <w:rsid w:val="009322AC"/>
    <w:rsid w:val="009324B1"/>
    <w:rsid w:val="009327B5"/>
    <w:rsid w:val="00932907"/>
    <w:rsid w:val="00932936"/>
    <w:rsid w:val="00932A16"/>
    <w:rsid w:val="00932A20"/>
    <w:rsid w:val="00932C9A"/>
    <w:rsid w:val="0093311E"/>
    <w:rsid w:val="0093396F"/>
    <w:rsid w:val="0093398A"/>
    <w:rsid w:val="00933C28"/>
    <w:rsid w:val="00933D61"/>
    <w:rsid w:val="00933DE4"/>
    <w:rsid w:val="0093457F"/>
    <w:rsid w:val="009355F0"/>
    <w:rsid w:val="00935B52"/>
    <w:rsid w:val="00935BA8"/>
    <w:rsid w:val="00935E52"/>
    <w:rsid w:val="00936951"/>
    <w:rsid w:val="00936A90"/>
    <w:rsid w:val="009370A6"/>
    <w:rsid w:val="00937AC7"/>
    <w:rsid w:val="00937D15"/>
    <w:rsid w:val="009401C0"/>
    <w:rsid w:val="009406F4"/>
    <w:rsid w:val="00940A5D"/>
    <w:rsid w:val="00940BCB"/>
    <w:rsid w:val="00940C1B"/>
    <w:rsid w:val="00940D85"/>
    <w:rsid w:val="00940DF4"/>
    <w:rsid w:val="00940F45"/>
    <w:rsid w:val="00940F95"/>
    <w:rsid w:val="00940FB5"/>
    <w:rsid w:val="0094148B"/>
    <w:rsid w:val="00941A1C"/>
    <w:rsid w:val="00941B97"/>
    <w:rsid w:val="00941CE1"/>
    <w:rsid w:val="009422F0"/>
    <w:rsid w:val="00942BB8"/>
    <w:rsid w:val="0094335F"/>
    <w:rsid w:val="00943D09"/>
    <w:rsid w:val="00944202"/>
    <w:rsid w:val="00944335"/>
    <w:rsid w:val="00944710"/>
    <w:rsid w:val="00944AF4"/>
    <w:rsid w:val="00944B7D"/>
    <w:rsid w:val="00944D54"/>
    <w:rsid w:val="00944EC4"/>
    <w:rsid w:val="00945337"/>
    <w:rsid w:val="0094567F"/>
    <w:rsid w:val="00945D81"/>
    <w:rsid w:val="00945E49"/>
    <w:rsid w:val="009462D8"/>
    <w:rsid w:val="00946388"/>
    <w:rsid w:val="009469FE"/>
    <w:rsid w:val="009477BE"/>
    <w:rsid w:val="00950272"/>
    <w:rsid w:val="00950609"/>
    <w:rsid w:val="009509D7"/>
    <w:rsid w:val="00950B09"/>
    <w:rsid w:val="00950DD1"/>
    <w:rsid w:val="00951417"/>
    <w:rsid w:val="0095154C"/>
    <w:rsid w:val="009517A9"/>
    <w:rsid w:val="009518B4"/>
    <w:rsid w:val="009518BD"/>
    <w:rsid w:val="00951995"/>
    <w:rsid w:val="00951C7E"/>
    <w:rsid w:val="00951CF6"/>
    <w:rsid w:val="00952216"/>
    <w:rsid w:val="0095225E"/>
    <w:rsid w:val="0095236E"/>
    <w:rsid w:val="00952ACA"/>
    <w:rsid w:val="00952CD2"/>
    <w:rsid w:val="009534C9"/>
    <w:rsid w:val="009537A7"/>
    <w:rsid w:val="00953B1F"/>
    <w:rsid w:val="00953C4F"/>
    <w:rsid w:val="009542A5"/>
    <w:rsid w:val="009543E7"/>
    <w:rsid w:val="009548C3"/>
    <w:rsid w:val="00954A45"/>
    <w:rsid w:val="0095506D"/>
    <w:rsid w:val="009553C4"/>
    <w:rsid w:val="009555E2"/>
    <w:rsid w:val="009557DF"/>
    <w:rsid w:val="00955A2E"/>
    <w:rsid w:val="00956101"/>
    <w:rsid w:val="00956383"/>
    <w:rsid w:val="00956526"/>
    <w:rsid w:val="009569E2"/>
    <w:rsid w:val="00957060"/>
    <w:rsid w:val="009571E6"/>
    <w:rsid w:val="00957487"/>
    <w:rsid w:val="0095771D"/>
    <w:rsid w:val="00957D9C"/>
    <w:rsid w:val="00957F40"/>
    <w:rsid w:val="009603AB"/>
    <w:rsid w:val="009605AC"/>
    <w:rsid w:val="009607AF"/>
    <w:rsid w:val="00960863"/>
    <w:rsid w:val="00960A88"/>
    <w:rsid w:val="00960B3F"/>
    <w:rsid w:val="00960C68"/>
    <w:rsid w:val="00960CB6"/>
    <w:rsid w:val="00960D27"/>
    <w:rsid w:val="00960DDC"/>
    <w:rsid w:val="00961023"/>
    <w:rsid w:val="009612F1"/>
    <w:rsid w:val="009613DF"/>
    <w:rsid w:val="00961467"/>
    <w:rsid w:val="009615CC"/>
    <w:rsid w:val="009616FA"/>
    <w:rsid w:val="00961829"/>
    <w:rsid w:val="00961E6D"/>
    <w:rsid w:val="00961F21"/>
    <w:rsid w:val="009621FF"/>
    <w:rsid w:val="00962647"/>
    <w:rsid w:val="00962874"/>
    <w:rsid w:val="0096292B"/>
    <w:rsid w:val="009630FD"/>
    <w:rsid w:val="0096336E"/>
    <w:rsid w:val="0096392B"/>
    <w:rsid w:val="0096397B"/>
    <w:rsid w:val="00963A7C"/>
    <w:rsid w:val="00963B4B"/>
    <w:rsid w:val="009640C7"/>
    <w:rsid w:val="00964632"/>
    <w:rsid w:val="009649EA"/>
    <w:rsid w:val="00964B7F"/>
    <w:rsid w:val="00964DB8"/>
    <w:rsid w:val="00964E3C"/>
    <w:rsid w:val="00964E69"/>
    <w:rsid w:val="0096504D"/>
    <w:rsid w:val="009654F0"/>
    <w:rsid w:val="00965655"/>
    <w:rsid w:val="009656FA"/>
    <w:rsid w:val="009659EA"/>
    <w:rsid w:val="0096691D"/>
    <w:rsid w:val="00966EC4"/>
    <w:rsid w:val="009672BC"/>
    <w:rsid w:val="0096766C"/>
    <w:rsid w:val="00967851"/>
    <w:rsid w:val="00967B67"/>
    <w:rsid w:val="00967D2D"/>
    <w:rsid w:val="00967D7D"/>
    <w:rsid w:val="00970671"/>
    <w:rsid w:val="00970872"/>
    <w:rsid w:val="00970F7A"/>
    <w:rsid w:val="00970FE3"/>
    <w:rsid w:val="00971190"/>
    <w:rsid w:val="009712FC"/>
    <w:rsid w:val="009717CD"/>
    <w:rsid w:val="009718F0"/>
    <w:rsid w:val="00971EC5"/>
    <w:rsid w:val="00971F6B"/>
    <w:rsid w:val="00971FCC"/>
    <w:rsid w:val="00972250"/>
    <w:rsid w:val="009723FB"/>
    <w:rsid w:val="00972619"/>
    <w:rsid w:val="0097298A"/>
    <w:rsid w:val="009729FE"/>
    <w:rsid w:val="00972A0B"/>
    <w:rsid w:val="00972BB7"/>
    <w:rsid w:val="00972C06"/>
    <w:rsid w:val="00972EAB"/>
    <w:rsid w:val="00972F4C"/>
    <w:rsid w:val="00972FEB"/>
    <w:rsid w:val="009730E8"/>
    <w:rsid w:val="00973257"/>
    <w:rsid w:val="0097328F"/>
    <w:rsid w:val="009732FC"/>
    <w:rsid w:val="0097383E"/>
    <w:rsid w:val="009738E5"/>
    <w:rsid w:val="009739F8"/>
    <w:rsid w:val="00973F29"/>
    <w:rsid w:val="00974013"/>
    <w:rsid w:val="00974182"/>
    <w:rsid w:val="009744FF"/>
    <w:rsid w:val="00974520"/>
    <w:rsid w:val="00974950"/>
    <w:rsid w:val="0097496D"/>
    <w:rsid w:val="00974B0E"/>
    <w:rsid w:val="00974EBD"/>
    <w:rsid w:val="009751BA"/>
    <w:rsid w:val="00975859"/>
    <w:rsid w:val="00975955"/>
    <w:rsid w:val="009761A9"/>
    <w:rsid w:val="00976E81"/>
    <w:rsid w:val="00977262"/>
    <w:rsid w:val="00977311"/>
    <w:rsid w:val="009775C2"/>
    <w:rsid w:val="00977852"/>
    <w:rsid w:val="009778AB"/>
    <w:rsid w:val="00977B50"/>
    <w:rsid w:val="00977EC7"/>
    <w:rsid w:val="00980403"/>
    <w:rsid w:val="009804CB"/>
    <w:rsid w:val="009809DD"/>
    <w:rsid w:val="00980F14"/>
    <w:rsid w:val="009814E7"/>
    <w:rsid w:val="0098172B"/>
    <w:rsid w:val="009817F9"/>
    <w:rsid w:val="0098183B"/>
    <w:rsid w:val="009822AF"/>
    <w:rsid w:val="009823A3"/>
    <w:rsid w:val="00982AB4"/>
    <w:rsid w:val="00982B3A"/>
    <w:rsid w:val="00982CC6"/>
    <w:rsid w:val="00982E67"/>
    <w:rsid w:val="00983061"/>
    <w:rsid w:val="00983223"/>
    <w:rsid w:val="009835DB"/>
    <w:rsid w:val="009838CE"/>
    <w:rsid w:val="00983C41"/>
    <w:rsid w:val="00983EEB"/>
    <w:rsid w:val="00984206"/>
    <w:rsid w:val="0098461E"/>
    <w:rsid w:val="0098510C"/>
    <w:rsid w:val="0098511E"/>
    <w:rsid w:val="009852B3"/>
    <w:rsid w:val="009852F6"/>
    <w:rsid w:val="0098541D"/>
    <w:rsid w:val="00985B5B"/>
    <w:rsid w:val="00985C9A"/>
    <w:rsid w:val="00985CA4"/>
    <w:rsid w:val="00985D90"/>
    <w:rsid w:val="00985F0C"/>
    <w:rsid w:val="00986956"/>
    <w:rsid w:val="009876A0"/>
    <w:rsid w:val="009879B5"/>
    <w:rsid w:val="009879F4"/>
    <w:rsid w:val="00990A01"/>
    <w:rsid w:val="00990D3B"/>
    <w:rsid w:val="00990DCC"/>
    <w:rsid w:val="009917F3"/>
    <w:rsid w:val="00991AE5"/>
    <w:rsid w:val="00991F39"/>
    <w:rsid w:val="009921AE"/>
    <w:rsid w:val="00992624"/>
    <w:rsid w:val="009927C4"/>
    <w:rsid w:val="00992BE4"/>
    <w:rsid w:val="009930C0"/>
    <w:rsid w:val="0099324C"/>
    <w:rsid w:val="00993627"/>
    <w:rsid w:val="00993658"/>
    <w:rsid w:val="0099367D"/>
    <w:rsid w:val="009936F0"/>
    <w:rsid w:val="00993845"/>
    <w:rsid w:val="00993DA5"/>
    <w:rsid w:val="0099408C"/>
    <w:rsid w:val="00994967"/>
    <w:rsid w:val="00994C26"/>
    <w:rsid w:val="00995360"/>
    <w:rsid w:val="009954AD"/>
    <w:rsid w:val="0099573B"/>
    <w:rsid w:val="00995DCD"/>
    <w:rsid w:val="00996546"/>
    <w:rsid w:val="009969A0"/>
    <w:rsid w:val="00996A8B"/>
    <w:rsid w:val="00996B84"/>
    <w:rsid w:val="00996CD1"/>
    <w:rsid w:val="00996CD4"/>
    <w:rsid w:val="00996F99"/>
    <w:rsid w:val="00996F9D"/>
    <w:rsid w:val="00996FA3"/>
    <w:rsid w:val="0099713E"/>
    <w:rsid w:val="00997157"/>
    <w:rsid w:val="009971EE"/>
    <w:rsid w:val="0099731A"/>
    <w:rsid w:val="009979D6"/>
    <w:rsid w:val="00997ABC"/>
    <w:rsid w:val="00997BC0"/>
    <w:rsid w:val="00997CA3"/>
    <w:rsid w:val="00997F8A"/>
    <w:rsid w:val="009A0212"/>
    <w:rsid w:val="009A031F"/>
    <w:rsid w:val="009A041C"/>
    <w:rsid w:val="009A04D7"/>
    <w:rsid w:val="009A0886"/>
    <w:rsid w:val="009A0928"/>
    <w:rsid w:val="009A0AE7"/>
    <w:rsid w:val="009A0DD0"/>
    <w:rsid w:val="009A1722"/>
    <w:rsid w:val="009A1915"/>
    <w:rsid w:val="009A1B2E"/>
    <w:rsid w:val="009A1E77"/>
    <w:rsid w:val="009A2085"/>
    <w:rsid w:val="009A20F1"/>
    <w:rsid w:val="009A2180"/>
    <w:rsid w:val="009A246A"/>
    <w:rsid w:val="009A2B78"/>
    <w:rsid w:val="009A3183"/>
    <w:rsid w:val="009A34BB"/>
    <w:rsid w:val="009A34F2"/>
    <w:rsid w:val="009A37AC"/>
    <w:rsid w:val="009A3AB5"/>
    <w:rsid w:val="009A4C99"/>
    <w:rsid w:val="009A5004"/>
    <w:rsid w:val="009A516A"/>
    <w:rsid w:val="009A528E"/>
    <w:rsid w:val="009A52CC"/>
    <w:rsid w:val="009A6127"/>
    <w:rsid w:val="009A637B"/>
    <w:rsid w:val="009A63C5"/>
    <w:rsid w:val="009A6456"/>
    <w:rsid w:val="009A6BAA"/>
    <w:rsid w:val="009A6C74"/>
    <w:rsid w:val="009A7036"/>
    <w:rsid w:val="009A7154"/>
    <w:rsid w:val="009A76D3"/>
    <w:rsid w:val="009A78D1"/>
    <w:rsid w:val="009B003C"/>
    <w:rsid w:val="009B0097"/>
    <w:rsid w:val="009B02F1"/>
    <w:rsid w:val="009B0D09"/>
    <w:rsid w:val="009B0D80"/>
    <w:rsid w:val="009B1B81"/>
    <w:rsid w:val="009B22E9"/>
    <w:rsid w:val="009B2353"/>
    <w:rsid w:val="009B316A"/>
    <w:rsid w:val="009B3221"/>
    <w:rsid w:val="009B339B"/>
    <w:rsid w:val="009B346F"/>
    <w:rsid w:val="009B3694"/>
    <w:rsid w:val="009B3745"/>
    <w:rsid w:val="009B3C79"/>
    <w:rsid w:val="009B3E20"/>
    <w:rsid w:val="009B3E77"/>
    <w:rsid w:val="009B3F3C"/>
    <w:rsid w:val="009B4821"/>
    <w:rsid w:val="009B4BED"/>
    <w:rsid w:val="009B4C24"/>
    <w:rsid w:val="009B5821"/>
    <w:rsid w:val="009B59B0"/>
    <w:rsid w:val="009B5A07"/>
    <w:rsid w:val="009B5A7E"/>
    <w:rsid w:val="009B616B"/>
    <w:rsid w:val="009B61D3"/>
    <w:rsid w:val="009B68AD"/>
    <w:rsid w:val="009B6C13"/>
    <w:rsid w:val="009B7958"/>
    <w:rsid w:val="009B7BB7"/>
    <w:rsid w:val="009B7FFA"/>
    <w:rsid w:val="009C00EF"/>
    <w:rsid w:val="009C0898"/>
    <w:rsid w:val="009C0BC1"/>
    <w:rsid w:val="009C0DBE"/>
    <w:rsid w:val="009C0E79"/>
    <w:rsid w:val="009C10DF"/>
    <w:rsid w:val="009C1518"/>
    <w:rsid w:val="009C1A35"/>
    <w:rsid w:val="009C1AA6"/>
    <w:rsid w:val="009C1B3C"/>
    <w:rsid w:val="009C1D4B"/>
    <w:rsid w:val="009C1E0C"/>
    <w:rsid w:val="009C210C"/>
    <w:rsid w:val="009C2192"/>
    <w:rsid w:val="009C281C"/>
    <w:rsid w:val="009C29E0"/>
    <w:rsid w:val="009C2BB6"/>
    <w:rsid w:val="009C31B7"/>
    <w:rsid w:val="009C3A87"/>
    <w:rsid w:val="009C3D88"/>
    <w:rsid w:val="009C3EDC"/>
    <w:rsid w:val="009C3EEC"/>
    <w:rsid w:val="009C4074"/>
    <w:rsid w:val="009C4683"/>
    <w:rsid w:val="009C520B"/>
    <w:rsid w:val="009C5785"/>
    <w:rsid w:val="009C5874"/>
    <w:rsid w:val="009C64A2"/>
    <w:rsid w:val="009C6768"/>
    <w:rsid w:val="009C6894"/>
    <w:rsid w:val="009C68DA"/>
    <w:rsid w:val="009C69D6"/>
    <w:rsid w:val="009C6AAD"/>
    <w:rsid w:val="009C6B3B"/>
    <w:rsid w:val="009C6B7B"/>
    <w:rsid w:val="009C6DEE"/>
    <w:rsid w:val="009C6E60"/>
    <w:rsid w:val="009C6E93"/>
    <w:rsid w:val="009C7147"/>
    <w:rsid w:val="009C759C"/>
    <w:rsid w:val="009C7DDE"/>
    <w:rsid w:val="009C7F47"/>
    <w:rsid w:val="009D0222"/>
    <w:rsid w:val="009D0361"/>
    <w:rsid w:val="009D0720"/>
    <w:rsid w:val="009D079F"/>
    <w:rsid w:val="009D0897"/>
    <w:rsid w:val="009D08B7"/>
    <w:rsid w:val="009D0A1E"/>
    <w:rsid w:val="009D0C84"/>
    <w:rsid w:val="009D0F01"/>
    <w:rsid w:val="009D1D55"/>
    <w:rsid w:val="009D2118"/>
    <w:rsid w:val="009D22EA"/>
    <w:rsid w:val="009D28DC"/>
    <w:rsid w:val="009D2A06"/>
    <w:rsid w:val="009D2BEA"/>
    <w:rsid w:val="009D2C43"/>
    <w:rsid w:val="009D31C1"/>
    <w:rsid w:val="009D3256"/>
    <w:rsid w:val="009D3CC0"/>
    <w:rsid w:val="009D3D45"/>
    <w:rsid w:val="009D40DC"/>
    <w:rsid w:val="009D422C"/>
    <w:rsid w:val="009D4303"/>
    <w:rsid w:val="009D4477"/>
    <w:rsid w:val="009D478C"/>
    <w:rsid w:val="009D49A4"/>
    <w:rsid w:val="009D4A8E"/>
    <w:rsid w:val="009D4DA3"/>
    <w:rsid w:val="009D5944"/>
    <w:rsid w:val="009D60A4"/>
    <w:rsid w:val="009D610C"/>
    <w:rsid w:val="009D62E7"/>
    <w:rsid w:val="009D69E5"/>
    <w:rsid w:val="009D6B8A"/>
    <w:rsid w:val="009D75A4"/>
    <w:rsid w:val="009E0FC3"/>
    <w:rsid w:val="009E11A9"/>
    <w:rsid w:val="009E1544"/>
    <w:rsid w:val="009E176B"/>
    <w:rsid w:val="009E1D4E"/>
    <w:rsid w:val="009E1D56"/>
    <w:rsid w:val="009E1E13"/>
    <w:rsid w:val="009E1E2D"/>
    <w:rsid w:val="009E1F70"/>
    <w:rsid w:val="009E1FFC"/>
    <w:rsid w:val="009E244C"/>
    <w:rsid w:val="009E2F97"/>
    <w:rsid w:val="009E3235"/>
    <w:rsid w:val="009E351C"/>
    <w:rsid w:val="009E365B"/>
    <w:rsid w:val="009E3790"/>
    <w:rsid w:val="009E3AD5"/>
    <w:rsid w:val="009E457F"/>
    <w:rsid w:val="009E4C23"/>
    <w:rsid w:val="009E53AA"/>
    <w:rsid w:val="009E53D6"/>
    <w:rsid w:val="009E5656"/>
    <w:rsid w:val="009E5AB4"/>
    <w:rsid w:val="009E5B99"/>
    <w:rsid w:val="009E605E"/>
    <w:rsid w:val="009E641D"/>
    <w:rsid w:val="009E65A4"/>
    <w:rsid w:val="009E6F6E"/>
    <w:rsid w:val="009E78D9"/>
    <w:rsid w:val="009E798E"/>
    <w:rsid w:val="009F04E9"/>
    <w:rsid w:val="009F0595"/>
    <w:rsid w:val="009F06F6"/>
    <w:rsid w:val="009F0C38"/>
    <w:rsid w:val="009F0CD1"/>
    <w:rsid w:val="009F1033"/>
    <w:rsid w:val="009F10FC"/>
    <w:rsid w:val="009F12FE"/>
    <w:rsid w:val="009F187B"/>
    <w:rsid w:val="009F1933"/>
    <w:rsid w:val="009F2297"/>
    <w:rsid w:val="009F2E7E"/>
    <w:rsid w:val="009F3A4B"/>
    <w:rsid w:val="009F3FC9"/>
    <w:rsid w:val="009F41E1"/>
    <w:rsid w:val="009F4375"/>
    <w:rsid w:val="009F4834"/>
    <w:rsid w:val="009F4C23"/>
    <w:rsid w:val="009F4F05"/>
    <w:rsid w:val="009F5234"/>
    <w:rsid w:val="009F5457"/>
    <w:rsid w:val="009F5606"/>
    <w:rsid w:val="009F57FE"/>
    <w:rsid w:val="009F5CA4"/>
    <w:rsid w:val="009F5E10"/>
    <w:rsid w:val="009F6410"/>
    <w:rsid w:val="009F6457"/>
    <w:rsid w:val="009F669B"/>
    <w:rsid w:val="009F66DF"/>
    <w:rsid w:val="009F6EBA"/>
    <w:rsid w:val="009F709D"/>
    <w:rsid w:val="009F7169"/>
    <w:rsid w:val="009F76CB"/>
    <w:rsid w:val="009F7746"/>
    <w:rsid w:val="009F7883"/>
    <w:rsid w:val="009F7A5D"/>
    <w:rsid w:val="009F7B46"/>
    <w:rsid w:val="009F7DDF"/>
    <w:rsid w:val="00A00519"/>
    <w:rsid w:val="00A006FE"/>
    <w:rsid w:val="00A00F35"/>
    <w:rsid w:val="00A01006"/>
    <w:rsid w:val="00A011C6"/>
    <w:rsid w:val="00A0169E"/>
    <w:rsid w:val="00A01C91"/>
    <w:rsid w:val="00A01DF1"/>
    <w:rsid w:val="00A020F8"/>
    <w:rsid w:val="00A02183"/>
    <w:rsid w:val="00A0267C"/>
    <w:rsid w:val="00A02B26"/>
    <w:rsid w:val="00A02E00"/>
    <w:rsid w:val="00A03893"/>
    <w:rsid w:val="00A0394B"/>
    <w:rsid w:val="00A040C4"/>
    <w:rsid w:val="00A04541"/>
    <w:rsid w:val="00A047BB"/>
    <w:rsid w:val="00A04846"/>
    <w:rsid w:val="00A04A92"/>
    <w:rsid w:val="00A04F19"/>
    <w:rsid w:val="00A05120"/>
    <w:rsid w:val="00A05483"/>
    <w:rsid w:val="00A0559E"/>
    <w:rsid w:val="00A0567F"/>
    <w:rsid w:val="00A05A1F"/>
    <w:rsid w:val="00A05A70"/>
    <w:rsid w:val="00A05BA9"/>
    <w:rsid w:val="00A05DFF"/>
    <w:rsid w:val="00A05FF8"/>
    <w:rsid w:val="00A061CF"/>
    <w:rsid w:val="00A06F57"/>
    <w:rsid w:val="00A07443"/>
    <w:rsid w:val="00A07654"/>
    <w:rsid w:val="00A0767A"/>
    <w:rsid w:val="00A07B16"/>
    <w:rsid w:val="00A07CA2"/>
    <w:rsid w:val="00A07EA6"/>
    <w:rsid w:val="00A07ED3"/>
    <w:rsid w:val="00A100E9"/>
    <w:rsid w:val="00A103A3"/>
    <w:rsid w:val="00A105DB"/>
    <w:rsid w:val="00A106FE"/>
    <w:rsid w:val="00A10764"/>
    <w:rsid w:val="00A10B48"/>
    <w:rsid w:val="00A10CB4"/>
    <w:rsid w:val="00A114B5"/>
    <w:rsid w:val="00A115BF"/>
    <w:rsid w:val="00A11ACA"/>
    <w:rsid w:val="00A11AE2"/>
    <w:rsid w:val="00A11E0F"/>
    <w:rsid w:val="00A11FA2"/>
    <w:rsid w:val="00A121EA"/>
    <w:rsid w:val="00A12206"/>
    <w:rsid w:val="00A12301"/>
    <w:rsid w:val="00A12507"/>
    <w:rsid w:val="00A1260C"/>
    <w:rsid w:val="00A12A73"/>
    <w:rsid w:val="00A12BEE"/>
    <w:rsid w:val="00A12C57"/>
    <w:rsid w:val="00A12EE8"/>
    <w:rsid w:val="00A13002"/>
    <w:rsid w:val="00A131A4"/>
    <w:rsid w:val="00A1328C"/>
    <w:rsid w:val="00A1341C"/>
    <w:rsid w:val="00A13511"/>
    <w:rsid w:val="00A13715"/>
    <w:rsid w:val="00A13AAA"/>
    <w:rsid w:val="00A13CF1"/>
    <w:rsid w:val="00A142D9"/>
    <w:rsid w:val="00A145D0"/>
    <w:rsid w:val="00A14620"/>
    <w:rsid w:val="00A14743"/>
    <w:rsid w:val="00A14B5D"/>
    <w:rsid w:val="00A1562F"/>
    <w:rsid w:val="00A157EC"/>
    <w:rsid w:val="00A15E98"/>
    <w:rsid w:val="00A16098"/>
    <w:rsid w:val="00A16150"/>
    <w:rsid w:val="00A1630A"/>
    <w:rsid w:val="00A1637F"/>
    <w:rsid w:val="00A164DC"/>
    <w:rsid w:val="00A16605"/>
    <w:rsid w:val="00A16A02"/>
    <w:rsid w:val="00A17345"/>
    <w:rsid w:val="00A1789B"/>
    <w:rsid w:val="00A1791D"/>
    <w:rsid w:val="00A17C1A"/>
    <w:rsid w:val="00A17EE0"/>
    <w:rsid w:val="00A2004D"/>
    <w:rsid w:val="00A20237"/>
    <w:rsid w:val="00A20253"/>
    <w:rsid w:val="00A2049C"/>
    <w:rsid w:val="00A205BF"/>
    <w:rsid w:val="00A2104B"/>
    <w:rsid w:val="00A210E9"/>
    <w:rsid w:val="00A218AE"/>
    <w:rsid w:val="00A21A9D"/>
    <w:rsid w:val="00A21AAA"/>
    <w:rsid w:val="00A21C53"/>
    <w:rsid w:val="00A21E51"/>
    <w:rsid w:val="00A22132"/>
    <w:rsid w:val="00A22207"/>
    <w:rsid w:val="00A223BC"/>
    <w:rsid w:val="00A224C8"/>
    <w:rsid w:val="00A226BE"/>
    <w:rsid w:val="00A22A06"/>
    <w:rsid w:val="00A22A25"/>
    <w:rsid w:val="00A22C21"/>
    <w:rsid w:val="00A22D9C"/>
    <w:rsid w:val="00A23162"/>
    <w:rsid w:val="00A238AF"/>
    <w:rsid w:val="00A23921"/>
    <w:rsid w:val="00A24150"/>
    <w:rsid w:val="00A246A6"/>
    <w:rsid w:val="00A2470A"/>
    <w:rsid w:val="00A2481C"/>
    <w:rsid w:val="00A24B4D"/>
    <w:rsid w:val="00A24CCF"/>
    <w:rsid w:val="00A25A28"/>
    <w:rsid w:val="00A261E4"/>
    <w:rsid w:val="00A26200"/>
    <w:rsid w:val="00A26337"/>
    <w:rsid w:val="00A26756"/>
    <w:rsid w:val="00A26883"/>
    <w:rsid w:val="00A26D60"/>
    <w:rsid w:val="00A26E54"/>
    <w:rsid w:val="00A26EE0"/>
    <w:rsid w:val="00A2766C"/>
    <w:rsid w:val="00A27C01"/>
    <w:rsid w:val="00A27E36"/>
    <w:rsid w:val="00A30396"/>
    <w:rsid w:val="00A303C8"/>
    <w:rsid w:val="00A30488"/>
    <w:rsid w:val="00A3072C"/>
    <w:rsid w:val="00A30BAE"/>
    <w:rsid w:val="00A31120"/>
    <w:rsid w:val="00A313D0"/>
    <w:rsid w:val="00A314A9"/>
    <w:rsid w:val="00A31591"/>
    <w:rsid w:val="00A3170C"/>
    <w:rsid w:val="00A31C37"/>
    <w:rsid w:val="00A31E88"/>
    <w:rsid w:val="00A321EE"/>
    <w:rsid w:val="00A32461"/>
    <w:rsid w:val="00A325C2"/>
    <w:rsid w:val="00A325CC"/>
    <w:rsid w:val="00A327E2"/>
    <w:rsid w:val="00A32BFD"/>
    <w:rsid w:val="00A32C37"/>
    <w:rsid w:val="00A33BC8"/>
    <w:rsid w:val="00A33C3D"/>
    <w:rsid w:val="00A33C9E"/>
    <w:rsid w:val="00A34D39"/>
    <w:rsid w:val="00A35735"/>
    <w:rsid w:val="00A3583A"/>
    <w:rsid w:val="00A3590A"/>
    <w:rsid w:val="00A35A0B"/>
    <w:rsid w:val="00A35CBB"/>
    <w:rsid w:val="00A35E96"/>
    <w:rsid w:val="00A36027"/>
    <w:rsid w:val="00A362CB"/>
    <w:rsid w:val="00A36694"/>
    <w:rsid w:val="00A368BB"/>
    <w:rsid w:val="00A3747D"/>
    <w:rsid w:val="00A377EC"/>
    <w:rsid w:val="00A37922"/>
    <w:rsid w:val="00A37A59"/>
    <w:rsid w:val="00A37A8E"/>
    <w:rsid w:val="00A37E2F"/>
    <w:rsid w:val="00A37E9D"/>
    <w:rsid w:val="00A4039E"/>
    <w:rsid w:val="00A40531"/>
    <w:rsid w:val="00A40889"/>
    <w:rsid w:val="00A408CF"/>
    <w:rsid w:val="00A41009"/>
    <w:rsid w:val="00A41179"/>
    <w:rsid w:val="00A41263"/>
    <w:rsid w:val="00A41772"/>
    <w:rsid w:val="00A418E6"/>
    <w:rsid w:val="00A41CA0"/>
    <w:rsid w:val="00A41CD0"/>
    <w:rsid w:val="00A42659"/>
    <w:rsid w:val="00A42721"/>
    <w:rsid w:val="00A42897"/>
    <w:rsid w:val="00A429DE"/>
    <w:rsid w:val="00A4339C"/>
    <w:rsid w:val="00A4449D"/>
    <w:rsid w:val="00A44530"/>
    <w:rsid w:val="00A44882"/>
    <w:rsid w:val="00A449C6"/>
    <w:rsid w:val="00A44AA5"/>
    <w:rsid w:val="00A44E28"/>
    <w:rsid w:val="00A4570E"/>
    <w:rsid w:val="00A45A3B"/>
    <w:rsid w:val="00A45F75"/>
    <w:rsid w:val="00A46395"/>
    <w:rsid w:val="00A46FAD"/>
    <w:rsid w:val="00A470ED"/>
    <w:rsid w:val="00A47430"/>
    <w:rsid w:val="00A4761F"/>
    <w:rsid w:val="00A47B4B"/>
    <w:rsid w:val="00A5044D"/>
    <w:rsid w:val="00A504EC"/>
    <w:rsid w:val="00A50A9E"/>
    <w:rsid w:val="00A50AED"/>
    <w:rsid w:val="00A50B00"/>
    <w:rsid w:val="00A511FB"/>
    <w:rsid w:val="00A514B2"/>
    <w:rsid w:val="00A514EB"/>
    <w:rsid w:val="00A51810"/>
    <w:rsid w:val="00A51D17"/>
    <w:rsid w:val="00A51F5E"/>
    <w:rsid w:val="00A521E0"/>
    <w:rsid w:val="00A527AD"/>
    <w:rsid w:val="00A52952"/>
    <w:rsid w:val="00A52A54"/>
    <w:rsid w:val="00A52D1E"/>
    <w:rsid w:val="00A53552"/>
    <w:rsid w:val="00A53DDA"/>
    <w:rsid w:val="00A544BF"/>
    <w:rsid w:val="00A54A90"/>
    <w:rsid w:val="00A54D16"/>
    <w:rsid w:val="00A5579B"/>
    <w:rsid w:val="00A55877"/>
    <w:rsid w:val="00A55BB7"/>
    <w:rsid w:val="00A55CAC"/>
    <w:rsid w:val="00A55CCE"/>
    <w:rsid w:val="00A55E76"/>
    <w:rsid w:val="00A5637C"/>
    <w:rsid w:val="00A565AD"/>
    <w:rsid w:val="00A56735"/>
    <w:rsid w:val="00A56C2C"/>
    <w:rsid w:val="00A56F44"/>
    <w:rsid w:val="00A570E9"/>
    <w:rsid w:val="00A57311"/>
    <w:rsid w:val="00A5750B"/>
    <w:rsid w:val="00A575E5"/>
    <w:rsid w:val="00A577E9"/>
    <w:rsid w:val="00A57C08"/>
    <w:rsid w:val="00A57F96"/>
    <w:rsid w:val="00A60100"/>
    <w:rsid w:val="00A602EE"/>
    <w:rsid w:val="00A6070B"/>
    <w:rsid w:val="00A6098D"/>
    <w:rsid w:val="00A60E31"/>
    <w:rsid w:val="00A61344"/>
    <w:rsid w:val="00A615F0"/>
    <w:rsid w:val="00A6175F"/>
    <w:rsid w:val="00A6178F"/>
    <w:rsid w:val="00A61828"/>
    <w:rsid w:val="00A61F25"/>
    <w:rsid w:val="00A620AA"/>
    <w:rsid w:val="00A62953"/>
    <w:rsid w:val="00A62961"/>
    <w:rsid w:val="00A62D25"/>
    <w:rsid w:val="00A62F9E"/>
    <w:rsid w:val="00A630F5"/>
    <w:rsid w:val="00A633F7"/>
    <w:rsid w:val="00A6364F"/>
    <w:rsid w:val="00A637E3"/>
    <w:rsid w:val="00A63872"/>
    <w:rsid w:val="00A63A37"/>
    <w:rsid w:val="00A63A89"/>
    <w:rsid w:val="00A63AEF"/>
    <w:rsid w:val="00A64196"/>
    <w:rsid w:val="00A64BC7"/>
    <w:rsid w:val="00A64EB1"/>
    <w:rsid w:val="00A652F8"/>
    <w:rsid w:val="00A65354"/>
    <w:rsid w:val="00A65744"/>
    <w:rsid w:val="00A657CF"/>
    <w:rsid w:val="00A657D8"/>
    <w:rsid w:val="00A659FD"/>
    <w:rsid w:val="00A65FBF"/>
    <w:rsid w:val="00A66089"/>
    <w:rsid w:val="00A66A0F"/>
    <w:rsid w:val="00A66A5A"/>
    <w:rsid w:val="00A677C1"/>
    <w:rsid w:val="00A67A8E"/>
    <w:rsid w:val="00A67AC6"/>
    <w:rsid w:val="00A7028F"/>
    <w:rsid w:val="00A70A35"/>
    <w:rsid w:val="00A7120A"/>
    <w:rsid w:val="00A7141F"/>
    <w:rsid w:val="00A71B0A"/>
    <w:rsid w:val="00A71D6B"/>
    <w:rsid w:val="00A72343"/>
    <w:rsid w:val="00A72469"/>
    <w:rsid w:val="00A727FC"/>
    <w:rsid w:val="00A73873"/>
    <w:rsid w:val="00A73A4F"/>
    <w:rsid w:val="00A744A2"/>
    <w:rsid w:val="00A745D9"/>
    <w:rsid w:val="00A748C3"/>
    <w:rsid w:val="00A74955"/>
    <w:rsid w:val="00A74E04"/>
    <w:rsid w:val="00A74F6C"/>
    <w:rsid w:val="00A75204"/>
    <w:rsid w:val="00A75212"/>
    <w:rsid w:val="00A7538B"/>
    <w:rsid w:val="00A75857"/>
    <w:rsid w:val="00A75920"/>
    <w:rsid w:val="00A761E1"/>
    <w:rsid w:val="00A7634B"/>
    <w:rsid w:val="00A7662C"/>
    <w:rsid w:val="00A76696"/>
    <w:rsid w:val="00A76A52"/>
    <w:rsid w:val="00A76A75"/>
    <w:rsid w:val="00A76BF2"/>
    <w:rsid w:val="00A76D98"/>
    <w:rsid w:val="00A76FC0"/>
    <w:rsid w:val="00A770A5"/>
    <w:rsid w:val="00A770DE"/>
    <w:rsid w:val="00A7735F"/>
    <w:rsid w:val="00A773B3"/>
    <w:rsid w:val="00A77816"/>
    <w:rsid w:val="00A77C0E"/>
    <w:rsid w:val="00A77D4F"/>
    <w:rsid w:val="00A806D6"/>
    <w:rsid w:val="00A80888"/>
    <w:rsid w:val="00A80E52"/>
    <w:rsid w:val="00A8135C"/>
    <w:rsid w:val="00A81633"/>
    <w:rsid w:val="00A8186B"/>
    <w:rsid w:val="00A81897"/>
    <w:rsid w:val="00A81F4B"/>
    <w:rsid w:val="00A8221B"/>
    <w:rsid w:val="00A82655"/>
    <w:rsid w:val="00A82665"/>
    <w:rsid w:val="00A82AEB"/>
    <w:rsid w:val="00A82E6A"/>
    <w:rsid w:val="00A831F0"/>
    <w:rsid w:val="00A834EC"/>
    <w:rsid w:val="00A835F0"/>
    <w:rsid w:val="00A83BF1"/>
    <w:rsid w:val="00A83C06"/>
    <w:rsid w:val="00A83EC0"/>
    <w:rsid w:val="00A83F37"/>
    <w:rsid w:val="00A84298"/>
    <w:rsid w:val="00A847C9"/>
    <w:rsid w:val="00A84EE8"/>
    <w:rsid w:val="00A84F0A"/>
    <w:rsid w:val="00A8513A"/>
    <w:rsid w:val="00A8523D"/>
    <w:rsid w:val="00A85295"/>
    <w:rsid w:val="00A853DF"/>
    <w:rsid w:val="00A85661"/>
    <w:rsid w:val="00A85E66"/>
    <w:rsid w:val="00A85FFF"/>
    <w:rsid w:val="00A862CF"/>
    <w:rsid w:val="00A864D5"/>
    <w:rsid w:val="00A865AF"/>
    <w:rsid w:val="00A86736"/>
    <w:rsid w:val="00A8674C"/>
    <w:rsid w:val="00A86ACD"/>
    <w:rsid w:val="00A86FEF"/>
    <w:rsid w:val="00A8745A"/>
    <w:rsid w:val="00A87482"/>
    <w:rsid w:val="00A875E8"/>
    <w:rsid w:val="00A87C98"/>
    <w:rsid w:val="00A905F1"/>
    <w:rsid w:val="00A90840"/>
    <w:rsid w:val="00A90E27"/>
    <w:rsid w:val="00A90F21"/>
    <w:rsid w:val="00A91218"/>
    <w:rsid w:val="00A91469"/>
    <w:rsid w:val="00A9164F"/>
    <w:rsid w:val="00A91F3E"/>
    <w:rsid w:val="00A9287D"/>
    <w:rsid w:val="00A930F9"/>
    <w:rsid w:val="00A93270"/>
    <w:rsid w:val="00A93462"/>
    <w:rsid w:val="00A934FE"/>
    <w:rsid w:val="00A93715"/>
    <w:rsid w:val="00A9399B"/>
    <w:rsid w:val="00A939D3"/>
    <w:rsid w:val="00A93BDA"/>
    <w:rsid w:val="00A93E41"/>
    <w:rsid w:val="00A941A7"/>
    <w:rsid w:val="00A94739"/>
    <w:rsid w:val="00A9491B"/>
    <w:rsid w:val="00A949D9"/>
    <w:rsid w:val="00A94A70"/>
    <w:rsid w:val="00A94F5C"/>
    <w:rsid w:val="00A9505F"/>
    <w:rsid w:val="00A9526D"/>
    <w:rsid w:val="00A952D3"/>
    <w:rsid w:val="00A95445"/>
    <w:rsid w:val="00A95491"/>
    <w:rsid w:val="00A95A3E"/>
    <w:rsid w:val="00A96058"/>
    <w:rsid w:val="00A96696"/>
    <w:rsid w:val="00A96801"/>
    <w:rsid w:val="00A9692B"/>
    <w:rsid w:val="00A96D7E"/>
    <w:rsid w:val="00A96F4A"/>
    <w:rsid w:val="00A971EC"/>
    <w:rsid w:val="00A9727C"/>
    <w:rsid w:val="00A97444"/>
    <w:rsid w:val="00A97666"/>
    <w:rsid w:val="00A97A74"/>
    <w:rsid w:val="00A97B6E"/>
    <w:rsid w:val="00A97B8C"/>
    <w:rsid w:val="00A97E7B"/>
    <w:rsid w:val="00AA0003"/>
    <w:rsid w:val="00AA0407"/>
    <w:rsid w:val="00AA0585"/>
    <w:rsid w:val="00AA06C0"/>
    <w:rsid w:val="00AA0A0B"/>
    <w:rsid w:val="00AA13A5"/>
    <w:rsid w:val="00AA158B"/>
    <w:rsid w:val="00AA192D"/>
    <w:rsid w:val="00AA1D12"/>
    <w:rsid w:val="00AA1DBC"/>
    <w:rsid w:val="00AA1EEC"/>
    <w:rsid w:val="00AA1F14"/>
    <w:rsid w:val="00AA210C"/>
    <w:rsid w:val="00AA2275"/>
    <w:rsid w:val="00AA27F7"/>
    <w:rsid w:val="00AA29F2"/>
    <w:rsid w:val="00AA2CD8"/>
    <w:rsid w:val="00AA2D01"/>
    <w:rsid w:val="00AA2FDC"/>
    <w:rsid w:val="00AA30A2"/>
    <w:rsid w:val="00AA3354"/>
    <w:rsid w:val="00AA34E4"/>
    <w:rsid w:val="00AA3531"/>
    <w:rsid w:val="00AA3927"/>
    <w:rsid w:val="00AA3B44"/>
    <w:rsid w:val="00AA3B75"/>
    <w:rsid w:val="00AA3BBE"/>
    <w:rsid w:val="00AA3F33"/>
    <w:rsid w:val="00AA3FF1"/>
    <w:rsid w:val="00AA458F"/>
    <w:rsid w:val="00AA461D"/>
    <w:rsid w:val="00AA4757"/>
    <w:rsid w:val="00AA4AD5"/>
    <w:rsid w:val="00AA4B1B"/>
    <w:rsid w:val="00AA5144"/>
    <w:rsid w:val="00AA53BC"/>
    <w:rsid w:val="00AA5584"/>
    <w:rsid w:val="00AA5903"/>
    <w:rsid w:val="00AA5A50"/>
    <w:rsid w:val="00AA6026"/>
    <w:rsid w:val="00AA6206"/>
    <w:rsid w:val="00AA630A"/>
    <w:rsid w:val="00AA69EF"/>
    <w:rsid w:val="00AA6A93"/>
    <w:rsid w:val="00AA6B64"/>
    <w:rsid w:val="00AA6D60"/>
    <w:rsid w:val="00AA6F9A"/>
    <w:rsid w:val="00AA7C4F"/>
    <w:rsid w:val="00AB001C"/>
    <w:rsid w:val="00AB003A"/>
    <w:rsid w:val="00AB02C8"/>
    <w:rsid w:val="00AB06B8"/>
    <w:rsid w:val="00AB0ADE"/>
    <w:rsid w:val="00AB0CA0"/>
    <w:rsid w:val="00AB102D"/>
    <w:rsid w:val="00AB1A33"/>
    <w:rsid w:val="00AB1BBE"/>
    <w:rsid w:val="00AB1C99"/>
    <w:rsid w:val="00AB2857"/>
    <w:rsid w:val="00AB3299"/>
    <w:rsid w:val="00AB3418"/>
    <w:rsid w:val="00AB3491"/>
    <w:rsid w:val="00AB3612"/>
    <w:rsid w:val="00AB3D94"/>
    <w:rsid w:val="00AB3E16"/>
    <w:rsid w:val="00AB3E3E"/>
    <w:rsid w:val="00AB3F13"/>
    <w:rsid w:val="00AB3FF5"/>
    <w:rsid w:val="00AB4157"/>
    <w:rsid w:val="00AB42FF"/>
    <w:rsid w:val="00AB492C"/>
    <w:rsid w:val="00AB4B78"/>
    <w:rsid w:val="00AB513E"/>
    <w:rsid w:val="00AB53BA"/>
    <w:rsid w:val="00AB57AD"/>
    <w:rsid w:val="00AB583A"/>
    <w:rsid w:val="00AB642C"/>
    <w:rsid w:val="00AB64B8"/>
    <w:rsid w:val="00AB7134"/>
    <w:rsid w:val="00AB745B"/>
    <w:rsid w:val="00AB74CC"/>
    <w:rsid w:val="00AB76D5"/>
    <w:rsid w:val="00AB7787"/>
    <w:rsid w:val="00AB78AC"/>
    <w:rsid w:val="00AC0166"/>
    <w:rsid w:val="00AC06BF"/>
    <w:rsid w:val="00AC0825"/>
    <w:rsid w:val="00AC1191"/>
    <w:rsid w:val="00AC1281"/>
    <w:rsid w:val="00AC1500"/>
    <w:rsid w:val="00AC1C9F"/>
    <w:rsid w:val="00AC2D4E"/>
    <w:rsid w:val="00AC2DA4"/>
    <w:rsid w:val="00AC3084"/>
    <w:rsid w:val="00AC33C9"/>
    <w:rsid w:val="00AC33F7"/>
    <w:rsid w:val="00AC3431"/>
    <w:rsid w:val="00AC3657"/>
    <w:rsid w:val="00AC37AD"/>
    <w:rsid w:val="00AC38E9"/>
    <w:rsid w:val="00AC3A40"/>
    <w:rsid w:val="00AC449A"/>
    <w:rsid w:val="00AC4590"/>
    <w:rsid w:val="00AC45D6"/>
    <w:rsid w:val="00AC4676"/>
    <w:rsid w:val="00AC4D53"/>
    <w:rsid w:val="00AC4E2E"/>
    <w:rsid w:val="00AC5A3B"/>
    <w:rsid w:val="00AC5B93"/>
    <w:rsid w:val="00AC60B0"/>
    <w:rsid w:val="00AC61B3"/>
    <w:rsid w:val="00AC63F4"/>
    <w:rsid w:val="00AC6521"/>
    <w:rsid w:val="00AC690A"/>
    <w:rsid w:val="00AC6D0A"/>
    <w:rsid w:val="00AC723D"/>
    <w:rsid w:val="00AC7949"/>
    <w:rsid w:val="00AD0406"/>
    <w:rsid w:val="00AD06C1"/>
    <w:rsid w:val="00AD0C3A"/>
    <w:rsid w:val="00AD12BD"/>
    <w:rsid w:val="00AD163D"/>
    <w:rsid w:val="00AD1BF3"/>
    <w:rsid w:val="00AD1DFE"/>
    <w:rsid w:val="00AD1F06"/>
    <w:rsid w:val="00AD25A2"/>
    <w:rsid w:val="00AD284F"/>
    <w:rsid w:val="00AD28FD"/>
    <w:rsid w:val="00AD29CC"/>
    <w:rsid w:val="00AD2ACB"/>
    <w:rsid w:val="00AD2AF3"/>
    <w:rsid w:val="00AD2BAD"/>
    <w:rsid w:val="00AD2D96"/>
    <w:rsid w:val="00AD3042"/>
    <w:rsid w:val="00AD3047"/>
    <w:rsid w:val="00AD31D9"/>
    <w:rsid w:val="00AD3270"/>
    <w:rsid w:val="00AD33C3"/>
    <w:rsid w:val="00AD34A1"/>
    <w:rsid w:val="00AD3BEC"/>
    <w:rsid w:val="00AD3EC6"/>
    <w:rsid w:val="00AD48F9"/>
    <w:rsid w:val="00AD514B"/>
    <w:rsid w:val="00AD58E2"/>
    <w:rsid w:val="00AD5B9B"/>
    <w:rsid w:val="00AD604F"/>
    <w:rsid w:val="00AD6A52"/>
    <w:rsid w:val="00AD6C38"/>
    <w:rsid w:val="00AD6C7F"/>
    <w:rsid w:val="00AD70C9"/>
    <w:rsid w:val="00AD724E"/>
    <w:rsid w:val="00AD732B"/>
    <w:rsid w:val="00AD7346"/>
    <w:rsid w:val="00AD75A6"/>
    <w:rsid w:val="00AD788F"/>
    <w:rsid w:val="00AD7927"/>
    <w:rsid w:val="00AE0D23"/>
    <w:rsid w:val="00AE0E9E"/>
    <w:rsid w:val="00AE1418"/>
    <w:rsid w:val="00AE14B7"/>
    <w:rsid w:val="00AE1606"/>
    <w:rsid w:val="00AE18E9"/>
    <w:rsid w:val="00AE1EFD"/>
    <w:rsid w:val="00AE202D"/>
    <w:rsid w:val="00AE2205"/>
    <w:rsid w:val="00AE232B"/>
    <w:rsid w:val="00AE268B"/>
    <w:rsid w:val="00AE2BFE"/>
    <w:rsid w:val="00AE2E18"/>
    <w:rsid w:val="00AE3004"/>
    <w:rsid w:val="00AE31B1"/>
    <w:rsid w:val="00AE3211"/>
    <w:rsid w:val="00AE37E9"/>
    <w:rsid w:val="00AE3CE1"/>
    <w:rsid w:val="00AE4557"/>
    <w:rsid w:val="00AE456C"/>
    <w:rsid w:val="00AE482F"/>
    <w:rsid w:val="00AE4A1F"/>
    <w:rsid w:val="00AE4AFC"/>
    <w:rsid w:val="00AE4B5C"/>
    <w:rsid w:val="00AE4C51"/>
    <w:rsid w:val="00AE4C55"/>
    <w:rsid w:val="00AE4F01"/>
    <w:rsid w:val="00AE552C"/>
    <w:rsid w:val="00AE567B"/>
    <w:rsid w:val="00AE5749"/>
    <w:rsid w:val="00AE575A"/>
    <w:rsid w:val="00AE5802"/>
    <w:rsid w:val="00AE5E95"/>
    <w:rsid w:val="00AE60E2"/>
    <w:rsid w:val="00AE6433"/>
    <w:rsid w:val="00AE646D"/>
    <w:rsid w:val="00AE6584"/>
    <w:rsid w:val="00AE69BD"/>
    <w:rsid w:val="00AE6D12"/>
    <w:rsid w:val="00AE6EEB"/>
    <w:rsid w:val="00AE6F42"/>
    <w:rsid w:val="00AE723D"/>
    <w:rsid w:val="00AE77EF"/>
    <w:rsid w:val="00AE7992"/>
    <w:rsid w:val="00AF00EE"/>
    <w:rsid w:val="00AF04B2"/>
    <w:rsid w:val="00AF0508"/>
    <w:rsid w:val="00AF0801"/>
    <w:rsid w:val="00AF0AF0"/>
    <w:rsid w:val="00AF0BA8"/>
    <w:rsid w:val="00AF0E62"/>
    <w:rsid w:val="00AF1414"/>
    <w:rsid w:val="00AF28B0"/>
    <w:rsid w:val="00AF2DED"/>
    <w:rsid w:val="00AF3C80"/>
    <w:rsid w:val="00AF3C8C"/>
    <w:rsid w:val="00AF41FC"/>
    <w:rsid w:val="00AF44F2"/>
    <w:rsid w:val="00AF457C"/>
    <w:rsid w:val="00AF4648"/>
    <w:rsid w:val="00AF4BC1"/>
    <w:rsid w:val="00AF5021"/>
    <w:rsid w:val="00AF5235"/>
    <w:rsid w:val="00AF5363"/>
    <w:rsid w:val="00AF5F78"/>
    <w:rsid w:val="00AF638D"/>
    <w:rsid w:val="00AF63A9"/>
    <w:rsid w:val="00AF6591"/>
    <w:rsid w:val="00AF66F1"/>
    <w:rsid w:val="00AF6AE3"/>
    <w:rsid w:val="00AF6B1B"/>
    <w:rsid w:val="00AF738A"/>
    <w:rsid w:val="00AF782D"/>
    <w:rsid w:val="00AF7F09"/>
    <w:rsid w:val="00B002BA"/>
    <w:rsid w:val="00B00306"/>
    <w:rsid w:val="00B00858"/>
    <w:rsid w:val="00B00D62"/>
    <w:rsid w:val="00B010D3"/>
    <w:rsid w:val="00B010DD"/>
    <w:rsid w:val="00B01670"/>
    <w:rsid w:val="00B01A7A"/>
    <w:rsid w:val="00B01CC2"/>
    <w:rsid w:val="00B01F0D"/>
    <w:rsid w:val="00B02014"/>
    <w:rsid w:val="00B0208A"/>
    <w:rsid w:val="00B0226B"/>
    <w:rsid w:val="00B0226D"/>
    <w:rsid w:val="00B023FC"/>
    <w:rsid w:val="00B02599"/>
    <w:rsid w:val="00B02A4C"/>
    <w:rsid w:val="00B03101"/>
    <w:rsid w:val="00B039CE"/>
    <w:rsid w:val="00B03B92"/>
    <w:rsid w:val="00B03D26"/>
    <w:rsid w:val="00B03DF5"/>
    <w:rsid w:val="00B04D36"/>
    <w:rsid w:val="00B04F11"/>
    <w:rsid w:val="00B054CE"/>
    <w:rsid w:val="00B05688"/>
    <w:rsid w:val="00B05E47"/>
    <w:rsid w:val="00B05F5F"/>
    <w:rsid w:val="00B06102"/>
    <w:rsid w:val="00B06AF4"/>
    <w:rsid w:val="00B06C77"/>
    <w:rsid w:val="00B0712D"/>
    <w:rsid w:val="00B0716D"/>
    <w:rsid w:val="00B0745D"/>
    <w:rsid w:val="00B075EC"/>
    <w:rsid w:val="00B077B1"/>
    <w:rsid w:val="00B07CBE"/>
    <w:rsid w:val="00B07F35"/>
    <w:rsid w:val="00B1093D"/>
    <w:rsid w:val="00B10BD1"/>
    <w:rsid w:val="00B10C31"/>
    <w:rsid w:val="00B111BF"/>
    <w:rsid w:val="00B114C4"/>
    <w:rsid w:val="00B11882"/>
    <w:rsid w:val="00B11C13"/>
    <w:rsid w:val="00B11D57"/>
    <w:rsid w:val="00B11E29"/>
    <w:rsid w:val="00B11F2E"/>
    <w:rsid w:val="00B12498"/>
    <w:rsid w:val="00B1282D"/>
    <w:rsid w:val="00B12F78"/>
    <w:rsid w:val="00B13110"/>
    <w:rsid w:val="00B137AD"/>
    <w:rsid w:val="00B137BE"/>
    <w:rsid w:val="00B137D3"/>
    <w:rsid w:val="00B137EA"/>
    <w:rsid w:val="00B1388A"/>
    <w:rsid w:val="00B13930"/>
    <w:rsid w:val="00B13BE5"/>
    <w:rsid w:val="00B13F1F"/>
    <w:rsid w:val="00B13F5C"/>
    <w:rsid w:val="00B146A7"/>
    <w:rsid w:val="00B147CC"/>
    <w:rsid w:val="00B14DE2"/>
    <w:rsid w:val="00B15085"/>
    <w:rsid w:val="00B150B5"/>
    <w:rsid w:val="00B15141"/>
    <w:rsid w:val="00B151C6"/>
    <w:rsid w:val="00B1537F"/>
    <w:rsid w:val="00B15A0F"/>
    <w:rsid w:val="00B1629E"/>
    <w:rsid w:val="00B16562"/>
    <w:rsid w:val="00B167A6"/>
    <w:rsid w:val="00B16AE9"/>
    <w:rsid w:val="00B16B5F"/>
    <w:rsid w:val="00B16E40"/>
    <w:rsid w:val="00B1736C"/>
    <w:rsid w:val="00B17475"/>
    <w:rsid w:val="00B17744"/>
    <w:rsid w:val="00B20057"/>
    <w:rsid w:val="00B20383"/>
    <w:rsid w:val="00B2043A"/>
    <w:rsid w:val="00B20846"/>
    <w:rsid w:val="00B20E2B"/>
    <w:rsid w:val="00B21016"/>
    <w:rsid w:val="00B215F9"/>
    <w:rsid w:val="00B217E4"/>
    <w:rsid w:val="00B21A0D"/>
    <w:rsid w:val="00B21A49"/>
    <w:rsid w:val="00B21CA7"/>
    <w:rsid w:val="00B21D72"/>
    <w:rsid w:val="00B21D85"/>
    <w:rsid w:val="00B21DF7"/>
    <w:rsid w:val="00B21DF9"/>
    <w:rsid w:val="00B2251A"/>
    <w:rsid w:val="00B22803"/>
    <w:rsid w:val="00B233A9"/>
    <w:rsid w:val="00B239CC"/>
    <w:rsid w:val="00B23CC4"/>
    <w:rsid w:val="00B24784"/>
    <w:rsid w:val="00B24F49"/>
    <w:rsid w:val="00B25258"/>
    <w:rsid w:val="00B253EA"/>
    <w:rsid w:val="00B254EC"/>
    <w:rsid w:val="00B25585"/>
    <w:rsid w:val="00B25688"/>
    <w:rsid w:val="00B2585E"/>
    <w:rsid w:val="00B25A70"/>
    <w:rsid w:val="00B25BD8"/>
    <w:rsid w:val="00B25E1D"/>
    <w:rsid w:val="00B25F0A"/>
    <w:rsid w:val="00B25F9A"/>
    <w:rsid w:val="00B2613A"/>
    <w:rsid w:val="00B269CE"/>
    <w:rsid w:val="00B2757B"/>
    <w:rsid w:val="00B27B29"/>
    <w:rsid w:val="00B27BA9"/>
    <w:rsid w:val="00B27C5E"/>
    <w:rsid w:val="00B27D54"/>
    <w:rsid w:val="00B305C0"/>
    <w:rsid w:val="00B305F9"/>
    <w:rsid w:val="00B31447"/>
    <w:rsid w:val="00B31667"/>
    <w:rsid w:val="00B31E5F"/>
    <w:rsid w:val="00B32607"/>
    <w:rsid w:val="00B326BE"/>
    <w:rsid w:val="00B32821"/>
    <w:rsid w:val="00B32CE3"/>
    <w:rsid w:val="00B3331B"/>
    <w:rsid w:val="00B33595"/>
    <w:rsid w:val="00B33808"/>
    <w:rsid w:val="00B3396B"/>
    <w:rsid w:val="00B33AF8"/>
    <w:rsid w:val="00B3416B"/>
    <w:rsid w:val="00B34886"/>
    <w:rsid w:val="00B3488B"/>
    <w:rsid w:val="00B348C6"/>
    <w:rsid w:val="00B3511C"/>
    <w:rsid w:val="00B35193"/>
    <w:rsid w:val="00B35212"/>
    <w:rsid w:val="00B35284"/>
    <w:rsid w:val="00B352CE"/>
    <w:rsid w:val="00B3539A"/>
    <w:rsid w:val="00B35CB3"/>
    <w:rsid w:val="00B35E56"/>
    <w:rsid w:val="00B35F8E"/>
    <w:rsid w:val="00B36A46"/>
    <w:rsid w:val="00B37121"/>
    <w:rsid w:val="00B3729C"/>
    <w:rsid w:val="00B4003E"/>
    <w:rsid w:val="00B40292"/>
    <w:rsid w:val="00B406B2"/>
    <w:rsid w:val="00B409B7"/>
    <w:rsid w:val="00B40D73"/>
    <w:rsid w:val="00B411A3"/>
    <w:rsid w:val="00B412CB"/>
    <w:rsid w:val="00B41351"/>
    <w:rsid w:val="00B413E1"/>
    <w:rsid w:val="00B415EF"/>
    <w:rsid w:val="00B41A84"/>
    <w:rsid w:val="00B41B34"/>
    <w:rsid w:val="00B42378"/>
    <w:rsid w:val="00B427E4"/>
    <w:rsid w:val="00B42879"/>
    <w:rsid w:val="00B42B9A"/>
    <w:rsid w:val="00B42C78"/>
    <w:rsid w:val="00B430D3"/>
    <w:rsid w:val="00B432D4"/>
    <w:rsid w:val="00B4340E"/>
    <w:rsid w:val="00B43787"/>
    <w:rsid w:val="00B437BD"/>
    <w:rsid w:val="00B4383C"/>
    <w:rsid w:val="00B43985"/>
    <w:rsid w:val="00B439FA"/>
    <w:rsid w:val="00B43B0B"/>
    <w:rsid w:val="00B43D4D"/>
    <w:rsid w:val="00B44069"/>
    <w:rsid w:val="00B440CF"/>
    <w:rsid w:val="00B443C5"/>
    <w:rsid w:val="00B4485B"/>
    <w:rsid w:val="00B44D81"/>
    <w:rsid w:val="00B4500C"/>
    <w:rsid w:val="00B45013"/>
    <w:rsid w:val="00B45385"/>
    <w:rsid w:val="00B455F6"/>
    <w:rsid w:val="00B458D3"/>
    <w:rsid w:val="00B45A61"/>
    <w:rsid w:val="00B45AAE"/>
    <w:rsid w:val="00B460A0"/>
    <w:rsid w:val="00B461C8"/>
    <w:rsid w:val="00B462D6"/>
    <w:rsid w:val="00B46347"/>
    <w:rsid w:val="00B46BBB"/>
    <w:rsid w:val="00B47036"/>
    <w:rsid w:val="00B47784"/>
    <w:rsid w:val="00B4783F"/>
    <w:rsid w:val="00B47CEF"/>
    <w:rsid w:val="00B47E6A"/>
    <w:rsid w:val="00B502AF"/>
    <w:rsid w:val="00B502D9"/>
    <w:rsid w:val="00B502E8"/>
    <w:rsid w:val="00B50445"/>
    <w:rsid w:val="00B504F7"/>
    <w:rsid w:val="00B50BA6"/>
    <w:rsid w:val="00B50D6B"/>
    <w:rsid w:val="00B51224"/>
    <w:rsid w:val="00B513F2"/>
    <w:rsid w:val="00B51420"/>
    <w:rsid w:val="00B51526"/>
    <w:rsid w:val="00B51A40"/>
    <w:rsid w:val="00B51CC0"/>
    <w:rsid w:val="00B52559"/>
    <w:rsid w:val="00B52646"/>
    <w:rsid w:val="00B529F2"/>
    <w:rsid w:val="00B52AAD"/>
    <w:rsid w:val="00B52BC3"/>
    <w:rsid w:val="00B52BFC"/>
    <w:rsid w:val="00B52EA6"/>
    <w:rsid w:val="00B53591"/>
    <w:rsid w:val="00B53C0B"/>
    <w:rsid w:val="00B53EC2"/>
    <w:rsid w:val="00B53EF5"/>
    <w:rsid w:val="00B5428C"/>
    <w:rsid w:val="00B54381"/>
    <w:rsid w:val="00B543E9"/>
    <w:rsid w:val="00B54759"/>
    <w:rsid w:val="00B5475E"/>
    <w:rsid w:val="00B54989"/>
    <w:rsid w:val="00B54DAD"/>
    <w:rsid w:val="00B553CF"/>
    <w:rsid w:val="00B55517"/>
    <w:rsid w:val="00B555B8"/>
    <w:rsid w:val="00B55ACA"/>
    <w:rsid w:val="00B55CE0"/>
    <w:rsid w:val="00B56023"/>
    <w:rsid w:val="00B5612F"/>
    <w:rsid w:val="00B566E0"/>
    <w:rsid w:val="00B5685D"/>
    <w:rsid w:val="00B57861"/>
    <w:rsid w:val="00B60394"/>
    <w:rsid w:val="00B60567"/>
    <w:rsid w:val="00B60605"/>
    <w:rsid w:val="00B607B8"/>
    <w:rsid w:val="00B60DF7"/>
    <w:rsid w:val="00B60E6E"/>
    <w:rsid w:val="00B6184F"/>
    <w:rsid w:val="00B619AF"/>
    <w:rsid w:val="00B61B85"/>
    <w:rsid w:val="00B61CFF"/>
    <w:rsid w:val="00B61F53"/>
    <w:rsid w:val="00B61F70"/>
    <w:rsid w:val="00B6237B"/>
    <w:rsid w:val="00B624C5"/>
    <w:rsid w:val="00B62A18"/>
    <w:rsid w:val="00B6305A"/>
    <w:rsid w:val="00B63395"/>
    <w:rsid w:val="00B634C4"/>
    <w:rsid w:val="00B63870"/>
    <w:rsid w:val="00B63CC1"/>
    <w:rsid w:val="00B640AB"/>
    <w:rsid w:val="00B64398"/>
    <w:rsid w:val="00B64484"/>
    <w:rsid w:val="00B645EE"/>
    <w:rsid w:val="00B645F8"/>
    <w:rsid w:val="00B646A6"/>
    <w:rsid w:val="00B64995"/>
    <w:rsid w:val="00B652B0"/>
    <w:rsid w:val="00B657B5"/>
    <w:rsid w:val="00B65A2A"/>
    <w:rsid w:val="00B65D1C"/>
    <w:rsid w:val="00B660B7"/>
    <w:rsid w:val="00B664EC"/>
    <w:rsid w:val="00B66758"/>
    <w:rsid w:val="00B66801"/>
    <w:rsid w:val="00B669F5"/>
    <w:rsid w:val="00B66FF7"/>
    <w:rsid w:val="00B675E5"/>
    <w:rsid w:val="00B6796C"/>
    <w:rsid w:val="00B67B2B"/>
    <w:rsid w:val="00B67D7F"/>
    <w:rsid w:val="00B70333"/>
    <w:rsid w:val="00B703CE"/>
    <w:rsid w:val="00B70470"/>
    <w:rsid w:val="00B707D8"/>
    <w:rsid w:val="00B70A49"/>
    <w:rsid w:val="00B70EDB"/>
    <w:rsid w:val="00B71298"/>
    <w:rsid w:val="00B713B9"/>
    <w:rsid w:val="00B71A24"/>
    <w:rsid w:val="00B71A5D"/>
    <w:rsid w:val="00B72184"/>
    <w:rsid w:val="00B7273B"/>
    <w:rsid w:val="00B727B8"/>
    <w:rsid w:val="00B73259"/>
    <w:rsid w:val="00B73453"/>
    <w:rsid w:val="00B737C7"/>
    <w:rsid w:val="00B73B30"/>
    <w:rsid w:val="00B741DB"/>
    <w:rsid w:val="00B74570"/>
    <w:rsid w:val="00B74572"/>
    <w:rsid w:val="00B74A0D"/>
    <w:rsid w:val="00B74EC0"/>
    <w:rsid w:val="00B74F4E"/>
    <w:rsid w:val="00B75667"/>
    <w:rsid w:val="00B758C6"/>
    <w:rsid w:val="00B75ED2"/>
    <w:rsid w:val="00B76727"/>
    <w:rsid w:val="00B768B5"/>
    <w:rsid w:val="00B76CD5"/>
    <w:rsid w:val="00B77062"/>
    <w:rsid w:val="00B7709F"/>
    <w:rsid w:val="00B774CC"/>
    <w:rsid w:val="00B77632"/>
    <w:rsid w:val="00B77ACE"/>
    <w:rsid w:val="00B77B98"/>
    <w:rsid w:val="00B77D8A"/>
    <w:rsid w:val="00B8053A"/>
    <w:rsid w:val="00B8053B"/>
    <w:rsid w:val="00B80795"/>
    <w:rsid w:val="00B80CAD"/>
    <w:rsid w:val="00B80D06"/>
    <w:rsid w:val="00B80F5B"/>
    <w:rsid w:val="00B811F0"/>
    <w:rsid w:val="00B812E8"/>
    <w:rsid w:val="00B81578"/>
    <w:rsid w:val="00B81684"/>
    <w:rsid w:val="00B817F4"/>
    <w:rsid w:val="00B8206A"/>
    <w:rsid w:val="00B821AB"/>
    <w:rsid w:val="00B8226F"/>
    <w:rsid w:val="00B82519"/>
    <w:rsid w:val="00B82942"/>
    <w:rsid w:val="00B82ED6"/>
    <w:rsid w:val="00B830F7"/>
    <w:rsid w:val="00B8321E"/>
    <w:rsid w:val="00B83AC3"/>
    <w:rsid w:val="00B83D8E"/>
    <w:rsid w:val="00B83DF6"/>
    <w:rsid w:val="00B8408E"/>
    <w:rsid w:val="00B84920"/>
    <w:rsid w:val="00B84BE8"/>
    <w:rsid w:val="00B84CFA"/>
    <w:rsid w:val="00B85E03"/>
    <w:rsid w:val="00B85EEF"/>
    <w:rsid w:val="00B85F67"/>
    <w:rsid w:val="00B86557"/>
    <w:rsid w:val="00B86734"/>
    <w:rsid w:val="00B8692C"/>
    <w:rsid w:val="00B86BDC"/>
    <w:rsid w:val="00B86C35"/>
    <w:rsid w:val="00B86CD4"/>
    <w:rsid w:val="00B86DC9"/>
    <w:rsid w:val="00B8706E"/>
    <w:rsid w:val="00B87143"/>
    <w:rsid w:val="00B87211"/>
    <w:rsid w:val="00B872BD"/>
    <w:rsid w:val="00B874FB"/>
    <w:rsid w:val="00B8769E"/>
    <w:rsid w:val="00B90516"/>
    <w:rsid w:val="00B90DC8"/>
    <w:rsid w:val="00B90E5F"/>
    <w:rsid w:val="00B911A5"/>
    <w:rsid w:val="00B91356"/>
    <w:rsid w:val="00B917B0"/>
    <w:rsid w:val="00B91E0F"/>
    <w:rsid w:val="00B91F1C"/>
    <w:rsid w:val="00B926E0"/>
    <w:rsid w:val="00B928B6"/>
    <w:rsid w:val="00B92A14"/>
    <w:rsid w:val="00B92DBB"/>
    <w:rsid w:val="00B93042"/>
    <w:rsid w:val="00B934A9"/>
    <w:rsid w:val="00B93B55"/>
    <w:rsid w:val="00B93C36"/>
    <w:rsid w:val="00B94054"/>
    <w:rsid w:val="00B94253"/>
    <w:rsid w:val="00B9436E"/>
    <w:rsid w:val="00B95056"/>
    <w:rsid w:val="00B950E8"/>
    <w:rsid w:val="00B95242"/>
    <w:rsid w:val="00B95471"/>
    <w:rsid w:val="00B954FC"/>
    <w:rsid w:val="00B95A04"/>
    <w:rsid w:val="00B95C49"/>
    <w:rsid w:val="00B95EEF"/>
    <w:rsid w:val="00B96228"/>
    <w:rsid w:val="00B96313"/>
    <w:rsid w:val="00B967D6"/>
    <w:rsid w:val="00B96A58"/>
    <w:rsid w:val="00B96ABF"/>
    <w:rsid w:val="00B96CBF"/>
    <w:rsid w:val="00B96CF0"/>
    <w:rsid w:val="00B96DA2"/>
    <w:rsid w:val="00B97585"/>
    <w:rsid w:val="00B977E6"/>
    <w:rsid w:val="00B97B85"/>
    <w:rsid w:val="00BA067F"/>
    <w:rsid w:val="00BA0827"/>
    <w:rsid w:val="00BA0EBA"/>
    <w:rsid w:val="00BA13E0"/>
    <w:rsid w:val="00BA17C4"/>
    <w:rsid w:val="00BA1C20"/>
    <w:rsid w:val="00BA1E0C"/>
    <w:rsid w:val="00BA270E"/>
    <w:rsid w:val="00BA2729"/>
    <w:rsid w:val="00BA283C"/>
    <w:rsid w:val="00BA2847"/>
    <w:rsid w:val="00BA2A31"/>
    <w:rsid w:val="00BA2AEB"/>
    <w:rsid w:val="00BA2DED"/>
    <w:rsid w:val="00BA2E12"/>
    <w:rsid w:val="00BA2E29"/>
    <w:rsid w:val="00BA3129"/>
    <w:rsid w:val="00BA3909"/>
    <w:rsid w:val="00BA3974"/>
    <w:rsid w:val="00BA3CC9"/>
    <w:rsid w:val="00BA3F29"/>
    <w:rsid w:val="00BA40BE"/>
    <w:rsid w:val="00BA48E0"/>
    <w:rsid w:val="00BA4C24"/>
    <w:rsid w:val="00BA4E10"/>
    <w:rsid w:val="00BA4EB2"/>
    <w:rsid w:val="00BA5346"/>
    <w:rsid w:val="00BA54FB"/>
    <w:rsid w:val="00BA580D"/>
    <w:rsid w:val="00BA5B1B"/>
    <w:rsid w:val="00BA5C97"/>
    <w:rsid w:val="00BA5EFB"/>
    <w:rsid w:val="00BA6282"/>
    <w:rsid w:val="00BA659A"/>
    <w:rsid w:val="00BA68C1"/>
    <w:rsid w:val="00BA6CFD"/>
    <w:rsid w:val="00BA6E7E"/>
    <w:rsid w:val="00BA70E9"/>
    <w:rsid w:val="00BA73D7"/>
    <w:rsid w:val="00BA7423"/>
    <w:rsid w:val="00BA7541"/>
    <w:rsid w:val="00BA7576"/>
    <w:rsid w:val="00BA758B"/>
    <w:rsid w:val="00BA7688"/>
    <w:rsid w:val="00BA7814"/>
    <w:rsid w:val="00BA7EB0"/>
    <w:rsid w:val="00BB0481"/>
    <w:rsid w:val="00BB04D0"/>
    <w:rsid w:val="00BB0528"/>
    <w:rsid w:val="00BB070E"/>
    <w:rsid w:val="00BB0B3E"/>
    <w:rsid w:val="00BB0D75"/>
    <w:rsid w:val="00BB0FE6"/>
    <w:rsid w:val="00BB1211"/>
    <w:rsid w:val="00BB1393"/>
    <w:rsid w:val="00BB16E8"/>
    <w:rsid w:val="00BB1874"/>
    <w:rsid w:val="00BB1966"/>
    <w:rsid w:val="00BB1B24"/>
    <w:rsid w:val="00BB1C4F"/>
    <w:rsid w:val="00BB1D50"/>
    <w:rsid w:val="00BB225D"/>
    <w:rsid w:val="00BB238E"/>
    <w:rsid w:val="00BB2649"/>
    <w:rsid w:val="00BB2A18"/>
    <w:rsid w:val="00BB3355"/>
    <w:rsid w:val="00BB35FB"/>
    <w:rsid w:val="00BB365A"/>
    <w:rsid w:val="00BB3E68"/>
    <w:rsid w:val="00BB3F4C"/>
    <w:rsid w:val="00BB3F8F"/>
    <w:rsid w:val="00BB3FE9"/>
    <w:rsid w:val="00BB424D"/>
    <w:rsid w:val="00BB4A42"/>
    <w:rsid w:val="00BB5321"/>
    <w:rsid w:val="00BB55E6"/>
    <w:rsid w:val="00BB56F2"/>
    <w:rsid w:val="00BB56F3"/>
    <w:rsid w:val="00BB6037"/>
    <w:rsid w:val="00BB61DC"/>
    <w:rsid w:val="00BB62A9"/>
    <w:rsid w:val="00BB6431"/>
    <w:rsid w:val="00BB6472"/>
    <w:rsid w:val="00BB6661"/>
    <w:rsid w:val="00BB6C81"/>
    <w:rsid w:val="00BB71EC"/>
    <w:rsid w:val="00BB723D"/>
    <w:rsid w:val="00BB724B"/>
    <w:rsid w:val="00BB7634"/>
    <w:rsid w:val="00BC0854"/>
    <w:rsid w:val="00BC16BF"/>
    <w:rsid w:val="00BC17EF"/>
    <w:rsid w:val="00BC1A03"/>
    <w:rsid w:val="00BC1A99"/>
    <w:rsid w:val="00BC1EF1"/>
    <w:rsid w:val="00BC201A"/>
    <w:rsid w:val="00BC20D2"/>
    <w:rsid w:val="00BC2126"/>
    <w:rsid w:val="00BC2BC7"/>
    <w:rsid w:val="00BC2F45"/>
    <w:rsid w:val="00BC321B"/>
    <w:rsid w:val="00BC344E"/>
    <w:rsid w:val="00BC34F8"/>
    <w:rsid w:val="00BC3667"/>
    <w:rsid w:val="00BC36A6"/>
    <w:rsid w:val="00BC38B8"/>
    <w:rsid w:val="00BC3CF8"/>
    <w:rsid w:val="00BC3FE8"/>
    <w:rsid w:val="00BC40B9"/>
    <w:rsid w:val="00BC499E"/>
    <w:rsid w:val="00BC4ADC"/>
    <w:rsid w:val="00BC4D1F"/>
    <w:rsid w:val="00BC52B4"/>
    <w:rsid w:val="00BC5CE2"/>
    <w:rsid w:val="00BC68C0"/>
    <w:rsid w:val="00BC70D5"/>
    <w:rsid w:val="00BC7133"/>
    <w:rsid w:val="00BC71C5"/>
    <w:rsid w:val="00BC7659"/>
    <w:rsid w:val="00BC77C9"/>
    <w:rsid w:val="00BC783B"/>
    <w:rsid w:val="00BC7A42"/>
    <w:rsid w:val="00BD013E"/>
    <w:rsid w:val="00BD0238"/>
    <w:rsid w:val="00BD082C"/>
    <w:rsid w:val="00BD0FC4"/>
    <w:rsid w:val="00BD100C"/>
    <w:rsid w:val="00BD140B"/>
    <w:rsid w:val="00BD1624"/>
    <w:rsid w:val="00BD1A67"/>
    <w:rsid w:val="00BD238C"/>
    <w:rsid w:val="00BD2869"/>
    <w:rsid w:val="00BD2A08"/>
    <w:rsid w:val="00BD2CED"/>
    <w:rsid w:val="00BD2F55"/>
    <w:rsid w:val="00BD30E5"/>
    <w:rsid w:val="00BD3837"/>
    <w:rsid w:val="00BD386B"/>
    <w:rsid w:val="00BD3C69"/>
    <w:rsid w:val="00BD3D7A"/>
    <w:rsid w:val="00BD4092"/>
    <w:rsid w:val="00BD4235"/>
    <w:rsid w:val="00BD45AD"/>
    <w:rsid w:val="00BD4F5F"/>
    <w:rsid w:val="00BD5A26"/>
    <w:rsid w:val="00BD5CD4"/>
    <w:rsid w:val="00BD5FA4"/>
    <w:rsid w:val="00BD6509"/>
    <w:rsid w:val="00BD689C"/>
    <w:rsid w:val="00BD6A22"/>
    <w:rsid w:val="00BD6BB1"/>
    <w:rsid w:val="00BD6D88"/>
    <w:rsid w:val="00BD782C"/>
    <w:rsid w:val="00BD7927"/>
    <w:rsid w:val="00BD7A82"/>
    <w:rsid w:val="00BD7F9E"/>
    <w:rsid w:val="00BE02A3"/>
    <w:rsid w:val="00BE0695"/>
    <w:rsid w:val="00BE072F"/>
    <w:rsid w:val="00BE0FCB"/>
    <w:rsid w:val="00BE1382"/>
    <w:rsid w:val="00BE13B8"/>
    <w:rsid w:val="00BE16C6"/>
    <w:rsid w:val="00BE1703"/>
    <w:rsid w:val="00BE1959"/>
    <w:rsid w:val="00BE197A"/>
    <w:rsid w:val="00BE1A06"/>
    <w:rsid w:val="00BE1CE8"/>
    <w:rsid w:val="00BE2404"/>
    <w:rsid w:val="00BE2412"/>
    <w:rsid w:val="00BE269D"/>
    <w:rsid w:val="00BE28FE"/>
    <w:rsid w:val="00BE2B2C"/>
    <w:rsid w:val="00BE2B3A"/>
    <w:rsid w:val="00BE312F"/>
    <w:rsid w:val="00BE3E52"/>
    <w:rsid w:val="00BE3EA0"/>
    <w:rsid w:val="00BE403F"/>
    <w:rsid w:val="00BE4376"/>
    <w:rsid w:val="00BE4593"/>
    <w:rsid w:val="00BE475F"/>
    <w:rsid w:val="00BE5164"/>
    <w:rsid w:val="00BE51C6"/>
    <w:rsid w:val="00BE5519"/>
    <w:rsid w:val="00BE5622"/>
    <w:rsid w:val="00BE57B1"/>
    <w:rsid w:val="00BE5813"/>
    <w:rsid w:val="00BE60DC"/>
    <w:rsid w:val="00BE6149"/>
    <w:rsid w:val="00BE65B3"/>
    <w:rsid w:val="00BE689B"/>
    <w:rsid w:val="00BE6D82"/>
    <w:rsid w:val="00BE72B2"/>
    <w:rsid w:val="00BE7B27"/>
    <w:rsid w:val="00BF0058"/>
    <w:rsid w:val="00BF00A5"/>
    <w:rsid w:val="00BF02E6"/>
    <w:rsid w:val="00BF08B0"/>
    <w:rsid w:val="00BF0CEB"/>
    <w:rsid w:val="00BF0F15"/>
    <w:rsid w:val="00BF10D2"/>
    <w:rsid w:val="00BF120B"/>
    <w:rsid w:val="00BF12B0"/>
    <w:rsid w:val="00BF1309"/>
    <w:rsid w:val="00BF1A29"/>
    <w:rsid w:val="00BF1DF1"/>
    <w:rsid w:val="00BF204A"/>
    <w:rsid w:val="00BF21AD"/>
    <w:rsid w:val="00BF220D"/>
    <w:rsid w:val="00BF2372"/>
    <w:rsid w:val="00BF2817"/>
    <w:rsid w:val="00BF2A22"/>
    <w:rsid w:val="00BF300F"/>
    <w:rsid w:val="00BF31CB"/>
    <w:rsid w:val="00BF3615"/>
    <w:rsid w:val="00BF3BCB"/>
    <w:rsid w:val="00BF3C10"/>
    <w:rsid w:val="00BF3E35"/>
    <w:rsid w:val="00BF3E99"/>
    <w:rsid w:val="00BF3EDF"/>
    <w:rsid w:val="00BF3FFA"/>
    <w:rsid w:val="00BF41CF"/>
    <w:rsid w:val="00BF43E6"/>
    <w:rsid w:val="00BF46F1"/>
    <w:rsid w:val="00BF493C"/>
    <w:rsid w:val="00BF4B69"/>
    <w:rsid w:val="00BF56A8"/>
    <w:rsid w:val="00BF60E3"/>
    <w:rsid w:val="00BF61AC"/>
    <w:rsid w:val="00BF6C19"/>
    <w:rsid w:val="00BF6E7B"/>
    <w:rsid w:val="00BF6FBF"/>
    <w:rsid w:val="00BF70A1"/>
    <w:rsid w:val="00BF70F8"/>
    <w:rsid w:val="00BF7B97"/>
    <w:rsid w:val="00BF7C67"/>
    <w:rsid w:val="00BF7D39"/>
    <w:rsid w:val="00BF7D43"/>
    <w:rsid w:val="00C00F1A"/>
    <w:rsid w:val="00C010F5"/>
    <w:rsid w:val="00C01305"/>
    <w:rsid w:val="00C0150C"/>
    <w:rsid w:val="00C01835"/>
    <w:rsid w:val="00C02192"/>
    <w:rsid w:val="00C023FA"/>
    <w:rsid w:val="00C02827"/>
    <w:rsid w:val="00C02B71"/>
    <w:rsid w:val="00C02CDE"/>
    <w:rsid w:val="00C0350D"/>
    <w:rsid w:val="00C03628"/>
    <w:rsid w:val="00C039B6"/>
    <w:rsid w:val="00C03B7B"/>
    <w:rsid w:val="00C03CF4"/>
    <w:rsid w:val="00C04591"/>
    <w:rsid w:val="00C04CAF"/>
    <w:rsid w:val="00C053DB"/>
    <w:rsid w:val="00C057E0"/>
    <w:rsid w:val="00C0581D"/>
    <w:rsid w:val="00C05863"/>
    <w:rsid w:val="00C05C20"/>
    <w:rsid w:val="00C06066"/>
    <w:rsid w:val="00C0648A"/>
    <w:rsid w:val="00C06690"/>
    <w:rsid w:val="00C067A4"/>
    <w:rsid w:val="00C06BE9"/>
    <w:rsid w:val="00C06FFC"/>
    <w:rsid w:val="00C071C6"/>
    <w:rsid w:val="00C07A6C"/>
    <w:rsid w:val="00C07AE3"/>
    <w:rsid w:val="00C07AE4"/>
    <w:rsid w:val="00C07C81"/>
    <w:rsid w:val="00C07D3E"/>
    <w:rsid w:val="00C10599"/>
    <w:rsid w:val="00C106DF"/>
    <w:rsid w:val="00C10857"/>
    <w:rsid w:val="00C10A3B"/>
    <w:rsid w:val="00C110AB"/>
    <w:rsid w:val="00C1114F"/>
    <w:rsid w:val="00C11183"/>
    <w:rsid w:val="00C11197"/>
    <w:rsid w:val="00C1150F"/>
    <w:rsid w:val="00C11C33"/>
    <w:rsid w:val="00C11C73"/>
    <w:rsid w:val="00C11FE5"/>
    <w:rsid w:val="00C11FF6"/>
    <w:rsid w:val="00C120E0"/>
    <w:rsid w:val="00C1286D"/>
    <w:rsid w:val="00C12E3C"/>
    <w:rsid w:val="00C12EB5"/>
    <w:rsid w:val="00C134A1"/>
    <w:rsid w:val="00C13504"/>
    <w:rsid w:val="00C1399B"/>
    <w:rsid w:val="00C13C8A"/>
    <w:rsid w:val="00C13C9C"/>
    <w:rsid w:val="00C13F22"/>
    <w:rsid w:val="00C13F33"/>
    <w:rsid w:val="00C140FE"/>
    <w:rsid w:val="00C14C0C"/>
    <w:rsid w:val="00C15135"/>
    <w:rsid w:val="00C153DD"/>
    <w:rsid w:val="00C159ED"/>
    <w:rsid w:val="00C15FFF"/>
    <w:rsid w:val="00C1662C"/>
    <w:rsid w:val="00C17099"/>
    <w:rsid w:val="00C1733B"/>
    <w:rsid w:val="00C1741D"/>
    <w:rsid w:val="00C174EC"/>
    <w:rsid w:val="00C17593"/>
    <w:rsid w:val="00C1792D"/>
    <w:rsid w:val="00C17BE3"/>
    <w:rsid w:val="00C17D7E"/>
    <w:rsid w:val="00C17D89"/>
    <w:rsid w:val="00C17E62"/>
    <w:rsid w:val="00C202D5"/>
    <w:rsid w:val="00C2068D"/>
    <w:rsid w:val="00C206C4"/>
    <w:rsid w:val="00C206EC"/>
    <w:rsid w:val="00C20BD7"/>
    <w:rsid w:val="00C20F77"/>
    <w:rsid w:val="00C210D4"/>
    <w:rsid w:val="00C21B1D"/>
    <w:rsid w:val="00C222CF"/>
    <w:rsid w:val="00C223DE"/>
    <w:rsid w:val="00C2288B"/>
    <w:rsid w:val="00C232DD"/>
    <w:rsid w:val="00C236CC"/>
    <w:rsid w:val="00C2423A"/>
    <w:rsid w:val="00C24399"/>
    <w:rsid w:val="00C243D1"/>
    <w:rsid w:val="00C24CA2"/>
    <w:rsid w:val="00C24EE5"/>
    <w:rsid w:val="00C24F34"/>
    <w:rsid w:val="00C24F74"/>
    <w:rsid w:val="00C250CF"/>
    <w:rsid w:val="00C2544D"/>
    <w:rsid w:val="00C254EB"/>
    <w:rsid w:val="00C255D5"/>
    <w:rsid w:val="00C25900"/>
    <w:rsid w:val="00C25D3A"/>
    <w:rsid w:val="00C263AE"/>
    <w:rsid w:val="00C26871"/>
    <w:rsid w:val="00C2695A"/>
    <w:rsid w:val="00C274BE"/>
    <w:rsid w:val="00C307FA"/>
    <w:rsid w:val="00C30D3F"/>
    <w:rsid w:val="00C30DAA"/>
    <w:rsid w:val="00C30F1F"/>
    <w:rsid w:val="00C30FB5"/>
    <w:rsid w:val="00C30FB7"/>
    <w:rsid w:val="00C31089"/>
    <w:rsid w:val="00C31237"/>
    <w:rsid w:val="00C314DF"/>
    <w:rsid w:val="00C3175A"/>
    <w:rsid w:val="00C319A2"/>
    <w:rsid w:val="00C3208A"/>
    <w:rsid w:val="00C32417"/>
    <w:rsid w:val="00C328B2"/>
    <w:rsid w:val="00C32A9C"/>
    <w:rsid w:val="00C32BB7"/>
    <w:rsid w:val="00C33373"/>
    <w:rsid w:val="00C334D8"/>
    <w:rsid w:val="00C338F8"/>
    <w:rsid w:val="00C339DE"/>
    <w:rsid w:val="00C33AA7"/>
    <w:rsid w:val="00C33DCE"/>
    <w:rsid w:val="00C342B6"/>
    <w:rsid w:val="00C3463A"/>
    <w:rsid w:val="00C346BB"/>
    <w:rsid w:val="00C346C1"/>
    <w:rsid w:val="00C3488A"/>
    <w:rsid w:val="00C34C05"/>
    <w:rsid w:val="00C34DD9"/>
    <w:rsid w:val="00C35576"/>
    <w:rsid w:val="00C3566B"/>
    <w:rsid w:val="00C35A42"/>
    <w:rsid w:val="00C35A75"/>
    <w:rsid w:val="00C35B23"/>
    <w:rsid w:val="00C35D4F"/>
    <w:rsid w:val="00C3661D"/>
    <w:rsid w:val="00C36AFD"/>
    <w:rsid w:val="00C36DAD"/>
    <w:rsid w:val="00C37050"/>
    <w:rsid w:val="00C373E4"/>
    <w:rsid w:val="00C37493"/>
    <w:rsid w:val="00C37F07"/>
    <w:rsid w:val="00C37F85"/>
    <w:rsid w:val="00C37F8D"/>
    <w:rsid w:val="00C4018E"/>
    <w:rsid w:val="00C40447"/>
    <w:rsid w:val="00C4044A"/>
    <w:rsid w:val="00C404D5"/>
    <w:rsid w:val="00C40B7D"/>
    <w:rsid w:val="00C40FD3"/>
    <w:rsid w:val="00C413FE"/>
    <w:rsid w:val="00C41634"/>
    <w:rsid w:val="00C41C62"/>
    <w:rsid w:val="00C42130"/>
    <w:rsid w:val="00C4214B"/>
    <w:rsid w:val="00C42784"/>
    <w:rsid w:val="00C429D4"/>
    <w:rsid w:val="00C429E1"/>
    <w:rsid w:val="00C439C5"/>
    <w:rsid w:val="00C439F0"/>
    <w:rsid w:val="00C43C30"/>
    <w:rsid w:val="00C43CE7"/>
    <w:rsid w:val="00C44189"/>
    <w:rsid w:val="00C44416"/>
    <w:rsid w:val="00C4451B"/>
    <w:rsid w:val="00C445F4"/>
    <w:rsid w:val="00C4464F"/>
    <w:rsid w:val="00C447FB"/>
    <w:rsid w:val="00C44ADA"/>
    <w:rsid w:val="00C450DB"/>
    <w:rsid w:val="00C45A9C"/>
    <w:rsid w:val="00C45B3D"/>
    <w:rsid w:val="00C466A6"/>
    <w:rsid w:val="00C466EC"/>
    <w:rsid w:val="00C466F1"/>
    <w:rsid w:val="00C46B53"/>
    <w:rsid w:val="00C470AA"/>
    <w:rsid w:val="00C470E9"/>
    <w:rsid w:val="00C4740A"/>
    <w:rsid w:val="00C47838"/>
    <w:rsid w:val="00C47AE8"/>
    <w:rsid w:val="00C508B7"/>
    <w:rsid w:val="00C51957"/>
    <w:rsid w:val="00C51D11"/>
    <w:rsid w:val="00C5257E"/>
    <w:rsid w:val="00C52A41"/>
    <w:rsid w:val="00C52A73"/>
    <w:rsid w:val="00C531B4"/>
    <w:rsid w:val="00C532F9"/>
    <w:rsid w:val="00C53E22"/>
    <w:rsid w:val="00C5430E"/>
    <w:rsid w:val="00C54C62"/>
    <w:rsid w:val="00C55941"/>
    <w:rsid w:val="00C55ADC"/>
    <w:rsid w:val="00C55CE2"/>
    <w:rsid w:val="00C5638E"/>
    <w:rsid w:val="00C56491"/>
    <w:rsid w:val="00C56918"/>
    <w:rsid w:val="00C569CA"/>
    <w:rsid w:val="00C56C48"/>
    <w:rsid w:val="00C5707E"/>
    <w:rsid w:val="00C57A4B"/>
    <w:rsid w:val="00C57CC6"/>
    <w:rsid w:val="00C60002"/>
    <w:rsid w:val="00C601EB"/>
    <w:rsid w:val="00C603F8"/>
    <w:rsid w:val="00C60EC1"/>
    <w:rsid w:val="00C60FFC"/>
    <w:rsid w:val="00C6115A"/>
    <w:rsid w:val="00C6119C"/>
    <w:rsid w:val="00C61B02"/>
    <w:rsid w:val="00C61FD6"/>
    <w:rsid w:val="00C62027"/>
    <w:rsid w:val="00C62163"/>
    <w:rsid w:val="00C62484"/>
    <w:rsid w:val="00C62997"/>
    <w:rsid w:val="00C62BE7"/>
    <w:rsid w:val="00C62C31"/>
    <w:rsid w:val="00C62FB5"/>
    <w:rsid w:val="00C633AB"/>
    <w:rsid w:val="00C6343A"/>
    <w:rsid w:val="00C6419F"/>
    <w:rsid w:val="00C64376"/>
    <w:rsid w:val="00C645DC"/>
    <w:rsid w:val="00C64626"/>
    <w:rsid w:val="00C64849"/>
    <w:rsid w:val="00C64958"/>
    <w:rsid w:val="00C64EDC"/>
    <w:rsid w:val="00C656EC"/>
    <w:rsid w:val="00C65C31"/>
    <w:rsid w:val="00C65D24"/>
    <w:rsid w:val="00C65F58"/>
    <w:rsid w:val="00C66571"/>
    <w:rsid w:val="00C666DB"/>
    <w:rsid w:val="00C667F6"/>
    <w:rsid w:val="00C66A25"/>
    <w:rsid w:val="00C66AC7"/>
    <w:rsid w:val="00C66B89"/>
    <w:rsid w:val="00C66C34"/>
    <w:rsid w:val="00C67231"/>
    <w:rsid w:val="00C7040D"/>
    <w:rsid w:val="00C70A15"/>
    <w:rsid w:val="00C70A55"/>
    <w:rsid w:val="00C70B8C"/>
    <w:rsid w:val="00C71468"/>
    <w:rsid w:val="00C719E5"/>
    <w:rsid w:val="00C7238B"/>
    <w:rsid w:val="00C723AF"/>
    <w:rsid w:val="00C723F3"/>
    <w:rsid w:val="00C72750"/>
    <w:rsid w:val="00C72953"/>
    <w:rsid w:val="00C72EF5"/>
    <w:rsid w:val="00C7305F"/>
    <w:rsid w:val="00C730A0"/>
    <w:rsid w:val="00C732C5"/>
    <w:rsid w:val="00C7357D"/>
    <w:rsid w:val="00C73807"/>
    <w:rsid w:val="00C73F0A"/>
    <w:rsid w:val="00C73F77"/>
    <w:rsid w:val="00C740FD"/>
    <w:rsid w:val="00C74157"/>
    <w:rsid w:val="00C7448E"/>
    <w:rsid w:val="00C746BD"/>
    <w:rsid w:val="00C748E2"/>
    <w:rsid w:val="00C75004"/>
    <w:rsid w:val="00C7542A"/>
    <w:rsid w:val="00C755E8"/>
    <w:rsid w:val="00C75970"/>
    <w:rsid w:val="00C75AC4"/>
    <w:rsid w:val="00C75B22"/>
    <w:rsid w:val="00C75C9D"/>
    <w:rsid w:val="00C75ED0"/>
    <w:rsid w:val="00C76A56"/>
    <w:rsid w:val="00C76A6B"/>
    <w:rsid w:val="00C76F37"/>
    <w:rsid w:val="00C7731D"/>
    <w:rsid w:val="00C77371"/>
    <w:rsid w:val="00C7799E"/>
    <w:rsid w:val="00C77C55"/>
    <w:rsid w:val="00C77DF7"/>
    <w:rsid w:val="00C80059"/>
    <w:rsid w:val="00C80547"/>
    <w:rsid w:val="00C80C97"/>
    <w:rsid w:val="00C818F8"/>
    <w:rsid w:val="00C8198E"/>
    <w:rsid w:val="00C81B30"/>
    <w:rsid w:val="00C82387"/>
    <w:rsid w:val="00C823AF"/>
    <w:rsid w:val="00C8329E"/>
    <w:rsid w:val="00C834A3"/>
    <w:rsid w:val="00C836F2"/>
    <w:rsid w:val="00C838C2"/>
    <w:rsid w:val="00C84332"/>
    <w:rsid w:val="00C8534D"/>
    <w:rsid w:val="00C85FA0"/>
    <w:rsid w:val="00C8624E"/>
    <w:rsid w:val="00C86379"/>
    <w:rsid w:val="00C864DB"/>
    <w:rsid w:val="00C8714D"/>
    <w:rsid w:val="00C8781D"/>
    <w:rsid w:val="00C87E17"/>
    <w:rsid w:val="00C901A9"/>
    <w:rsid w:val="00C902B6"/>
    <w:rsid w:val="00C905AC"/>
    <w:rsid w:val="00C906BF"/>
    <w:rsid w:val="00C90B43"/>
    <w:rsid w:val="00C90C65"/>
    <w:rsid w:val="00C90C82"/>
    <w:rsid w:val="00C90F7A"/>
    <w:rsid w:val="00C90FB3"/>
    <w:rsid w:val="00C91707"/>
    <w:rsid w:val="00C91CFB"/>
    <w:rsid w:val="00C91E15"/>
    <w:rsid w:val="00C91E5C"/>
    <w:rsid w:val="00C91FAC"/>
    <w:rsid w:val="00C921D1"/>
    <w:rsid w:val="00C9220C"/>
    <w:rsid w:val="00C92215"/>
    <w:rsid w:val="00C922C5"/>
    <w:rsid w:val="00C92352"/>
    <w:rsid w:val="00C92376"/>
    <w:rsid w:val="00C927D6"/>
    <w:rsid w:val="00C92C2A"/>
    <w:rsid w:val="00C92E97"/>
    <w:rsid w:val="00C92FF0"/>
    <w:rsid w:val="00C9318C"/>
    <w:rsid w:val="00C93226"/>
    <w:rsid w:val="00C93297"/>
    <w:rsid w:val="00C934C7"/>
    <w:rsid w:val="00C93589"/>
    <w:rsid w:val="00C94292"/>
    <w:rsid w:val="00C9449C"/>
    <w:rsid w:val="00C945EC"/>
    <w:rsid w:val="00C9487D"/>
    <w:rsid w:val="00C94C29"/>
    <w:rsid w:val="00C94C62"/>
    <w:rsid w:val="00C94C81"/>
    <w:rsid w:val="00C94C87"/>
    <w:rsid w:val="00C94E45"/>
    <w:rsid w:val="00C952BF"/>
    <w:rsid w:val="00C95300"/>
    <w:rsid w:val="00C95548"/>
    <w:rsid w:val="00C95730"/>
    <w:rsid w:val="00C95962"/>
    <w:rsid w:val="00C95CD4"/>
    <w:rsid w:val="00C96127"/>
    <w:rsid w:val="00C961F5"/>
    <w:rsid w:val="00C96FE0"/>
    <w:rsid w:val="00C973E2"/>
    <w:rsid w:val="00C97AB0"/>
    <w:rsid w:val="00C97AF1"/>
    <w:rsid w:val="00C97D88"/>
    <w:rsid w:val="00C97E2C"/>
    <w:rsid w:val="00C97E38"/>
    <w:rsid w:val="00CA0151"/>
    <w:rsid w:val="00CA09AA"/>
    <w:rsid w:val="00CA0BAF"/>
    <w:rsid w:val="00CA0EAB"/>
    <w:rsid w:val="00CA114D"/>
    <w:rsid w:val="00CA1225"/>
    <w:rsid w:val="00CA13E8"/>
    <w:rsid w:val="00CA18D2"/>
    <w:rsid w:val="00CA2124"/>
    <w:rsid w:val="00CA261A"/>
    <w:rsid w:val="00CA2919"/>
    <w:rsid w:val="00CA2BAF"/>
    <w:rsid w:val="00CA2C56"/>
    <w:rsid w:val="00CA3072"/>
    <w:rsid w:val="00CA374F"/>
    <w:rsid w:val="00CA3CF5"/>
    <w:rsid w:val="00CA409C"/>
    <w:rsid w:val="00CA4A3F"/>
    <w:rsid w:val="00CA4C14"/>
    <w:rsid w:val="00CA4DC3"/>
    <w:rsid w:val="00CA4FE7"/>
    <w:rsid w:val="00CA51A0"/>
    <w:rsid w:val="00CA5974"/>
    <w:rsid w:val="00CA59AB"/>
    <w:rsid w:val="00CA5D26"/>
    <w:rsid w:val="00CA5D4A"/>
    <w:rsid w:val="00CA6164"/>
    <w:rsid w:val="00CA625F"/>
    <w:rsid w:val="00CA7202"/>
    <w:rsid w:val="00CA73B2"/>
    <w:rsid w:val="00CA74E8"/>
    <w:rsid w:val="00CA7680"/>
    <w:rsid w:val="00CA7801"/>
    <w:rsid w:val="00CA7D8D"/>
    <w:rsid w:val="00CB047F"/>
    <w:rsid w:val="00CB050A"/>
    <w:rsid w:val="00CB0C2A"/>
    <w:rsid w:val="00CB11BD"/>
    <w:rsid w:val="00CB1368"/>
    <w:rsid w:val="00CB1467"/>
    <w:rsid w:val="00CB16B2"/>
    <w:rsid w:val="00CB170F"/>
    <w:rsid w:val="00CB1D87"/>
    <w:rsid w:val="00CB1D94"/>
    <w:rsid w:val="00CB1F2A"/>
    <w:rsid w:val="00CB2072"/>
    <w:rsid w:val="00CB23DE"/>
    <w:rsid w:val="00CB242E"/>
    <w:rsid w:val="00CB2836"/>
    <w:rsid w:val="00CB30FC"/>
    <w:rsid w:val="00CB3460"/>
    <w:rsid w:val="00CB3886"/>
    <w:rsid w:val="00CB3C8D"/>
    <w:rsid w:val="00CB480A"/>
    <w:rsid w:val="00CB4FA5"/>
    <w:rsid w:val="00CB510D"/>
    <w:rsid w:val="00CB558B"/>
    <w:rsid w:val="00CB5760"/>
    <w:rsid w:val="00CB58DD"/>
    <w:rsid w:val="00CB590E"/>
    <w:rsid w:val="00CB5A9F"/>
    <w:rsid w:val="00CB5EF8"/>
    <w:rsid w:val="00CB60DD"/>
    <w:rsid w:val="00CB6343"/>
    <w:rsid w:val="00CB64EF"/>
    <w:rsid w:val="00CB659C"/>
    <w:rsid w:val="00CB68B3"/>
    <w:rsid w:val="00CB69F5"/>
    <w:rsid w:val="00CB6F9E"/>
    <w:rsid w:val="00CB7648"/>
    <w:rsid w:val="00CB7B6B"/>
    <w:rsid w:val="00CB7E60"/>
    <w:rsid w:val="00CC009C"/>
    <w:rsid w:val="00CC00B7"/>
    <w:rsid w:val="00CC0225"/>
    <w:rsid w:val="00CC034B"/>
    <w:rsid w:val="00CC05BB"/>
    <w:rsid w:val="00CC0AA7"/>
    <w:rsid w:val="00CC0E36"/>
    <w:rsid w:val="00CC0E56"/>
    <w:rsid w:val="00CC1258"/>
    <w:rsid w:val="00CC15B0"/>
    <w:rsid w:val="00CC15B9"/>
    <w:rsid w:val="00CC15D9"/>
    <w:rsid w:val="00CC172A"/>
    <w:rsid w:val="00CC1A18"/>
    <w:rsid w:val="00CC1C42"/>
    <w:rsid w:val="00CC1E3E"/>
    <w:rsid w:val="00CC1E40"/>
    <w:rsid w:val="00CC2100"/>
    <w:rsid w:val="00CC2559"/>
    <w:rsid w:val="00CC27F5"/>
    <w:rsid w:val="00CC2CF7"/>
    <w:rsid w:val="00CC2D18"/>
    <w:rsid w:val="00CC2EFE"/>
    <w:rsid w:val="00CC3949"/>
    <w:rsid w:val="00CC3AC0"/>
    <w:rsid w:val="00CC3E8C"/>
    <w:rsid w:val="00CC400F"/>
    <w:rsid w:val="00CC4365"/>
    <w:rsid w:val="00CC488C"/>
    <w:rsid w:val="00CC4C5E"/>
    <w:rsid w:val="00CC4CCF"/>
    <w:rsid w:val="00CC4F58"/>
    <w:rsid w:val="00CC4FF9"/>
    <w:rsid w:val="00CC57AE"/>
    <w:rsid w:val="00CC5867"/>
    <w:rsid w:val="00CC5A3D"/>
    <w:rsid w:val="00CC5E0D"/>
    <w:rsid w:val="00CC606C"/>
    <w:rsid w:val="00CC60AA"/>
    <w:rsid w:val="00CC68B6"/>
    <w:rsid w:val="00CC6B0F"/>
    <w:rsid w:val="00CC6C99"/>
    <w:rsid w:val="00CC728B"/>
    <w:rsid w:val="00CC7356"/>
    <w:rsid w:val="00CC74D5"/>
    <w:rsid w:val="00CC7A6D"/>
    <w:rsid w:val="00CC7BD9"/>
    <w:rsid w:val="00CC7DF5"/>
    <w:rsid w:val="00CD03C3"/>
    <w:rsid w:val="00CD04B6"/>
    <w:rsid w:val="00CD04FE"/>
    <w:rsid w:val="00CD0740"/>
    <w:rsid w:val="00CD0768"/>
    <w:rsid w:val="00CD0CB9"/>
    <w:rsid w:val="00CD11D6"/>
    <w:rsid w:val="00CD14CB"/>
    <w:rsid w:val="00CD179D"/>
    <w:rsid w:val="00CD1B57"/>
    <w:rsid w:val="00CD1E74"/>
    <w:rsid w:val="00CD223B"/>
    <w:rsid w:val="00CD2585"/>
    <w:rsid w:val="00CD25A6"/>
    <w:rsid w:val="00CD283A"/>
    <w:rsid w:val="00CD2962"/>
    <w:rsid w:val="00CD309B"/>
    <w:rsid w:val="00CD3122"/>
    <w:rsid w:val="00CD325D"/>
    <w:rsid w:val="00CD3D0C"/>
    <w:rsid w:val="00CD3E10"/>
    <w:rsid w:val="00CD3F09"/>
    <w:rsid w:val="00CD3FAF"/>
    <w:rsid w:val="00CD492B"/>
    <w:rsid w:val="00CD4F29"/>
    <w:rsid w:val="00CD50EE"/>
    <w:rsid w:val="00CD5423"/>
    <w:rsid w:val="00CD5C02"/>
    <w:rsid w:val="00CD61E3"/>
    <w:rsid w:val="00CD6731"/>
    <w:rsid w:val="00CD6804"/>
    <w:rsid w:val="00CD6814"/>
    <w:rsid w:val="00CD6E0B"/>
    <w:rsid w:val="00CD6F74"/>
    <w:rsid w:val="00CD73B9"/>
    <w:rsid w:val="00CD755F"/>
    <w:rsid w:val="00CD787F"/>
    <w:rsid w:val="00CE025E"/>
    <w:rsid w:val="00CE030D"/>
    <w:rsid w:val="00CE03B6"/>
    <w:rsid w:val="00CE05F2"/>
    <w:rsid w:val="00CE0B01"/>
    <w:rsid w:val="00CE0CBF"/>
    <w:rsid w:val="00CE0FBF"/>
    <w:rsid w:val="00CE1116"/>
    <w:rsid w:val="00CE112E"/>
    <w:rsid w:val="00CE1162"/>
    <w:rsid w:val="00CE1225"/>
    <w:rsid w:val="00CE132D"/>
    <w:rsid w:val="00CE152F"/>
    <w:rsid w:val="00CE212D"/>
    <w:rsid w:val="00CE2456"/>
    <w:rsid w:val="00CE253D"/>
    <w:rsid w:val="00CE2561"/>
    <w:rsid w:val="00CE2566"/>
    <w:rsid w:val="00CE26F5"/>
    <w:rsid w:val="00CE2D5A"/>
    <w:rsid w:val="00CE2EB0"/>
    <w:rsid w:val="00CE2EC2"/>
    <w:rsid w:val="00CE3257"/>
    <w:rsid w:val="00CE367C"/>
    <w:rsid w:val="00CE436D"/>
    <w:rsid w:val="00CE43D3"/>
    <w:rsid w:val="00CE5086"/>
    <w:rsid w:val="00CE5112"/>
    <w:rsid w:val="00CE5A5B"/>
    <w:rsid w:val="00CE5A7F"/>
    <w:rsid w:val="00CE5E50"/>
    <w:rsid w:val="00CE697C"/>
    <w:rsid w:val="00CE698C"/>
    <w:rsid w:val="00CE69F3"/>
    <w:rsid w:val="00CE6AD5"/>
    <w:rsid w:val="00CE6E24"/>
    <w:rsid w:val="00CE71BB"/>
    <w:rsid w:val="00CE73F8"/>
    <w:rsid w:val="00CE76BD"/>
    <w:rsid w:val="00CE79BC"/>
    <w:rsid w:val="00CF02AC"/>
    <w:rsid w:val="00CF057C"/>
    <w:rsid w:val="00CF06E6"/>
    <w:rsid w:val="00CF0912"/>
    <w:rsid w:val="00CF095B"/>
    <w:rsid w:val="00CF0D78"/>
    <w:rsid w:val="00CF0E93"/>
    <w:rsid w:val="00CF17EF"/>
    <w:rsid w:val="00CF18AB"/>
    <w:rsid w:val="00CF1AA6"/>
    <w:rsid w:val="00CF20C8"/>
    <w:rsid w:val="00CF233B"/>
    <w:rsid w:val="00CF23D5"/>
    <w:rsid w:val="00CF2639"/>
    <w:rsid w:val="00CF277A"/>
    <w:rsid w:val="00CF2C07"/>
    <w:rsid w:val="00CF2F5F"/>
    <w:rsid w:val="00CF2FBF"/>
    <w:rsid w:val="00CF3112"/>
    <w:rsid w:val="00CF33BA"/>
    <w:rsid w:val="00CF3654"/>
    <w:rsid w:val="00CF3F01"/>
    <w:rsid w:val="00CF414F"/>
    <w:rsid w:val="00CF448D"/>
    <w:rsid w:val="00CF46E1"/>
    <w:rsid w:val="00CF50A9"/>
    <w:rsid w:val="00CF5D82"/>
    <w:rsid w:val="00CF61A3"/>
    <w:rsid w:val="00CF6218"/>
    <w:rsid w:val="00CF66DE"/>
    <w:rsid w:val="00CF6848"/>
    <w:rsid w:val="00CF6992"/>
    <w:rsid w:val="00CF6AF3"/>
    <w:rsid w:val="00CF6C9A"/>
    <w:rsid w:val="00CF6EED"/>
    <w:rsid w:val="00CF6F64"/>
    <w:rsid w:val="00CF7888"/>
    <w:rsid w:val="00CF7C2C"/>
    <w:rsid w:val="00CF7CCF"/>
    <w:rsid w:val="00D00522"/>
    <w:rsid w:val="00D00B22"/>
    <w:rsid w:val="00D017EE"/>
    <w:rsid w:val="00D0182B"/>
    <w:rsid w:val="00D0186E"/>
    <w:rsid w:val="00D01881"/>
    <w:rsid w:val="00D01C73"/>
    <w:rsid w:val="00D02369"/>
    <w:rsid w:val="00D0253B"/>
    <w:rsid w:val="00D02685"/>
    <w:rsid w:val="00D02707"/>
    <w:rsid w:val="00D02C36"/>
    <w:rsid w:val="00D02E17"/>
    <w:rsid w:val="00D02E71"/>
    <w:rsid w:val="00D0327B"/>
    <w:rsid w:val="00D03334"/>
    <w:rsid w:val="00D03CD2"/>
    <w:rsid w:val="00D04FC8"/>
    <w:rsid w:val="00D0505A"/>
    <w:rsid w:val="00D05216"/>
    <w:rsid w:val="00D05287"/>
    <w:rsid w:val="00D05393"/>
    <w:rsid w:val="00D05FD4"/>
    <w:rsid w:val="00D06088"/>
    <w:rsid w:val="00D06639"/>
    <w:rsid w:val="00D0675C"/>
    <w:rsid w:val="00D06800"/>
    <w:rsid w:val="00D06B22"/>
    <w:rsid w:val="00D06CDD"/>
    <w:rsid w:val="00D06DED"/>
    <w:rsid w:val="00D0735B"/>
    <w:rsid w:val="00D078A9"/>
    <w:rsid w:val="00D078C9"/>
    <w:rsid w:val="00D07DCA"/>
    <w:rsid w:val="00D07F97"/>
    <w:rsid w:val="00D105EB"/>
    <w:rsid w:val="00D112DD"/>
    <w:rsid w:val="00D11873"/>
    <w:rsid w:val="00D11C73"/>
    <w:rsid w:val="00D11E89"/>
    <w:rsid w:val="00D11EEE"/>
    <w:rsid w:val="00D11FAE"/>
    <w:rsid w:val="00D12440"/>
    <w:rsid w:val="00D12487"/>
    <w:rsid w:val="00D1249D"/>
    <w:rsid w:val="00D126E6"/>
    <w:rsid w:val="00D12A81"/>
    <w:rsid w:val="00D12B75"/>
    <w:rsid w:val="00D12EB0"/>
    <w:rsid w:val="00D13880"/>
    <w:rsid w:val="00D13BBC"/>
    <w:rsid w:val="00D13CCD"/>
    <w:rsid w:val="00D14204"/>
    <w:rsid w:val="00D14E26"/>
    <w:rsid w:val="00D158BE"/>
    <w:rsid w:val="00D15CFC"/>
    <w:rsid w:val="00D15D9D"/>
    <w:rsid w:val="00D15F30"/>
    <w:rsid w:val="00D1624D"/>
    <w:rsid w:val="00D16BA8"/>
    <w:rsid w:val="00D16DEE"/>
    <w:rsid w:val="00D174E5"/>
    <w:rsid w:val="00D17761"/>
    <w:rsid w:val="00D17C5E"/>
    <w:rsid w:val="00D17CE8"/>
    <w:rsid w:val="00D17F37"/>
    <w:rsid w:val="00D20171"/>
    <w:rsid w:val="00D2018F"/>
    <w:rsid w:val="00D202B4"/>
    <w:rsid w:val="00D202D3"/>
    <w:rsid w:val="00D20F77"/>
    <w:rsid w:val="00D2106C"/>
    <w:rsid w:val="00D2109E"/>
    <w:rsid w:val="00D21389"/>
    <w:rsid w:val="00D215E6"/>
    <w:rsid w:val="00D2171B"/>
    <w:rsid w:val="00D217CE"/>
    <w:rsid w:val="00D21810"/>
    <w:rsid w:val="00D21DB8"/>
    <w:rsid w:val="00D220DF"/>
    <w:rsid w:val="00D22148"/>
    <w:rsid w:val="00D22406"/>
    <w:rsid w:val="00D22522"/>
    <w:rsid w:val="00D22D2B"/>
    <w:rsid w:val="00D23556"/>
    <w:rsid w:val="00D2390D"/>
    <w:rsid w:val="00D23B89"/>
    <w:rsid w:val="00D23CE2"/>
    <w:rsid w:val="00D23EAA"/>
    <w:rsid w:val="00D24500"/>
    <w:rsid w:val="00D2491A"/>
    <w:rsid w:val="00D24965"/>
    <w:rsid w:val="00D24FEC"/>
    <w:rsid w:val="00D25C26"/>
    <w:rsid w:val="00D261F9"/>
    <w:rsid w:val="00D261FB"/>
    <w:rsid w:val="00D26283"/>
    <w:rsid w:val="00D26288"/>
    <w:rsid w:val="00D263B5"/>
    <w:rsid w:val="00D263F5"/>
    <w:rsid w:val="00D26586"/>
    <w:rsid w:val="00D26DBE"/>
    <w:rsid w:val="00D26E45"/>
    <w:rsid w:val="00D273B0"/>
    <w:rsid w:val="00D27F01"/>
    <w:rsid w:val="00D30983"/>
    <w:rsid w:val="00D30C46"/>
    <w:rsid w:val="00D30FC7"/>
    <w:rsid w:val="00D31B49"/>
    <w:rsid w:val="00D31B9F"/>
    <w:rsid w:val="00D31BEA"/>
    <w:rsid w:val="00D324F0"/>
    <w:rsid w:val="00D32B6E"/>
    <w:rsid w:val="00D33313"/>
    <w:rsid w:val="00D33410"/>
    <w:rsid w:val="00D33AB3"/>
    <w:rsid w:val="00D33AFC"/>
    <w:rsid w:val="00D33C09"/>
    <w:rsid w:val="00D3410B"/>
    <w:rsid w:val="00D344C9"/>
    <w:rsid w:val="00D351CB"/>
    <w:rsid w:val="00D3527F"/>
    <w:rsid w:val="00D353FF"/>
    <w:rsid w:val="00D3609F"/>
    <w:rsid w:val="00D3610A"/>
    <w:rsid w:val="00D3646C"/>
    <w:rsid w:val="00D3668C"/>
    <w:rsid w:val="00D366D3"/>
    <w:rsid w:val="00D368DF"/>
    <w:rsid w:val="00D369EA"/>
    <w:rsid w:val="00D36C8E"/>
    <w:rsid w:val="00D36EEC"/>
    <w:rsid w:val="00D370D6"/>
    <w:rsid w:val="00D37C2D"/>
    <w:rsid w:val="00D400AD"/>
    <w:rsid w:val="00D404CE"/>
    <w:rsid w:val="00D409A2"/>
    <w:rsid w:val="00D40BE3"/>
    <w:rsid w:val="00D40E25"/>
    <w:rsid w:val="00D40E78"/>
    <w:rsid w:val="00D41009"/>
    <w:rsid w:val="00D41281"/>
    <w:rsid w:val="00D41901"/>
    <w:rsid w:val="00D41CD0"/>
    <w:rsid w:val="00D421D9"/>
    <w:rsid w:val="00D422E4"/>
    <w:rsid w:val="00D429DA"/>
    <w:rsid w:val="00D42B71"/>
    <w:rsid w:val="00D42D7E"/>
    <w:rsid w:val="00D435FC"/>
    <w:rsid w:val="00D4370A"/>
    <w:rsid w:val="00D43888"/>
    <w:rsid w:val="00D43AF2"/>
    <w:rsid w:val="00D43E0A"/>
    <w:rsid w:val="00D440D2"/>
    <w:rsid w:val="00D4429F"/>
    <w:rsid w:val="00D44336"/>
    <w:rsid w:val="00D448BD"/>
    <w:rsid w:val="00D44A5C"/>
    <w:rsid w:val="00D44F94"/>
    <w:rsid w:val="00D453F7"/>
    <w:rsid w:val="00D45581"/>
    <w:rsid w:val="00D45668"/>
    <w:rsid w:val="00D458AB"/>
    <w:rsid w:val="00D45C69"/>
    <w:rsid w:val="00D45D57"/>
    <w:rsid w:val="00D464C9"/>
    <w:rsid w:val="00D466E5"/>
    <w:rsid w:val="00D467C7"/>
    <w:rsid w:val="00D4688E"/>
    <w:rsid w:val="00D46F2D"/>
    <w:rsid w:val="00D471EF"/>
    <w:rsid w:val="00D475CC"/>
    <w:rsid w:val="00D477E2"/>
    <w:rsid w:val="00D47850"/>
    <w:rsid w:val="00D47CD0"/>
    <w:rsid w:val="00D47E55"/>
    <w:rsid w:val="00D5044A"/>
    <w:rsid w:val="00D509A1"/>
    <w:rsid w:val="00D50DB0"/>
    <w:rsid w:val="00D50F47"/>
    <w:rsid w:val="00D50F95"/>
    <w:rsid w:val="00D5102A"/>
    <w:rsid w:val="00D513F0"/>
    <w:rsid w:val="00D51565"/>
    <w:rsid w:val="00D51635"/>
    <w:rsid w:val="00D51757"/>
    <w:rsid w:val="00D517E7"/>
    <w:rsid w:val="00D51AAF"/>
    <w:rsid w:val="00D51F84"/>
    <w:rsid w:val="00D52162"/>
    <w:rsid w:val="00D52200"/>
    <w:rsid w:val="00D52550"/>
    <w:rsid w:val="00D52784"/>
    <w:rsid w:val="00D5294C"/>
    <w:rsid w:val="00D5297A"/>
    <w:rsid w:val="00D52D27"/>
    <w:rsid w:val="00D530BC"/>
    <w:rsid w:val="00D5346C"/>
    <w:rsid w:val="00D53658"/>
    <w:rsid w:val="00D53768"/>
    <w:rsid w:val="00D53C63"/>
    <w:rsid w:val="00D54ADA"/>
    <w:rsid w:val="00D54AF7"/>
    <w:rsid w:val="00D54C00"/>
    <w:rsid w:val="00D54C59"/>
    <w:rsid w:val="00D54D88"/>
    <w:rsid w:val="00D55115"/>
    <w:rsid w:val="00D5521C"/>
    <w:rsid w:val="00D552BA"/>
    <w:rsid w:val="00D553EA"/>
    <w:rsid w:val="00D5547E"/>
    <w:rsid w:val="00D554E6"/>
    <w:rsid w:val="00D55723"/>
    <w:rsid w:val="00D55B68"/>
    <w:rsid w:val="00D55C01"/>
    <w:rsid w:val="00D55C22"/>
    <w:rsid w:val="00D55C37"/>
    <w:rsid w:val="00D5632B"/>
    <w:rsid w:val="00D56330"/>
    <w:rsid w:val="00D563C2"/>
    <w:rsid w:val="00D56450"/>
    <w:rsid w:val="00D56C31"/>
    <w:rsid w:val="00D56D65"/>
    <w:rsid w:val="00D570F8"/>
    <w:rsid w:val="00D572B2"/>
    <w:rsid w:val="00D573A2"/>
    <w:rsid w:val="00D578C5"/>
    <w:rsid w:val="00D57C20"/>
    <w:rsid w:val="00D57CEB"/>
    <w:rsid w:val="00D57F0A"/>
    <w:rsid w:val="00D6005F"/>
    <w:rsid w:val="00D600BE"/>
    <w:rsid w:val="00D60207"/>
    <w:rsid w:val="00D60700"/>
    <w:rsid w:val="00D60BCB"/>
    <w:rsid w:val="00D60CB2"/>
    <w:rsid w:val="00D60DD4"/>
    <w:rsid w:val="00D61059"/>
    <w:rsid w:val="00D61192"/>
    <w:rsid w:val="00D61B4E"/>
    <w:rsid w:val="00D62101"/>
    <w:rsid w:val="00D62243"/>
    <w:rsid w:val="00D622BE"/>
    <w:rsid w:val="00D624A5"/>
    <w:rsid w:val="00D626BF"/>
    <w:rsid w:val="00D6278F"/>
    <w:rsid w:val="00D627C0"/>
    <w:rsid w:val="00D62949"/>
    <w:rsid w:val="00D62DEC"/>
    <w:rsid w:val="00D62E52"/>
    <w:rsid w:val="00D62E5A"/>
    <w:rsid w:val="00D6394E"/>
    <w:rsid w:val="00D63BAD"/>
    <w:rsid w:val="00D63C5F"/>
    <w:rsid w:val="00D63EFD"/>
    <w:rsid w:val="00D6410E"/>
    <w:rsid w:val="00D6433E"/>
    <w:rsid w:val="00D64346"/>
    <w:rsid w:val="00D6447E"/>
    <w:rsid w:val="00D647F9"/>
    <w:rsid w:val="00D6485C"/>
    <w:rsid w:val="00D64CB8"/>
    <w:rsid w:val="00D65357"/>
    <w:rsid w:val="00D65404"/>
    <w:rsid w:val="00D6575A"/>
    <w:rsid w:val="00D65837"/>
    <w:rsid w:val="00D65A79"/>
    <w:rsid w:val="00D65AAD"/>
    <w:rsid w:val="00D65DAF"/>
    <w:rsid w:val="00D66022"/>
    <w:rsid w:val="00D66065"/>
    <w:rsid w:val="00D6610B"/>
    <w:rsid w:val="00D662E2"/>
    <w:rsid w:val="00D66957"/>
    <w:rsid w:val="00D66DAA"/>
    <w:rsid w:val="00D671E9"/>
    <w:rsid w:val="00D67A3D"/>
    <w:rsid w:val="00D67AC6"/>
    <w:rsid w:val="00D67D09"/>
    <w:rsid w:val="00D67DA4"/>
    <w:rsid w:val="00D67EF9"/>
    <w:rsid w:val="00D7010A"/>
    <w:rsid w:val="00D7040B"/>
    <w:rsid w:val="00D7060E"/>
    <w:rsid w:val="00D70648"/>
    <w:rsid w:val="00D70816"/>
    <w:rsid w:val="00D70F5E"/>
    <w:rsid w:val="00D70F87"/>
    <w:rsid w:val="00D71083"/>
    <w:rsid w:val="00D7123A"/>
    <w:rsid w:val="00D71392"/>
    <w:rsid w:val="00D71C76"/>
    <w:rsid w:val="00D71F20"/>
    <w:rsid w:val="00D72585"/>
    <w:rsid w:val="00D72A67"/>
    <w:rsid w:val="00D73347"/>
    <w:rsid w:val="00D73A3C"/>
    <w:rsid w:val="00D73A6B"/>
    <w:rsid w:val="00D73CC9"/>
    <w:rsid w:val="00D73DAD"/>
    <w:rsid w:val="00D73E0D"/>
    <w:rsid w:val="00D74461"/>
    <w:rsid w:val="00D7480B"/>
    <w:rsid w:val="00D74937"/>
    <w:rsid w:val="00D74AF7"/>
    <w:rsid w:val="00D74EA0"/>
    <w:rsid w:val="00D7505F"/>
    <w:rsid w:val="00D75112"/>
    <w:rsid w:val="00D7568F"/>
    <w:rsid w:val="00D75828"/>
    <w:rsid w:val="00D75843"/>
    <w:rsid w:val="00D758A0"/>
    <w:rsid w:val="00D758A1"/>
    <w:rsid w:val="00D75CD8"/>
    <w:rsid w:val="00D75E85"/>
    <w:rsid w:val="00D761CB"/>
    <w:rsid w:val="00D7692E"/>
    <w:rsid w:val="00D76A4B"/>
    <w:rsid w:val="00D76DDA"/>
    <w:rsid w:val="00D76E83"/>
    <w:rsid w:val="00D771C9"/>
    <w:rsid w:val="00D771D5"/>
    <w:rsid w:val="00D777BD"/>
    <w:rsid w:val="00D77B6A"/>
    <w:rsid w:val="00D77FF2"/>
    <w:rsid w:val="00D800A1"/>
    <w:rsid w:val="00D80226"/>
    <w:rsid w:val="00D8036A"/>
    <w:rsid w:val="00D8042B"/>
    <w:rsid w:val="00D805F2"/>
    <w:rsid w:val="00D80AB8"/>
    <w:rsid w:val="00D80C93"/>
    <w:rsid w:val="00D80CCB"/>
    <w:rsid w:val="00D810AD"/>
    <w:rsid w:val="00D81307"/>
    <w:rsid w:val="00D817FD"/>
    <w:rsid w:val="00D81837"/>
    <w:rsid w:val="00D81C3D"/>
    <w:rsid w:val="00D81C74"/>
    <w:rsid w:val="00D81E9C"/>
    <w:rsid w:val="00D81EB1"/>
    <w:rsid w:val="00D81FA7"/>
    <w:rsid w:val="00D820A7"/>
    <w:rsid w:val="00D820F3"/>
    <w:rsid w:val="00D829AC"/>
    <w:rsid w:val="00D83401"/>
    <w:rsid w:val="00D83A89"/>
    <w:rsid w:val="00D83DAF"/>
    <w:rsid w:val="00D83F49"/>
    <w:rsid w:val="00D84268"/>
    <w:rsid w:val="00D846C5"/>
    <w:rsid w:val="00D84D27"/>
    <w:rsid w:val="00D8508D"/>
    <w:rsid w:val="00D8586C"/>
    <w:rsid w:val="00D864A4"/>
    <w:rsid w:val="00D86B37"/>
    <w:rsid w:val="00D86ED1"/>
    <w:rsid w:val="00D87154"/>
    <w:rsid w:val="00D87214"/>
    <w:rsid w:val="00D8778A"/>
    <w:rsid w:val="00D90029"/>
    <w:rsid w:val="00D9045F"/>
    <w:rsid w:val="00D91009"/>
    <w:rsid w:val="00D9120D"/>
    <w:rsid w:val="00D9126A"/>
    <w:rsid w:val="00D912DF"/>
    <w:rsid w:val="00D91C54"/>
    <w:rsid w:val="00D91E52"/>
    <w:rsid w:val="00D91F8C"/>
    <w:rsid w:val="00D92265"/>
    <w:rsid w:val="00D9230B"/>
    <w:rsid w:val="00D923B9"/>
    <w:rsid w:val="00D92558"/>
    <w:rsid w:val="00D92633"/>
    <w:rsid w:val="00D92722"/>
    <w:rsid w:val="00D92CBC"/>
    <w:rsid w:val="00D92FD3"/>
    <w:rsid w:val="00D931F2"/>
    <w:rsid w:val="00D943B0"/>
    <w:rsid w:val="00D9469D"/>
    <w:rsid w:val="00D948A0"/>
    <w:rsid w:val="00D94BB0"/>
    <w:rsid w:val="00D94EA5"/>
    <w:rsid w:val="00D94FF3"/>
    <w:rsid w:val="00D9532A"/>
    <w:rsid w:val="00D957C0"/>
    <w:rsid w:val="00D95878"/>
    <w:rsid w:val="00D95B3C"/>
    <w:rsid w:val="00D95BF0"/>
    <w:rsid w:val="00D95BFF"/>
    <w:rsid w:val="00D95D70"/>
    <w:rsid w:val="00D96193"/>
    <w:rsid w:val="00D96DD2"/>
    <w:rsid w:val="00D975DD"/>
    <w:rsid w:val="00D978F5"/>
    <w:rsid w:val="00D97E86"/>
    <w:rsid w:val="00D97ED5"/>
    <w:rsid w:val="00DA0FC0"/>
    <w:rsid w:val="00DA10AB"/>
    <w:rsid w:val="00DA1771"/>
    <w:rsid w:val="00DA1D80"/>
    <w:rsid w:val="00DA2046"/>
    <w:rsid w:val="00DA2129"/>
    <w:rsid w:val="00DA23BC"/>
    <w:rsid w:val="00DA23D2"/>
    <w:rsid w:val="00DA29C4"/>
    <w:rsid w:val="00DA2CD7"/>
    <w:rsid w:val="00DA2D90"/>
    <w:rsid w:val="00DA3994"/>
    <w:rsid w:val="00DA3B0C"/>
    <w:rsid w:val="00DA3B43"/>
    <w:rsid w:val="00DA3BE7"/>
    <w:rsid w:val="00DA3F00"/>
    <w:rsid w:val="00DA43CA"/>
    <w:rsid w:val="00DA4406"/>
    <w:rsid w:val="00DA46AB"/>
    <w:rsid w:val="00DA4735"/>
    <w:rsid w:val="00DA492A"/>
    <w:rsid w:val="00DA4990"/>
    <w:rsid w:val="00DA4B10"/>
    <w:rsid w:val="00DA4C6E"/>
    <w:rsid w:val="00DA4D11"/>
    <w:rsid w:val="00DA50C0"/>
    <w:rsid w:val="00DA5A53"/>
    <w:rsid w:val="00DA5CA9"/>
    <w:rsid w:val="00DA5E7E"/>
    <w:rsid w:val="00DA6759"/>
    <w:rsid w:val="00DA6A59"/>
    <w:rsid w:val="00DA714A"/>
    <w:rsid w:val="00DA71AF"/>
    <w:rsid w:val="00DA71FA"/>
    <w:rsid w:val="00DA727D"/>
    <w:rsid w:val="00DA7A85"/>
    <w:rsid w:val="00DA7BC7"/>
    <w:rsid w:val="00DA7E4C"/>
    <w:rsid w:val="00DB0483"/>
    <w:rsid w:val="00DB0487"/>
    <w:rsid w:val="00DB0564"/>
    <w:rsid w:val="00DB1083"/>
    <w:rsid w:val="00DB1491"/>
    <w:rsid w:val="00DB1539"/>
    <w:rsid w:val="00DB191A"/>
    <w:rsid w:val="00DB1D7B"/>
    <w:rsid w:val="00DB1DEC"/>
    <w:rsid w:val="00DB1F98"/>
    <w:rsid w:val="00DB2551"/>
    <w:rsid w:val="00DB31AE"/>
    <w:rsid w:val="00DB35C7"/>
    <w:rsid w:val="00DB39DE"/>
    <w:rsid w:val="00DB3D52"/>
    <w:rsid w:val="00DB3F63"/>
    <w:rsid w:val="00DB4146"/>
    <w:rsid w:val="00DB42C3"/>
    <w:rsid w:val="00DB4322"/>
    <w:rsid w:val="00DB4755"/>
    <w:rsid w:val="00DB485F"/>
    <w:rsid w:val="00DB4F9D"/>
    <w:rsid w:val="00DB560E"/>
    <w:rsid w:val="00DB57D2"/>
    <w:rsid w:val="00DB5830"/>
    <w:rsid w:val="00DB5836"/>
    <w:rsid w:val="00DB5A21"/>
    <w:rsid w:val="00DB5BEA"/>
    <w:rsid w:val="00DB5DEB"/>
    <w:rsid w:val="00DB5EE5"/>
    <w:rsid w:val="00DB62A6"/>
    <w:rsid w:val="00DB6500"/>
    <w:rsid w:val="00DB6598"/>
    <w:rsid w:val="00DB6646"/>
    <w:rsid w:val="00DB665F"/>
    <w:rsid w:val="00DB68FF"/>
    <w:rsid w:val="00DB6FA9"/>
    <w:rsid w:val="00DB71FD"/>
    <w:rsid w:val="00DB7427"/>
    <w:rsid w:val="00DB749A"/>
    <w:rsid w:val="00DB7D62"/>
    <w:rsid w:val="00DB7D8C"/>
    <w:rsid w:val="00DB7E8C"/>
    <w:rsid w:val="00DC0715"/>
    <w:rsid w:val="00DC091F"/>
    <w:rsid w:val="00DC09FF"/>
    <w:rsid w:val="00DC0F66"/>
    <w:rsid w:val="00DC0F93"/>
    <w:rsid w:val="00DC0FC3"/>
    <w:rsid w:val="00DC1252"/>
    <w:rsid w:val="00DC1384"/>
    <w:rsid w:val="00DC13D4"/>
    <w:rsid w:val="00DC1479"/>
    <w:rsid w:val="00DC1624"/>
    <w:rsid w:val="00DC1763"/>
    <w:rsid w:val="00DC229F"/>
    <w:rsid w:val="00DC22B7"/>
    <w:rsid w:val="00DC257F"/>
    <w:rsid w:val="00DC2898"/>
    <w:rsid w:val="00DC28A6"/>
    <w:rsid w:val="00DC28EC"/>
    <w:rsid w:val="00DC3131"/>
    <w:rsid w:val="00DC35E3"/>
    <w:rsid w:val="00DC39CE"/>
    <w:rsid w:val="00DC3E1F"/>
    <w:rsid w:val="00DC4287"/>
    <w:rsid w:val="00DC4B72"/>
    <w:rsid w:val="00DC4D82"/>
    <w:rsid w:val="00DC4E9C"/>
    <w:rsid w:val="00DC50B8"/>
    <w:rsid w:val="00DC522F"/>
    <w:rsid w:val="00DC588E"/>
    <w:rsid w:val="00DC65D8"/>
    <w:rsid w:val="00DC6812"/>
    <w:rsid w:val="00DC6A94"/>
    <w:rsid w:val="00DC7073"/>
    <w:rsid w:val="00DC765F"/>
    <w:rsid w:val="00DC7704"/>
    <w:rsid w:val="00DC7722"/>
    <w:rsid w:val="00DC7890"/>
    <w:rsid w:val="00DC7A85"/>
    <w:rsid w:val="00DC7ADE"/>
    <w:rsid w:val="00DD02C4"/>
    <w:rsid w:val="00DD0C93"/>
    <w:rsid w:val="00DD128A"/>
    <w:rsid w:val="00DD12B1"/>
    <w:rsid w:val="00DD12B5"/>
    <w:rsid w:val="00DD1422"/>
    <w:rsid w:val="00DD1947"/>
    <w:rsid w:val="00DD1A59"/>
    <w:rsid w:val="00DD1ED7"/>
    <w:rsid w:val="00DD23D2"/>
    <w:rsid w:val="00DD242B"/>
    <w:rsid w:val="00DD2714"/>
    <w:rsid w:val="00DD2F7D"/>
    <w:rsid w:val="00DD2FE5"/>
    <w:rsid w:val="00DD30D4"/>
    <w:rsid w:val="00DD31F5"/>
    <w:rsid w:val="00DD3401"/>
    <w:rsid w:val="00DD3430"/>
    <w:rsid w:val="00DD3480"/>
    <w:rsid w:val="00DD3565"/>
    <w:rsid w:val="00DD360E"/>
    <w:rsid w:val="00DD3AF2"/>
    <w:rsid w:val="00DD3B4D"/>
    <w:rsid w:val="00DD3B9B"/>
    <w:rsid w:val="00DD49D3"/>
    <w:rsid w:val="00DD5528"/>
    <w:rsid w:val="00DD6396"/>
    <w:rsid w:val="00DD642D"/>
    <w:rsid w:val="00DD6C70"/>
    <w:rsid w:val="00DD6CED"/>
    <w:rsid w:val="00DD6DA2"/>
    <w:rsid w:val="00DD6F53"/>
    <w:rsid w:val="00DD761C"/>
    <w:rsid w:val="00DD7DF3"/>
    <w:rsid w:val="00DE0171"/>
    <w:rsid w:val="00DE0333"/>
    <w:rsid w:val="00DE044F"/>
    <w:rsid w:val="00DE04B5"/>
    <w:rsid w:val="00DE0558"/>
    <w:rsid w:val="00DE147F"/>
    <w:rsid w:val="00DE183E"/>
    <w:rsid w:val="00DE21CF"/>
    <w:rsid w:val="00DE279F"/>
    <w:rsid w:val="00DE2AD9"/>
    <w:rsid w:val="00DE2D4B"/>
    <w:rsid w:val="00DE3083"/>
    <w:rsid w:val="00DE33AF"/>
    <w:rsid w:val="00DE3A0B"/>
    <w:rsid w:val="00DE3E7C"/>
    <w:rsid w:val="00DE3F49"/>
    <w:rsid w:val="00DE464E"/>
    <w:rsid w:val="00DE4664"/>
    <w:rsid w:val="00DE47CE"/>
    <w:rsid w:val="00DE480D"/>
    <w:rsid w:val="00DE4B0C"/>
    <w:rsid w:val="00DE4D74"/>
    <w:rsid w:val="00DE516B"/>
    <w:rsid w:val="00DE5566"/>
    <w:rsid w:val="00DE5C2F"/>
    <w:rsid w:val="00DE61AA"/>
    <w:rsid w:val="00DE66C4"/>
    <w:rsid w:val="00DE6A5A"/>
    <w:rsid w:val="00DE6AE9"/>
    <w:rsid w:val="00DE7012"/>
    <w:rsid w:val="00DE7D03"/>
    <w:rsid w:val="00DF02EC"/>
    <w:rsid w:val="00DF0C19"/>
    <w:rsid w:val="00DF0D33"/>
    <w:rsid w:val="00DF0E63"/>
    <w:rsid w:val="00DF0FE6"/>
    <w:rsid w:val="00DF1300"/>
    <w:rsid w:val="00DF1698"/>
    <w:rsid w:val="00DF1758"/>
    <w:rsid w:val="00DF1ADA"/>
    <w:rsid w:val="00DF1DE2"/>
    <w:rsid w:val="00DF1FD6"/>
    <w:rsid w:val="00DF27C9"/>
    <w:rsid w:val="00DF2BD3"/>
    <w:rsid w:val="00DF2DDB"/>
    <w:rsid w:val="00DF300A"/>
    <w:rsid w:val="00DF3195"/>
    <w:rsid w:val="00DF32AF"/>
    <w:rsid w:val="00DF3307"/>
    <w:rsid w:val="00DF3A17"/>
    <w:rsid w:val="00DF3A6C"/>
    <w:rsid w:val="00DF3BA2"/>
    <w:rsid w:val="00DF4158"/>
    <w:rsid w:val="00DF4430"/>
    <w:rsid w:val="00DF4920"/>
    <w:rsid w:val="00DF4C07"/>
    <w:rsid w:val="00DF4DEA"/>
    <w:rsid w:val="00DF4F19"/>
    <w:rsid w:val="00DF4F87"/>
    <w:rsid w:val="00DF5270"/>
    <w:rsid w:val="00DF576F"/>
    <w:rsid w:val="00DF6014"/>
    <w:rsid w:val="00DF6824"/>
    <w:rsid w:val="00DF6D3C"/>
    <w:rsid w:val="00DF7226"/>
    <w:rsid w:val="00DF7879"/>
    <w:rsid w:val="00E000AA"/>
    <w:rsid w:val="00E004D1"/>
    <w:rsid w:val="00E00633"/>
    <w:rsid w:val="00E00A07"/>
    <w:rsid w:val="00E00EFF"/>
    <w:rsid w:val="00E0138A"/>
    <w:rsid w:val="00E013CA"/>
    <w:rsid w:val="00E015AA"/>
    <w:rsid w:val="00E019EA"/>
    <w:rsid w:val="00E01D68"/>
    <w:rsid w:val="00E028E6"/>
    <w:rsid w:val="00E02C20"/>
    <w:rsid w:val="00E02CD9"/>
    <w:rsid w:val="00E032C1"/>
    <w:rsid w:val="00E039C0"/>
    <w:rsid w:val="00E03A1A"/>
    <w:rsid w:val="00E03B59"/>
    <w:rsid w:val="00E04277"/>
    <w:rsid w:val="00E042DC"/>
    <w:rsid w:val="00E046BC"/>
    <w:rsid w:val="00E046C1"/>
    <w:rsid w:val="00E049B0"/>
    <w:rsid w:val="00E049EC"/>
    <w:rsid w:val="00E04AE7"/>
    <w:rsid w:val="00E04E2D"/>
    <w:rsid w:val="00E04EE6"/>
    <w:rsid w:val="00E04FB3"/>
    <w:rsid w:val="00E05A43"/>
    <w:rsid w:val="00E05B03"/>
    <w:rsid w:val="00E05E45"/>
    <w:rsid w:val="00E0646D"/>
    <w:rsid w:val="00E06AF4"/>
    <w:rsid w:val="00E06EDB"/>
    <w:rsid w:val="00E0714A"/>
    <w:rsid w:val="00E0729D"/>
    <w:rsid w:val="00E07686"/>
    <w:rsid w:val="00E07A3F"/>
    <w:rsid w:val="00E07D9B"/>
    <w:rsid w:val="00E07E45"/>
    <w:rsid w:val="00E1007C"/>
    <w:rsid w:val="00E102BD"/>
    <w:rsid w:val="00E1039D"/>
    <w:rsid w:val="00E103F8"/>
    <w:rsid w:val="00E104DE"/>
    <w:rsid w:val="00E1074E"/>
    <w:rsid w:val="00E1086A"/>
    <w:rsid w:val="00E10ADD"/>
    <w:rsid w:val="00E10E7A"/>
    <w:rsid w:val="00E11D58"/>
    <w:rsid w:val="00E11E3A"/>
    <w:rsid w:val="00E11EB8"/>
    <w:rsid w:val="00E125EE"/>
    <w:rsid w:val="00E12775"/>
    <w:rsid w:val="00E12A5A"/>
    <w:rsid w:val="00E12DAD"/>
    <w:rsid w:val="00E12FC8"/>
    <w:rsid w:val="00E136AE"/>
    <w:rsid w:val="00E137EA"/>
    <w:rsid w:val="00E138E9"/>
    <w:rsid w:val="00E139D0"/>
    <w:rsid w:val="00E13ADE"/>
    <w:rsid w:val="00E13CF3"/>
    <w:rsid w:val="00E140C2"/>
    <w:rsid w:val="00E14372"/>
    <w:rsid w:val="00E143F1"/>
    <w:rsid w:val="00E145E0"/>
    <w:rsid w:val="00E14845"/>
    <w:rsid w:val="00E14913"/>
    <w:rsid w:val="00E14F7D"/>
    <w:rsid w:val="00E150B1"/>
    <w:rsid w:val="00E15352"/>
    <w:rsid w:val="00E15468"/>
    <w:rsid w:val="00E154A1"/>
    <w:rsid w:val="00E1554C"/>
    <w:rsid w:val="00E15722"/>
    <w:rsid w:val="00E15A4C"/>
    <w:rsid w:val="00E15F08"/>
    <w:rsid w:val="00E1626E"/>
    <w:rsid w:val="00E1645D"/>
    <w:rsid w:val="00E164E8"/>
    <w:rsid w:val="00E1654E"/>
    <w:rsid w:val="00E167D4"/>
    <w:rsid w:val="00E16B25"/>
    <w:rsid w:val="00E16B53"/>
    <w:rsid w:val="00E16FB2"/>
    <w:rsid w:val="00E1737B"/>
    <w:rsid w:val="00E175FF"/>
    <w:rsid w:val="00E17A78"/>
    <w:rsid w:val="00E17C3F"/>
    <w:rsid w:val="00E17CFB"/>
    <w:rsid w:val="00E17F26"/>
    <w:rsid w:val="00E202F9"/>
    <w:rsid w:val="00E20661"/>
    <w:rsid w:val="00E20862"/>
    <w:rsid w:val="00E20AD1"/>
    <w:rsid w:val="00E20E6F"/>
    <w:rsid w:val="00E21059"/>
    <w:rsid w:val="00E214FB"/>
    <w:rsid w:val="00E216A5"/>
    <w:rsid w:val="00E219EC"/>
    <w:rsid w:val="00E21CCC"/>
    <w:rsid w:val="00E21FD8"/>
    <w:rsid w:val="00E22352"/>
    <w:rsid w:val="00E224C9"/>
    <w:rsid w:val="00E226D4"/>
    <w:rsid w:val="00E229F7"/>
    <w:rsid w:val="00E22A10"/>
    <w:rsid w:val="00E22EE3"/>
    <w:rsid w:val="00E23179"/>
    <w:rsid w:val="00E231EB"/>
    <w:rsid w:val="00E23224"/>
    <w:rsid w:val="00E23851"/>
    <w:rsid w:val="00E23ACC"/>
    <w:rsid w:val="00E23ADB"/>
    <w:rsid w:val="00E24101"/>
    <w:rsid w:val="00E2441D"/>
    <w:rsid w:val="00E2446F"/>
    <w:rsid w:val="00E244E3"/>
    <w:rsid w:val="00E247BD"/>
    <w:rsid w:val="00E2481D"/>
    <w:rsid w:val="00E24EC0"/>
    <w:rsid w:val="00E250DB"/>
    <w:rsid w:val="00E25347"/>
    <w:rsid w:val="00E257DB"/>
    <w:rsid w:val="00E25F49"/>
    <w:rsid w:val="00E2617B"/>
    <w:rsid w:val="00E2690E"/>
    <w:rsid w:val="00E26A24"/>
    <w:rsid w:val="00E272A9"/>
    <w:rsid w:val="00E272C2"/>
    <w:rsid w:val="00E272FE"/>
    <w:rsid w:val="00E27EEB"/>
    <w:rsid w:val="00E30517"/>
    <w:rsid w:val="00E305B5"/>
    <w:rsid w:val="00E30608"/>
    <w:rsid w:val="00E3070A"/>
    <w:rsid w:val="00E30A72"/>
    <w:rsid w:val="00E30ABC"/>
    <w:rsid w:val="00E30BEB"/>
    <w:rsid w:val="00E30D53"/>
    <w:rsid w:val="00E312CB"/>
    <w:rsid w:val="00E31371"/>
    <w:rsid w:val="00E31506"/>
    <w:rsid w:val="00E315DA"/>
    <w:rsid w:val="00E31985"/>
    <w:rsid w:val="00E3210F"/>
    <w:rsid w:val="00E327EE"/>
    <w:rsid w:val="00E32E04"/>
    <w:rsid w:val="00E32E0E"/>
    <w:rsid w:val="00E330DC"/>
    <w:rsid w:val="00E332B9"/>
    <w:rsid w:val="00E33802"/>
    <w:rsid w:val="00E33814"/>
    <w:rsid w:val="00E339C6"/>
    <w:rsid w:val="00E33BB9"/>
    <w:rsid w:val="00E33E4D"/>
    <w:rsid w:val="00E3445D"/>
    <w:rsid w:val="00E3457A"/>
    <w:rsid w:val="00E34F08"/>
    <w:rsid w:val="00E3506A"/>
    <w:rsid w:val="00E35F47"/>
    <w:rsid w:val="00E362BC"/>
    <w:rsid w:val="00E377BF"/>
    <w:rsid w:val="00E37C25"/>
    <w:rsid w:val="00E37EB7"/>
    <w:rsid w:val="00E40362"/>
    <w:rsid w:val="00E40954"/>
    <w:rsid w:val="00E40DAE"/>
    <w:rsid w:val="00E41A3E"/>
    <w:rsid w:val="00E41D2F"/>
    <w:rsid w:val="00E427A3"/>
    <w:rsid w:val="00E42A09"/>
    <w:rsid w:val="00E42FF3"/>
    <w:rsid w:val="00E432AE"/>
    <w:rsid w:val="00E43510"/>
    <w:rsid w:val="00E4356E"/>
    <w:rsid w:val="00E43F1E"/>
    <w:rsid w:val="00E43FBE"/>
    <w:rsid w:val="00E4434D"/>
    <w:rsid w:val="00E44C1F"/>
    <w:rsid w:val="00E44F6A"/>
    <w:rsid w:val="00E452D0"/>
    <w:rsid w:val="00E45421"/>
    <w:rsid w:val="00E4577C"/>
    <w:rsid w:val="00E45A07"/>
    <w:rsid w:val="00E45A6F"/>
    <w:rsid w:val="00E45A9D"/>
    <w:rsid w:val="00E460A1"/>
    <w:rsid w:val="00E4679E"/>
    <w:rsid w:val="00E46809"/>
    <w:rsid w:val="00E46814"/>
    <w:rsid w:val="00E468E4"/>
    <w:rsid w:val="00E46BDA"/>
    <w:rsid w:val="00E46CC9"/>
    <w:rsid w:val="00E46F78"/>
    <w:rsid w:val="00E471C0"/>
    <w:rsid w:val="00E47878"/>
    <w:rsid w:val="00E47B8B"/>
    <w:rsid w:val="00E47D5F"/>
    <w:rsid w:val="00E47D96"/>
    <w:rsid w:val="00E47EBF"/>
    <w:rsid w:val="00E500A1"/>
    <w:rsid w:val="00E509E6"/>
    <w:rsid w:val="00E50FA0"/>
    <w:rsid w:val="00E51548"/>
    <w:rsid w:val="00E515A3"/>
    <w:rsid w:val="00E517F6"/>
    <w:rsid w:val="00E51A30"/>
    <w:rsid w:val="00E51E23"/>
    <w:rsid w:val="00E52017"/>
    <w:rsid w:val="00E52775"/>
    <w:rsid w:val="00E52937"/>
    <w:rsid w:val="00E52B7A"/>
    <w:rsid w:val="00E52CCE"/>
    <w:rsid w:val="00E52DCB"/>
    <w:rsid w:val="00E52F76"/>
    <w:rsid w:val="00E5315C"/>
    <w:rsid w:val="00E538E0"/>
    <w:rsid w:val="00E53EAE"/>
    <w:rsid w:val="00E53FBB"/>
    <w:rsid w:val="00E548A8"/>
    <w:rsid w:val="00E54C37"/>
    <w:rsid w:val="00E54D33"/>
    <w:rsid w:val="00E556A3"/>
    <w:rsid w:val="00E55BCA"/>
    <w:rsid w:val="00E55F3F"/>
    <w:rsid w:val="00E56897"/>
    <w:rsid w:val="00E5711F"/>
    <w:rsid w:val="00E5719D"/>
    <w:rsid w:val="00E571FE"/>
    <w:rsid w:val="00E5765B"/>
    <w:rsid w:val="00E57A8F"/>
    <w:rsid w:val="00E6000E"/>
    <w:rsid w:val="00E602C9"/>
    <w:rsid w:val="00E60352"/>
    <w:rsid w:val="00E608B7"/>
    <w:rsid w:val="00E60F80"/>
    <w:rsid w:val="00E613DF"/>
    <w:rsid w:val="00E61764"/>
    <w:rsid w:val="00E61A52"/>
    <w:rsid w:val="00E61DAC"/>
    <w:rsid w:val="00E621DD"/>
    <w:rsid w:val="00E624DA"/>
    <w:rsid w:val="00E629F9"/>
    <w:rsid w:val="00E62AF2"/>
    <w:rsid w:val="00E62EE5"/>
    <w:rsid w:val="00E62FD5"/>
    <w:rsid w:val="00E630F7"/>
    <w:rsid w:val="00E63105"/>
    <w:rsid w:val="00E6331F"/>
    <w:rsid w:val="00E63995"/>
    <w:rsid w:val="00E63EF4"/>
    <w:rsid w:val="00E6412A"/>
    <w:rsid w:val="00E64286"/>
    <w:rsid w:val="00E64763"/>
    <w:rsid w:val="00E65E6B"/>
    <w:rsid w:val="00E6640D"/>
    <w:rsid w:val="00E66477"/>
    <w:rsid w:val="00E6682F"/>
    <w:rsid w:val="00E66A1B"/>
    <w:rsid w:val="00E66A77"/>
    <w:rsid w:val="00E67551"/>
    <w:rsid w:val="00E676A6"/>
    <w:rsid w:val="00E67953"/>
    <w:rsid w:val="00E67CCD"/>
    <w:rsid w:val="00E67D24"/>
    <w:rsid w:val="00E67D67"/>
    <w:rsid w:val="00E67E2F"/>
    <w:rsid w:val="00E701EB"/>
    <w:rsid w:val="00E705E5"/>
    <w:rsid w:val="00E70B0C"/>
    <w:rsid w:val="00E71101"/>
    <w:rsid w:val="00E71315"/>
    <w:rsid w:val="00E714FC"/>
    <w:rsid w:val="00E71764"/>
    <w:rsid w:val="00E71DF1"/>
    <w:rsid w:val="00E722EF"/>
    <w:rsid w:val="00E723D3"/>
    <w:rsid w:val="00E7242A"/>
    <w:rsid w:val="00E7245A"/>
    <w:rsid w:val="00E72ABE"/>
    <w:rsid w:val="00E72BCC"/>
    <w:rsid w:val="00E73065"/>
    <w:rsid w:val="00E7306F"/>
    <w:rsid w:val="00E73775"/>
    <w:rsid w:val="00E73E01"/>
    <w:rsid w:val="00E7429A"/>
    <w:rsid w:val="00E745E9"/>
    <w:rsid w:val="00E746AB"/>
    <w:rsid w:val="00E7476B"/>
    <w:rsid w:val="00E74B5A"/>
    <w:rsid w:val="00E74C6D"/>
    <w:rsid w:val="00E74DDD"/>
    <w:rsid w:val="00E7524F"/>
    <w:rsid w:val="00E7556D"/>
    <w:rsid w:val="00E756FB"/>
    <w:rsid w:val="00E75BCE"/>
    <w:rsid w:val="00E75C51"/>
    <w:rsid w:val="00E75F9B"/>
    <w:rsid w:val="00E760A7"/>
    <w:rsid w:val="00E76141"/>
    <w:rsid w:val="00E76270"/>
    <w:rsid w:val="00E76316"/>
    <w:rsid w:val="00E763ED"/>
    <w:rsid w:val="00E76ED7"/>
    <w:rsid w:val="00E77040"/>
    <w:rsid w:val="00E773D4"/>
    <w:rsid w:val="00E7797B"/>
    <w:rsid w:val="00E77C66"/>
    <w:rsid w:val="00E8010D"/>
    <w:rsid w:val="00E8016D"/>
    <w:rsid w:val="00E80B75"/>
    <w:rsid w:val="00E810EC"/>
    <w:rsid w:val="00E8117B"/>
    <w:rsid w:val="00E81490"/>
    <w:rsid w:val="00E81F9F"/>
    <w:rsid w:val="00E81FFC"/>
    <w:rsid w:val="00E826C8"/>
    <w:rsid w:val="00E828DA"/>
    <w:rsid w:val="00E83280"/>
    <w:rsid w:val="00E832C9"/>
    <w:rsid w:val="00E832E5"/>
    <w:rsid w:val="00E83469"/>
    <w:rsid w:val="00E83E6E"/>
    <w:rsid w:val="00E84088"/>
    <w:rsid w:val="00E845FB"/>
    <w:rsid w:val="00E84F87"/>
    <w:rsid w:val="00E850F7"/>
    <w:rsid w:val="00E85483"/>
    <w:rsid w:val="00E85796"/>
    <w:rsid w:val="00E8593F"/>
    <w:rsid w:val="00E859CA"/>
    <w:rsid w:val="00E86057"/>
    <w:rsid w:val="00E861F7"/>
    <w:rsid w:val="00E864B0"/>
    <w:rsid w:val="00E86647"/>
    <w:rsid w:val="00E86BA9"/>
    <w:rsid w:val="00E86DBF"/>
    <w:rsid w:val="00E87565"/>
    <w:rsid w:val="00E879F0"/>
    <w:rsid w:val="00E87A83"/>
    <w:rsid w:val="00E87AE6"/>
    <w:rsid w:val="00E87AF8"/>
    <w:rsid w:val="00E87DCE"/>
    <w:rsid w:val="00E900A2"/>
    <w:rsid w:val="00E90199"/>
    <w:rsid w:val="00E913F0"/>
    <w:rsid w:val="00E91514"/>
    <w:rsid w:val="00E915E1"/>
    <w:rsid w:val="00E919F0"/>
    <w:rsid w:val="00E91BF2"/>
    <w:rsid w:val="00E91CD5"/>
    <w:rsid w:val="00E91DDE"/>
    <w:rsid w:val="00E91E61"/>
    <w:rsid w:val="00E920B8"/>
    <w:rsid w:val="00E92483"/>
    <w:rsid w:val="00E924C7"/>
    <w:rsid w:val="00E92E29"/>
    <w:rsid w:val="00E92F0A"/>
    <w:rsid w:val="00E93168"/>
    <w:rsid w:val="00E93251"/>
    <w:rsid w:val="00E9346A"/>
    <w:rsid w:val="00E93A7A"/>
    <w:rsid w:val="00E93B3D"/>
    <w:rsid w:val="00E93D80"/>
    <w:rsid w:val="00E94038"/>
    <w:rsid w:val="00E942A2"/>
    <w:rsid w:val="00E94307"/>
    <w:rsid w:val="00E943EF"/>
    <w:rsid w:val="00E944A2"/>
    <w:rsid w:val="00E945F6"/>
    <w:rsid w:val="00E9473F"/>
    <w:rsid w:val="00E94762"/>
    <w:rsid w:val="00E947DB"/>
    <w:rsid w:val="00E94CE0"/>
    <w:rsid w:val="00E94CEE"/>
    <w:rsid w:val="00E950FD"/>
    <w:rsid w:val="00E954A9"/>
    <w:rsid w:val="00E954B3"/>
    <w:rsid w:val="00E95754"/>
    <w:rsid w:val="00E957B8"/>
    <w:rsid w:val="00E95B52"/>
    <w:rsid w:val="00E95D01"/>
    <w:rsid w:val="00E95DAE"/>
    <w:rsid w:val="00E9627E"/>
    <w:rsid w:val="00E9694A"/>
    <w:rsid w:val="00E96C84"/>
    <w:rsid w:val="00E96FBC"/>
    <w:rsid w:val="00E970C4"/>
    <w:rsid w:val="00E9738B"/>
    <w:rsid w:val="00E97507"/>
    <w:rsid w:val="00E9760C"/>
    <w:rsid w:val="00EA0281"/>
    <w:rsid w:val="00EA02B4"/>
    <w:rsid w:val="00EA0BD3"/>
    <w:rsid w:val="00EA0BFA"/>
    <w:rsid w:val="00EA0E05"/>
    <w:rsid w:val="00EA0E10"/>
    <w:rsid w:val="00EA14FB"/>
    <w:rsid w:val="00EA1B4A"/>
    <w:rsid w:val="00EA1B65"/>
    <w:rsid w:val="00EA21F0"/>
    <w:rsid w:val="00EA2271"/>
    <w:rsid w:val="00EA2730"/>
    <w:rsid w:val="00EA2C87"/>
    <w:rsid w:val="00EA2D58"/>
    <w:rsid w:val="00EA3A0E"/>
    <w:rsid w:val="00EA3D67"/>
    <w:rsid w:val="00EA3DB9"/>
    <w:rsid w:val="00EA4256"/>
    <w:rsid w:val="00EA4581"/>
    <w:rsid w:val="00EA475F"/>
    <w:rsid w:val="00EA4877"/>
    <w:rsid w:val="00EA4A7A"/>
    <w:rsid w:val="00EA4AC2"/>
    <w:rsid w:val="00EA5029"/>
    <w:rsid w:val="00EA5335"/>
    <w:rsid w:val="00EA6506"/>
    <w:rsid w:val="00EA708C"/>
    <w:rsid w:val="00EA7A31"/>
    <w:rsid w:val="00EA7A7E"/>
    <w:rsid w:val="00EA7AF2"/>
    <w:rsid w:val="00EA7C2F"/>
    <w:rsid w:val="00EA7CC5"/>
    <w:rsid w:val="00EA7CE6"/>
    <w:rsid w:val="00EA7E15"/>
    <w:rsid w:val="00EA7E5E"/>
    <w:rsid w:val="00EA7E9E"/>
    <w:rsid w:val="00EA7EF5"/>
    <w:rsid w:val="00EA7F1F"/>
    <w:rsid w:val="00EB0073"/>
    <w:rsid w:val="00EB00CD"/>
    <w:rsid w:val="00EB0376"/>
    <w:rsid w:val="00EB03D0"/>
    <w:rsid w:val="00EB05DC"/>
    <w:rsid w:val="00EB113E"/>
    <w:rsid w:val="00EB1189"/>
    <w:rsid w:val="00EB1705"/>
    <w:rsid w:val="00EB1D4D"/>
    <w:rsid w:val="00EB1E07"/>
    <w:rsid w:val="00EB1E13"/>
    <w:rsid w:val="00EB224E"/>
    <w:rsid w:val="00EB2435"/>
    <w:rsid w:val="00EB269A"/>
    <w:rsid w:val="00EB2B2A"/>
    <w:rsid w:val="00EB338E"/>
    <w:rsid w:val="00EB3495"/>
    <w:rsid w:val="00EB35D4"/>
    <w:rsid w:val="00EB3808"/>
    <w:rsid w:val="00EB3953"/>
    <w:rsid w:val="00EB39A0"/>
    <w:rsid w:val="00EB3A9C"/>
    <w:rsid w:val="00EB3BB5"/>
    <w:rsid w:val="00EB3C42"/>
    <w:rsid w:val="00EB3CE0"/>
    <w:rsid w:val="00EB3DB0"/>
    <w:rsid w:val="00EB4015"/>
    <w:rsid w:val="00EB410B"/>
    <w:rsid w:val="00EB42C8"/>
    <w:rsid w:val="00EB46FE"/>
    <w:rsid w:val="00EB4A13"/>
    <w:rsid w:val="00EB534C"/>
    <w:rsid w:val="00EB53A5"/>
    <w:rsid w:val="00EB55D2"/>
    <w:rsid w:val="00EB57E7"/>
    <w:rsid w:val="00EB593E"/>
    <w:rsid w:val="00EB5BE9"/>
    <w:rsid w:val="00EB5CC3"/>
    <w:rsid w:val="00EB6440"/>
    <w:rsid w:val="00EB6698"/>
    <w:rsid w:val="00EB6763"/>
    <w:rsid w:val="00EB6C27"/>
    <w:rsid w:val="00EB6C53"/>
    <w:rsid w:val="00EB6FD8"/>
    <w:rsid w:val="00EB7502"/>
    <w:rsid w:val="00EB7832"/>
    <w:rsid w:val="00EB7B45"/>
    <w:rsid w:val="00EB7C50"/>
    <w:rsid w:val="00EB7E4D"/>
    <w:rsid w:val="00EB7FE8"/>
    <w:rsid w:val="00EC00C3"/>
    <w:rsid w:val="00EC045E"/>
    <w:rsid w:val="00EC0930"/>
    <w:rsid w:val="00EC117E"/>
    <w:rsid w:val="00EC183D"/>
    <w:rsid w:val="00EC1D83"/>
    <w:rsid w:val="00EC1F79"/>
    <w:rsid w:val="00EC2106"/>
    <w:rsid w:val="00EC2591"/>
    <w:rsid w:val="00EC2E21"/>
    <w:rsid w:val="00EC331F"/>
    <w:rsid w:val="00EC36DD"/>
    <w:rsid w:val="00EC382E"/>
    <w:rsid w:val="00EC45F5"/>
    <w:rsid w:val="00EC4C3D"/>
    <w:rsid w:val="00EC4D77"/>
    <w:rsid w:val="00EC4D7B"/>
    <w:rsid w:val="00EC4E2E"/>
    <w:rsid w:val="00EC4F04"/>
    <w:rsid w:val="00EC51DC"/>
    <w:rsid w:val="00EC555C"/>
    <w:rsid w:val="00EC5A0B"/>
    <w:rsid w:val="00EC5A47"/>
    <w:rsid w:val="00EC5F1A"/>
    <w:rsid w:val="00EC5FD9"/>
    <w:rsid w:val="00EC6337"/>
    <w:rsid w:val="00EC66D7"/>
    <w:rsid w:val="00EC6D68"/>
    <w:rsid w:val="00EC7183"/>
    <w:rsid w:val="00EC71AB"/>
    <w:rsid w:val="00EC768D"/>
    <w:rsid w:val="00EC7BC5"/>
    <w:rsid w:val="00ED022F"/>
    <w:rsid w:val="00ED0332"/>
    <w:rsid w:val="00ED0DE8"/>
    <w:rsid w:val="00ED0EB9"/>
    <w:rsid w:val="00ED1447"/>
    <w:rsid w:val="00ED16A0"/>
    <w:rsid w:val="00ED1757"/>
    <w:rsid w:val="00ED17CE"/>
    <w:rsid w:val="00ED1975"/>
    <w:rsid w:val="00ED19B6"/>
    <w:rsid w:val="00ED1A39"/>
    <w:rsid w:val="00ED1D06"/>
    <w:rsid w:val="00ED24AE"/>
    <w:rsid w:val="00ED24BA"/>
    <w:rsid w:val="00ED298C"/>
    <w:rsid w:val="00ED2A3F"/>
    <w:rsid w:val="00ED2FF1"/>
    <w:rsid w:val="00ED30D4"/>
    <w:rsid w:val="00ED3207"/>
    <w:rsid w:val="00ED3274"/>
    <w:rsid w:val="00ED32E7"/>
    <w:rsid w:val="00ED3534"/>
    <w:rsid w:val="00ED35B9"/>
    <w:rsid w:val="00ED3637"/>
    <w:rsid w:val="00ED38D7"/>
    <w:rsid w:val="00ED3A76"/>
    <w:rsid w:val="00ED3B7D"/>
    <w:rsid w:val="00ED3C91"/>
    <w:rsid w:val="00ED4096"/>
    <w:rsid w:val="00ED4BEA"/>
    <w:rsid w:val="00ED4FE6"/>
    <w:rsid w:val="00ED5122"/>
    <w:rsid w:val="00ED54F7"/>
    <w:rsid w:val="00ED58F2"/>
    <w:rsid w:val="00ED7140"/>
    <w:rsid w:val="00ED75C2"/>
    <w:rsid w:val="00EE03F1"/>
    <w:rsid w:val="00EE08BC"/>
    <w:rsid w:val="00EE09C8"/>
    <w:rsid w:val="00EE09EA"/>
    <w:rsid w:val="00EE0A49"/>
    <w:rsid w:val="00EE0E09"/>
    <w:rsid w:val="00EE11EC"/>
    <w:rsid w:val="00EE12DA"/>
    <w:rsid w:val="00EE15CA"/>
    <w:rsid w:val="00EE18BB"/>
    <w:rsid w:val="00EE19F0"/>
    <w:rsid w:val="00EE1CDA"/>
    <w:rsid w:val="00EE24B7"/>
    <w:rsid w:val="00EE2AAB"/>
    <w:rsid w:val="00EE2B75"/>
    <w:rsid w:val="00EE2C45"/>
    <w:rsid w:val="00EE3203"/>
    <w:rsid w:val="00EE33A6"/>
    <w:rsid w:val="00EE3DCB"/>
    <w:rsid w:val="00EE3F05"/>
    <w:rsid w:val="00EE48AC"/>
    <w:rsid w:val="00EE49E0"/>
    <w:rsid w:val="00EE5112"/>
    <w:rsid w:val="00EE5289"/>
    <w:rsid w:val="00EE52B9"/>
    <w:rsid w:val="00EE569A"/>
    <w:rsid w:val="00EE5CF1"/>
    <w:rsid w:val="00EE62B4"/>
    <w:rsid w:val="00EE6359"/>
    <w:rsid w:val="00EE636D"/>
    <w:rsid w:val="00EE66B1"/>
    <w:rsid w:val="00EE67A5"/>
    <w:rsid w:val="00EE69D9"/>
    <w:rsid w:val="00EE7257"/>
    <w:rsid w:val="00EE7D91"/>
    <w:rsid w:val="00EE7ECE"/>
    <w:rsid w:val="00EF0225"/>
    <w:rsid w:val="00EF04CA"/>
    <w:rsid w:val="00EF0611"/>
    <w:rsid w:val="00EF082A"/>
    <w:rsid w:val="00EF0843"/>
    <w:rsid w:val="00EF0942"/>
    <w:rsid w:val="00EF0D8F"/>
    <w:rsid w:val="00EF0E50"/>
    <w:rsid w:val="00EF118F"/>
    <w:rsid w:val="00EF1A4F"/>
    <w:rsid w:val="00EF20FD"/>
    <w:rsid w:val="00EF24B5"/>
    <w:rsid w:val="00EF2786"/>
    <w:rsid w:val="00EF2970"/>
    <w:rsid w:val="00EF2C3D"/>
    <w:rsid w:val="00EF32A3"/>
    <w:rsid w:val="00EF34CD"/>
    <w:rsid w:val="00EF39A6"/>
    <w:rsid w:val="00EF3A28"/>
    <w:rsid w:val="00EF3A3D"/>
    <w:rsid w:val="00EF3A4A"/>
    <w:rsid w:val="00EF3D43"/>
    <w:rsid w:val="00EF447D"/>
    <w:rsid w:val="00EF493B"/>
    <w:rsid w:val="00EF4F32"/>
    <w:rsid w:val="00EF5247"/>
    <w:rsid w:val="00EF5326"/>
    <w:rsid w:val="00EF53DE"/>
    <w:rsid w:val="00EF5593"/>
    <w:rsid w:val="00EF56DE"/>
    <w:rsid w:val="00EF5861"/>
    <w:rsid w:val="00EF60E0"/>
    <w:rsid w:val="00EF6141"/>
    <w:rsid w:val="00EF63FC"/>
    <w:rsid w:val="00EF68E7"/>
    <w:rsid w:val="00EF6EF5"/>
    <w:rsid w:val="00EF6F55"/>
    <w:rsid w:val="00EF7194"/>
    <w:rsid w:val="00EF73AB"/>
    <w:rsid w:val="00EF7614"/>
    <w:rsid w:val="00EF7878"/>
    <w:rsid w:val="00EF7DD6"/>
    <w:rsid w:val="00EF7E34"/>
    <w:rsid w:val="00F000F0"/>
    <w:rsid w:val="00F00180"/>
    <w:rsid w:val="00F006E4"/>
    <w:rsid w:val="00F00923"/>
    <w:rsid w:val="00F00A7F"/>
    <w:rsid w:val="00F00A86"/>
    <w:rsid w:val="00F00C9D"/>
    <w:rsid w:val="00F01640"/>
    <w:rsid w:val="00F016E1"/>
    <w:rsid w:val="00F017CB"/>
    <w:rsid w:val="00F0197D"/>
    <w:rsid w:val="00F019BB"/>
    <w:rsid w:val="00F01A58"/>
    <w:rsid w:val="00F023A1"/>
    <w:rsid w:val="00F024E9"/>
    <w:rsid w:val="00F026AE"/>
    <w:rsid w:val="00F027FF"/>
    <w:rsid w:val="00F02D95"/>
    <w:rsid w:val="00F0301D"/>
    <w:rsid w:val="00F032DF"/>
    <w:rsid w:val="00F03300"/>
    <w:rsid w:val="00F03355"/>
    <w:rsid w:val="00F03466"/>
    <w:rsid w:val="00F03791"/>
    <w:rsid w:val="00F0388F"/>
    <w:rsid w:val="00F03891"/>
    <w:rsid w:val="00F03A67"/>
    <w:rsid w:val="00F04030"/>
    <w:rsid w:val="00F04523"/>
    <w:rsid w:val="00F04551"/>
    <w:rsid w:val="00F048A6"/>
    <w:rsid w:val="00F04B22"/>
    <w:rsid w:val="00F04D51"/>
    <w:rsid w:val="00F04F3E"/>
    <w:rsid w:val="00F050D9"/>
    <w:rsid w:val="00F0522E"/>
    <w:rsid w:val="00F0535E"/>
    <w:rsid w:val="00F057AA"/>
    <w:rsid w:val="00F05BD9"/>
    <w:rsid w:val="00F05EED"/>
    <w:rsid w:val="00F0650D"/>
    <w:rsid w:val="00F06692"/>
    <w:rsid w:val="00F06D91"/>
    <w:rsid w:val="00F06F02"/>
    <w:rsid w:val="00F06FBB"/>
    <w:rsid w:val="00F071B3"/>
    <w:rsid w:val="00F07C13"/>
    <w:rsid w:val="00F10437"/>
    <w:rsid w:val="00F10465"/>
    <w:rsid w:val="00F10864"/>
    <w:rsid w:val="00F108F5"/>
    <w:rsid w:val="00F11003"/>
    <w:rsid w:val="00F110A5"/>
    <w:rsid w:val="00F1114C"/>
    <w:rsid w:val="00F111D5"/>
    <w:rsid w:val="00F1146B"/>
    <w:rsid w:val="00F115E0"/>
    <w:rsid w:val="00F1165E"/>
    <w:rsid w:val="00F11CF5"/>
    <w:rsid w:val="00F124CB"/>
    <w:rsid w:val="00F12B3D"/>
    <w:rsid w:val="00F12D63"/>
    <w:rsid w:val="00F13416"/>
    <w:rsid w:val="00F13BE5"/>
    <w:rsid w:val="00F14006"/>
    <w:rsid w:val="00F1403E"/>
    <w:rsid w:val="00F1415B"/>
    <w:rsid w:val="00F14606"/>
    <w:rsid w:val="00F1476B"/>
    <w:rsid w:val="00F149F8"/>
    <w:rsid w:val="00F152EE"/>
    <w:rsid w:val="00F15860"/>
    <w:rsid w:val="00F16035"/>
    <w:rsid w:val="00F16301"/>
    <w:rsid w:val="00F16BB1"/>
    <w:rsid w:val="00F16EFB"/>
    <w:rsid w:val="00F16FC3"/>
    <w:rsid w:val="00F17383"/>
    <w:rsid w:val="00F1754C"/>
    <w:rsid w:val="00F17A8F"/>
    <w:rsid w:val="00F17AD5"/>
    <w:rsid w:val="00F17AE3"/>
    <w:rsid w:val="00F17CA7"/>
    <w:rsid w:val="00F20046"/>
    <w:rsid w:val="00F2031A"/>
    <w:rsid w:val="00F206FE"/>
    <w:rsid w:val="00F2083D"/>
    <w:rsid w:val="00F20E4D"/>
    <w:rsid w:val="00F20F5B"/>
    <w:rsid w:val="00F20F67"/>
    <w:rsid w:val="00F21048"/>
    <w:rsid w:val="00F210AB"/>
    <w:rsid w:val="00F215C3"/>
    <w:rsid w:val="00F21857"/>
    <w:rsid w:val="00F218EF"/>
    <w:rsid w:val="00F21A0B"/>
    <w:rsid w:val="00F22369"/>
    <w:rsid w:val="00F22444"/>
    <w:rsid w:val="00F225EB"/>
    <w:rsid w:val="00F227B6"/>
    <w:rsid w:val="00F22880"/>
    <w:rsid w:val="00F22C50"/>
    <w:rsid w:val="00F22C96"/>
    <w:rsid w:val="00F2357F"/>
    <w:rsid w:val="00F238F6"/>
    <w:rsid w:val="00F23BD0"/>
    <w:rsid w:val="00F23D65"/>
    <w:rsid w:val="00F23FCA"/>
    <w:rsid w:val="00F244C0"/>
    <w:rsid w:val="00F2456B"/>
    <w:rsid w:val="00F24A57"/>
    <w:rsid w:val="00F24F4D"/>
    <w:rsid w:val="00F24FA0"/>
    <w:rsid w:val="00F250CE"/>
    <w:rsid w:val="00F25157"/>
    <w:rsid w:val="00F25EB4"/>
    <w:rsid w:val="00F25F12"/>
    <w:rsid w:val="00F2617C"/>
    <w:rsid w:val="00F2643A"/>
    <w:rsid w:val="00F26886"/>
    <w:rsid w:val="00F2699C"/>
    <w:rsid w:val="00F26AF5"/>
    <w:rsid w:val="00F26B24"/>
    <w:rsid w:val="00F27E0C"/>
    <w:rsid w:val="00F3002F"/>
    <w:rsid w:val="00F30031"/>
    <w:rsid w:val="00F30353"/>
    <w:rsid w:val="00F308C0"/>
    <w:rsid w:val="00F309D2"/>
    <w:rsid w:val="00F31092"/>
    <w:rsid w:val="00F3159B"/>
    <w:rsid w:val="00F315C5"/>
    <w:rsid w:val="00F318E7"/>
    <w:rsid w:val="00F31931"/>
    <w:rsid w:val="00F31F17"/>
    <w:rsid w:val="00F31F79"/>
    <w:rsid w:val="00F3236F"/>
    <w:rsid w:val="00F32374"/>
    <w:rsid w:val="00F329BF"/>
    <w:rsid w:val="00F32F0E"/>
    <w:rsid w:val="00F32F3E"/>
    <w:rsid w:val="00F32FBF"/>
    <w:rsid w:val="00F336DB"/>
    <w:rsid w:val="00F3383E"/>
    <w:rsid w:val="00F33E0B"/>
    <w:rsid w:val="00F33EBF"/>
    <w:rsid w:val="00F34286"/>
    <w:rsid w:val="00F342E5"/>
    <w:rsid w:val="00F346BC"/>
    <w:rsid w:val="00F35181"/>
    <w:rsid w:val="00F3521B"/>
    <w:rsid w:val="00F3524E"/>
    <w:rsid w:val="00F35561"/>
    <w:rsid w:val="00F35865"/>
    <w:rsid w:val="00F35972"/>
    <w:rsid w:val="00F35A79"/>
    <w:rsid w:val="00F35D4F"/>
    <w:rsid w:val="00F35E08"/>
    <w:rsid w:val="00F35E92"/>
    <w:rsid w:val="00F35F18"/>
    <w:rsid w:val="00F36190"/>
    <w:rsid w:val="00F3651B"/>
    <w:rsid w:val="00F367DF"/>
    <w:rsid w:val="00F369F3"/>
    <w:rsid w:val="00F370CB"/>
    <w:rsid w:val="00F377A2"/>
    <w:rsid w:val="00F37922"/>
    <w:rsid w:val="00F37AE3"/>
    <w:rsid w:val="00F37AEF"/>
    <w:rsid w:val="00F4125D"/>
    <w:rsid w:val="00F42373"/>
    <w:rsid w:val="00F42400"/>
    <w:rsid w:val="00F42910"/>
    <w:rsid w:val="00F42C2B"/>
    <w:rsid w:val="00F439C5"/>
    <w:rsid w:val="00F43AD1"/>
    <w:rsid w:val="00F44833"/>
    <w:rsid w:val="00F4559E"/>
    <w:rsid w:val="00F465C1"/>
    <w:rsid w:val="00F4678D"/>
    <w:rsid w:val="00F467B0"/>
    <w:rsid w:val="00F46E40"/>
    <w:rsid w:val="00F46F8B"/>
    <w:rsid w:val="00F47132"/>
    <w:rsid w:val="00F471BC"/>
    <w:rsid w:val="00F476F3"/>
    <w:rsid w:val="00F47728"/>
    <w:rsid w:val="00F478E7"/>
    <w:rsid w:val="00F47A4C"/>
    <w:rsid w:val="00F47AB9"/>
    <w:rsid w:val="00F47AFE"/>
    <w:rsid w:val="00F47CBA"/>
    <w:rsid w:val="00F50020"/>
    <w:rsid w:val="00F5037F"/>
    <w:rsid w:val="00F50671"/>
    <w:rsid w:val="00F50849"/>
    <w:rsid w:val="00F50A3D"/>
    <w:rsid w:val="00F513BA"/>
    <w:rsid w:val="00F51447"/>
    <w:rsid w:val="00F514EF"/>
    <w:rsid w:val="00F516F4"/>
    <w:rsid w:val="00F52756"/>
    <w:rsid w:val="00F52A47"/>
    <w:rsid w:val="00F52A4B"/>
    <w:rsid w:val="00F52C6C"/>
    <w:rsid w:val="00F52FA8"/>
    <w:rsid w:val="00F531A7"/>
    <w:rsid w:val="00F538CD"/>
    <w:rsid w:val="00F53B04"/>
    <w:rsid w:val="00F54192"/>
    <w:rsid w:val="00F542D8"/>
    <w:rsid w:val="00F548C8"/>
    <w:rsid w:val="00F5558C"/>
    <w:rsid w:val="00F55AC5"/>
    <w:rsid w:val="00F55F9D"/>
    <w:rsid w:val="00F568FF"/>
    <w:rsid w:val="00F56918"/>
    <w:rsid w:val="00F56B25"/>
    <w:rsid w:val="00F56C6C"/>
    <w:rsid w:val="00F56E09"/>
    <w:rsid w:val="00F5765A"/>
    <w:rsid w:val="00F57704"/>
    <w:rsid w:val="00F577F9"/>
    <w:rsid w:val="00F57C72"/>
    <w:rsid w:val="00F6021A"/>
    <w:rsid w:val="00F608EE"/>
    <w:rsid w:val="00F61158"/>
    <w:rsid w:val="00F61564"/>
    <w:rsid w:val="00F61701"/>
    <w:rsid w:val="00F61902"/>
    <w:rsid w:val="00F61CF4"/>
    <w:rsid w:val="00F61FDE"/>
    <w:rsid w:val="00F622E3"/>
    <w:rsid w:val="00F62377"/>
    <w:rsid w:val="00F62C76"/>
    <w:rsid w:val="00F63289"/>
    <w:rsid w:val="00F634A6"/>
    <w:rsid w:val="00F63622"/>
    <w:rsid w:val="00F6404E"/>
    <w:rsid w:val="00F6426F"/>
    <w:rsid w:val="00F6433C"/>
    <w:rsid w:val="00F644BD"/>
    <w:rsid w:val="00F6474A"/>
    <w:rsid w:val="00F64966"/>
    <w:rsid w:val="00F64D85"/>
    <w:rsid w:val="00F64F9F"/>
    <w:rsid w:val="00F6522A"/>
    <w:rsid w:val="00F6557E"/>
    <w:rsid w:val="00F65913"/>
    <w:rsid w:val="00F660B8"/>
    <w:rsid w:val="00F6624A"/>
    <w:rsid w:val="00F664AF"/>
    <w:rsid w:val="00F6658E"/>
    <w:rsid w:val="00F66844"/>
    <w:rsid w:val="00F669E3"/>
    <w:rsid w:val="00F67A85"/>
    <w:rsid w:val="00F67B95"/>
    <w:rsid w:val="00F67C46"/>
    <w:rsid w:val="00F67F10"/>
    <w:rsid w:val="00F704D0"/>
    <w:rsid w:val="00F70FF9"/>
    <w:rsid w:val="00F71026"/>
    <w:rsid w:val="00F71042"/>
    <w:rsid w:val="00F710A0"/>
    <w:rsid w:val="00F71976"/>
    <w:rsid w:val="00F71A99"/>
    <w:rsid w:val="00F71C4F"/>
    <w:rsid w:val="00F71C65"/>
    <w:rsid w:val="00F71F79"/>
    <w:rsid w:val="00F721A1"/>
    <w:rsid w:val="00F724E3"/>
    <w:rsid w:val="00F727AA"/>
    <w:rsid w:val="00F729CA"/>
    <w:rsid w:val="00F72B10"/>
    <w:rsid w:val="00F72C94"/>
    <w:rsid w:val="00F73121"/>
    <w:rsid w:val="00F73852"/>
    <w:rsid w:val="00F73C64"/>
    <w:rsid w:val="00F73D87"/>
    <w:rsid w:val="00F73F43"/>
    <w:rsid w:val="00F74609"/>
    <w:rsid w:val="00F74664"/>
    <w:rsid w:val="00F74791"/>
    <w:rsid w:val="00F74A7A"/>
    <w:rsid w:val="00F74BD2"/>
    <w:rsid w:val="00F74C84"/>
    <w:rsid w:val="00F75549"/>
    <w:rsid w:val="00F7564B"/>
    <w:rsid w:val="00F75CDB"/>
    <w:rsid w:val="00F76337"/>
    <w:rsid w:val="00F7639C"/>
    <w:rsid w:val="00F763DF"/>
    <w:rsid w:val="00F76793"/>
    <w:rsid w:val="00F76B2E"/>
    <w:rsid w:val="00F76B74"/>
    <w:rsid w:val="00F76D2A"/>
    <w:rsid w:val="00F774B2"/>
    <w:rsid w:val="00F7792A"/>
    <w:rsid w:val="00F77A26"/>
    <w:rsid w:val="00F77C47"/>
    <w:rsid w:val="00F77CFA"/>
    <w:rsid w:val="00F80D8F"/>
    <w:rsid w:val="00F812A7"/>
    <w:rsid w:val="00F81311"/>
    <w:rsid w:val="00F81507"/>
    <w:rsid w:val="00F81625"/>
    <w:rsid w:val="00F81C47"/>
    <w:rsid w:val="00F81E0E"/>
    <w:rsid w:val="00F81E55"/>
    <w:rsid w:val="00F81E87"/>
    <w:rsid w:val="00F81F25"/>
    <w:rsid w:val="00F81F57"/>
    <w:rsid w:val="00F81F94"/>
    <w:rsid w:val="00F82CD8"/>
    <w:rsid w:val="00F83301"/>
    <w:rsid w:val="00F83564"/>
    <w:rsid w:val="00F836F5"/>
    <w:rsid w:val="00F837A7"/>
    <w:rsid w:val="00F837DD"/>
    <w:rsid w:val="00F842BC"/>
    <w:rsid w:val="00F84849"/>
    <w:rsid w:val="00F849D7"/>
    <w:rsid w:val="00F84A2F"/>
    <w:rsid w:val="00F84BAB"/>
    <w:rsid w:val="00F850EB"/>
    <w:rsid w:val="00F85123"/>
    <w:rsid w:val="00F855CB"/>
    <w:rsid w:val="00F856C8"/>
    <w:rsid w:val="00F85744"/>
    <w:rsid w:val="00F85C00"/>
    <w:rsid w:val="00F85C0C"/>
    <w:rsid w:val="00F85F4B"/>
    <w:rsid w:val="00F85F9B"/>
    <w:rsid w:val="00F863EB"/>
    <w:rsid w:val="00F864D4"/>
    <w:rsid w:val="00F86538"/>
    <w:rsid w:val="00F8683A"/>
    <w:rsid w:val="00F86B20"/>
    <w:rsid w:val="00F86C43"/>
    <w:rsid w:val="00F86C8C"/>
    <w:rsid w:val="00F8718E"/>
    <w:rsid w:val="00F87201"/>
    <w:rsid w:val="00F87317"/>
    <w:rsid w:val="00F879C6"/>
    <w:rsid w:val="00F87CB7"/>
    <w:rsid w:val="00F87D07"/>
    <w:rsid w:val="00F87D7F"/>
    <w:rsid w:val="00F87E13"/>
    <w:rsid w:val="00F87E81"/>
    <w:rsid w:val="00F90178"/>
    <w:rsid w:val="00F901EE"/>
    <w:rsid w:val="00F90391"/>
    <w:rsid w:val="00F9046C"/>
    <w:rsid w:val="00F906BF"/>
    <w:rsid w:val="00F90827"/>
    <w:rsid w:val="00F90A89"/>
    <w:rsid w:val="00F90BEE"/>
    <w:rsid w:val="00F90C86"/>
    <w:rsid w:val="00F90D61"/>
    <w:rsid w:val="00F90FD6"/>
    <w:rsid w:val="00F910E4"/>
    <w:rsid w:val="00F91220"/>
    <w:rsid w:val="00F915AB"/>
    <w:rsid w:val="00F9174D"/>
    <w:rsid w:val="00F91906"/>
    <w:rsid w:val="00F91CA2"/>
    <w:rsid w:val="00F91DAC"/>
    <w:rsid w:val="00F91DB1"/>
    <w:rsid w:val="00F91F7C"/>
    <w:rsid w:val="00F92126"/>
    <w:rsid w:val="00F92174"/>
    <w:rsid w:val="00F923DB"/>
    <w:rsid w:val="00F92725"/>
    <w:rsid w:val="00F92F19"/>
    <w:rsid w:val="00F93A3D"/>
    <w:rsid w:val="00F93D13"/>
    <w:rsid w:val="00F93EE6"/>
    <w:rsid w:val="00F94003"/>
    <w:rsid w:val="00F94412"/>
    <w:rsid w:val="00F94524"/>
    <w:rsid w:val="00F94737"/>
    <w:rsid w:val="00F9473D"/>
    <w:rsid w:val="00F9495D"/>
    <w:rsid w:val="00F94967"/>
    <w:rsid w:val="00F94DE2"/>
    <w:rsid w:val="00F95013"/>
    <w:rsid w:val="00F951BD"/>
    <w:rsid w:val="00F9632D"/>
    <w:rsid w:val="00F9644F"/>
    <w:rsid w:val="00F965D9"/>
    <w:rsid w:val="00F96842"/>
    <w:rsid w:val="00F969EB"/>
    <w:rsid w:val="00F96BE3"/>
    <w:rsid w:val="00F96C7A"/>
    <w:rsid w:val="00F96CB6"/>
    <w:rsid w:val="00F96E7C"/>
    <w:rsid w:val="00F974CD"/>
    <w:rsid w:val="00F975B5"/>
    <w:rsid w:val="00F97B2F"/>
    <w:rsid w:val="00F97C88"/>
    <w:rsid w:val="00FA04BE"/>
    <w:rsid w:val="00FA0509"/>
    <w:rsid w:val="00FA09C3"/>
    <w:rsid w:val="00FA0A8A"/>
    <w:rsid w:val="00FA0E7C"/>
    <w:rsid w:val="00FA14A2"/>
    <w:rsid w:val="00FA1CBF"/>
    <w:rsid w:val="00FA1D8F"/>
    <w:rsid w:val="00FA1F1D"/>
    <w:rsid w:val="00FA2002"/>
    <w:rsid w:val="00FA222A"/>
    <w:rsid w:val="00FA2526"/>
    <w:rsid w:val="00FA25D5"/>
    <w:rsid w:val="00FA2AB0"/>
    <w:rsid w:val="00FA363D"/>
    <w:rsid w:val="00FA3C7B"/>
    <w:rsid w:val="00FA3C84"/>
    <w:rsid w:val="00FA47DE"/>
    <w:rsid w:val="00FA4EDE"/>
    <w:rsid w:val="00FA50E8"/>
    <w:rsid w:val="00FA526F"/>
    <w:rsid w:val="00FA53C1"/>
    <w:rsid w:val="00FA5412"/>
    <w:rsid w:val="00FA5527"/>
    <w:rsid w:val="00FA5871"/>
    <w:rsid w:val="00FA589E"/>
    <w:rsid w:val="00FA5962"/>
    <w:rsid w:val="00FA5995"/>
    <w:rsid w:val="00FA5CEE"/>
    <w:rsid w:val="00FA5EB9"/>
    <w:rsid w:val="00FA6225"/>
    <w:rsid w:val="00FA656D"/>
    <w:rsid w:val="00FA6686"/>
    <w:rsid w:val="00FA6A4B"/>
    <w:rsid w:val="00FA6A8C"/>
    <w:rsid w:val="00FA6BE1"/>
    <w:rsid w:val="00FA6D2E"/>
    <w:rsid w:val="00FA70DF"/>
    <w:rsid w:val="00FA7124"/>
    <w:rsid w:val="00FA7152"/>
    <w:rsid w:val="00FA7A20"/>
    <w:rsid w:val="00FA7AA6"/>
    <w:rsid w:val="00FA7B91"/>
    <w:rsid w:val="00FA7C04"/>
    <w:rsid w:val="00FB009F"/>
    <w:rsid w:val="00FB0443"/>
    <w:rsid w:val="00FB06D2"/>
    <w:rsid w:val="00FB0F6E"/>
    <w:rsid w:val="00FB15D5"/>
    <w:rsid w:val="00FB1694"/>
    <w:rsid w:val="00FB18E8"/>
    <w:rsid w:val="00FB19D8"/>
    <w:rsid w:val="00FB22E5"/>
    <w:rsid w:val="00FB2803"/>
    <w:rsid w:val="00FB2864"/>
    <w:rsid w:val="00FB2F94"/>
    <w:rsid w:val="00FB2FB7"/>
    <w:rsid w:val="00FB35AB"/>
    <w:rsid w:val="00FB38EA"/>
    <w:rsid w:val="00FB3CD6"/>
    <w:rsid w:val="00FB4065"/>
    <w:rsid w:val="00FB44CB"/>
    <w:rsid w:val="00FB4760"/>
    <w:rsid w:val="00FB47B5"/>
    <w:rsid w:val="00FB52FD"/>
    <w:rsid w:val="00FB57A7"/>
    <w:rsid w:val="00FB5A6F"/>
    <w:rsid w:val="00FB5D73"/>
    <w:rsid w:val="00FB6401"/>
    <w:rsid w:val="00FB66B5"/>
    <w:rsid w:val="00FB67DD"/>
    <w:rsid w:val="00FB68CE"/>
    <w:rsid w:val="00FB6B9D"/>
    <w:rsid w:val="00FB6C5F"/>
    <w:rsid w:val="00FB6C8C"/>
    <w:rsid w:val="00FB72CB"/>
    <w:rsid w:val="00FB77BB"/>
    <w:rsid w:val="00FB7A9C"/>
    <w:rsid w:val="00FB7D00"/>
    <w:rsid w:val="00FC03AD"/>
    <w:rsid w:val="00FC0AB4"/>
    <w:rsid w:val="00FC0B9B"/>
    <w:rsid w:val="00FC0E12"/>
    <w:rsid w:val="00FC15A1"/>
    <w:rsid w:val="00FC184E"/>
    <w:rsid w:val="00FC1859"/>
    <w:rsid w:val="00FC2075"/>
    <w:rsid w:val="00FC22FE"/>
    <w:rsid w:val="00FC23FA"/>
    <w:rsid w:val="00FC25D7"/>
    <w:rsid w:val="00FC2742"/>
    <w:rsid w:val="00FC2A75"/>
    <w:rsid w:val="00FC2EED"/>
    <w:rsid w:val="00FC330F"/>
    <w:rsid w:val="00FC37F0"/>
    <w:rsid w:val="00FC3BBC"/>
    <w:rsid w:val="00FC3EEB"/>
    <w:rsid w:val="00FC40BF"/>
    <w:rsid w:val="00FC4278"/>
    <w:rsid w:val="00FC4423"/>
    <w:rsid w:val="00FC4516"/>
    <w:rsid w:val="00FC47D1"/>
    <w:rsid w:val="00FC4850"/>
    <w:rsid w:val="00FC4CA4"/>
    <w:rsid w:val="00FC4D2F"/>
    <w:rsid w:val="00FC4DD6"/>
    <w:rsid w:val="00FC545C"/>
    <w:rsid w:val="00FC553E"/>
    <w:rsid w:val="00FC6143"/>
    <w:rsid w:val="00FC65A0"/>
    <w:rsid w:val="00FC6B41"/>
    <w:rsid w:val="00FC6DC7"/>
    <w:rsid w:val="00FC6EF1"/>
    <w:rsid w:val="00FC7308"/>
    <w:rsid w:val="00FC76FD"/>
    <w:rsid w:val="00FC7DD2"/>
    <w:rsid w:val="00FC7F93"/>
    <w:rsid w:val="00FD0C32"/>
    <w:rsid w:val="00FD10D2"/>
    <w:rsid w:val="00FD111E"/>
    <w:rsid w:val="00FD1401"/>
    <w:rsid w:val="00FD14E4"/>
    <w:rsid w:val="00FD2804"/>
    <w:rsid w:val="00FD282A"/>
    <w:rsid w:val="00FD2875"/>
    <w:rsid w:val="00FD2A71"/>
    <w:rsid w:val="00FD2B29"/>
    <w:rsid w:val="00FD31EC"/>
    <w:rsid w:val="00FD3905"/>
    <w:rsid w:val="00FD3B8A"/>
    <w:rsid w:val="00FD43D6"/>
    <w:rsid w:val="00FD4620"/>
    <w:rsid w:val="00FD48FE"/>
    <w:rsid w:val="00FD4C9D"/>
    <w:rsid w:val="00FD4CC0"/>
    <w:rsid w:val="00FD552B"/>
    <w:rsid w:val="00FD5642"/>
    <w:rsid w:val="00FD5EAC"/>
    <w:rsid w:val="00FD6318"/>
    <w:rsid w:val="00FD681C"/>
    <w:rsid w:val="00FD6859"/>
    <w:rsid w:val="00FD6A3D"/>
    <w:rsid w:val="00FD6CCB"/>
    <w:rsid w:val="00FD6EF6"/>
    <w:rsid w:val="00FD6F9D"/>
    <w:rsid w:val="00FD7001"/>
    <w:rsid w:val="00FD7240"/>
    <w:rsid w:val="00FD72D9"/>
    <w:rsid w:val="00FD73AE"/>
    <w:rsid w:val="00FD75AC"/>
    <w:rsid w:val="00FD7D67"/>
    <w:rsid w:val="00FD7F6A"/>
    <w:rsid w:val="00FE03A5"/>
    <w:rsid w:val="00FE04B6"/>
    <w:rsid w:val="00FE05E5"/>
    <w:rsid w:val="00FE0657"/>
    <w:rsid w:val="00FE07D8"/>
    <w:rsid w:val="00FE11F5"/>
    <w:rsid w:val="00FE19FD"/>
    <w:rsid w:val="00FE20AB"/>
    <w:rsid w:val="00FE22FE"/>
    <w:rsid w:val="00FE26CB"/>
    <w:rsid w:val="00FE2B7B"/>
    <w:rsid w:val="00FE306A"/>
    <w:rsid w:val="00FE3100"/>
    <w:rsid w:val="00FE3439"/>
    <w:rsid w:val="00FE3768"/>
    <w:rsid w:val="00FE37C6"/>
    <w:rsid w:val="00FE417B"/>
    <w:rsid w:val="00FE436D"/>
    <w:rsid w:val="00FE49BD"/>
    <w:rsid w:val="00FE501E"/>
    <w:rsid w:val="00FE5172"/>
    <w:rsid w:val="00FE5410"/>
    <w:rsid w:val="00FE544A"/>
    <w:rsid w:val="00FE54B4"/>
    <w:rsid w:val="00FE5977"/>
    <w:rsid w:val="00FE59D6"/>
    <w:rsid w:val="00FE5BDB"/>
    <w:rsid w:val="00FE627C"/>
    <w:rsid w:val="00FE6DA0"/>
    <w:rsid w:val="00FE6DEC"/>
    <w:rsid w:val="00FE74E2"/>
    <w:rsid w:val="00FE74FC"/>
    <w:rsid w:val="00FE753A"/>
    <w:rsid w:val="00FE761D"/>
    <w:rsid w:val="00FE76FA"/>
    <w:rsid w:val="00FE7C3E"/>
    <w:rsid w:val="00FE7F00"/>
    <w:rsid w:val="00FF01C5"/>
    <w:rsid w:val="00FF0224"/>
    <w:rsid w:val="00FF0278"/>
    <w:rsid w:val="00FF0502"/>
    <w:rsid w:val="00FF0BBB"/>
    <w:rsid w:val="00FF1455"/>
    <w:rsid w:val="00FF1716"/>
    <w:rsid w:val="00FF17CF"/>
    <w:rsid w:val="00FF1862"/>
    <w:rsid w:val="00FF1E0C"/>
    <w:rsid w:val="00FF1E43"/>
    <w:rsid w:val="00FF2077"/>
    <w:rsid w:val="00FF29B2"/>
    <w:rsid w:val="00FF2A88"/>
    <w:rsid w:val="00FF30B9"/>
    <w:rsid w:val="00FF32DE"/>
    <w:rsid w:val="00FF3345"/>
    <w:rsid w:val="00FF37C5"/>
    <w:rsid w:val="00FF38DA"/>
    <w:rsid w:val="00FF39D7"/>
    <w:rsid w:val="00FF3A12"/>
    <w:rsid w:val="00FF3B82"/>
    <w:rsid w:val="00FF3CFC"/>
    <w:rsid w:val="00FF3F68"/>
    <w:rsid w:val="00FF437C"/>
    <w:rsid w:val="00FF43AF"/>
    <w:rsid w:val="00FF44A2"/>
    <w:rsid w:val="00FF48E0"/>
    <w:rsid w:val="00FF4D22"/>
    <w:rsid w:val="00FF4F61"/>
    <w:rsid w:val="00FF4FCD"/>
    <w:rsid w:val="00FF5026"/>
    <w:rsid w:val="00FF5173"/>
    <w:rsid w:val="00FF51D0"/>
    <w:rsid w:val="00FF52CC"/>
    <w:rsid w:val="00FF52E3"/>
    <w:rsid w:val="00FF54BC"/>
    <w:rsid w:val="00FF5EFE"/>
    <w:rsid w:val="00FF609A"/>
    <w:rsid w:val="00FF60A4"/>
    <w:rsid w:val="00FF6CF6"/>
    <w:rsid w:val="00FF707C"/>
    <w:rsid w:val="00FF7746"/>
    <w:rsid w:val="00FF78D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41"/>
    <o:shapelayout v:ext="edit">
      <o:idmap v:ext="edit" data="1"/>
    </o:shapelayout>
  </w:shapeDefaults>
  <w:decimalSymbol w:val="."/>
  <w:listSeparator w:val=","/>
  <w14:docId w14:val="30741E6B"/>
  <w15:chartTrackingRefBased/>
  <w15:docId w15:val="{C1FA06E7-7A63-4197-A76A-8E8460D0042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CG Times (WN)" w:eastAsia="SimSun" w:hAnsi="CG Times (W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qFormat="1"/>
    <w:lsdException w:name="caption" w:qFormat="1"/>
    <w:lsdException w:name="annotation reference" w:qFormat="1"/>
    <w:lsdException w:name="Title" w:qFormat="1"/>
    <w:lsdException w:name="Subtitle" w:qFormat="1"/>
    <w:lsdException w:name="Hyperlink" w:uiPriority="99" w:qFormat="1"/>
    <w:lsdException w:name="Strong" w:qFormat="1"/>
    <w:lsdException w:name="Emphasis" w:qFormat="1"/>
    <w:lsdException w:name="Normal (Web)" w:uiPriority="99"/>
    <w:lsdException w:name="HTML Preformatted" w:semiHidden="1" w:unhideWhenUsed="1"/>
    <w:lsdException w:name="HTML Typewriter" w:semiHidden="1" w:unhideWhenUsed="1"/>
    <w:lsdException w:name="Normal Table"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C2192"/>
    <w:pPr>
      <w:overflowPunct w:val="0"/>
      <w:autoSpaceDE w:val="0"/>
      <w:autoSpaceDN w:val="0"/>
      <w:adjustRightInd w:val="0"/>
      <w:spacing w:after="180"/>
      <w:textAlignment w:val="baseline"/>
    </w:pPr>
    <w:rPr>
      <w:rFonts w:ascii="Times New Roman" w:hAnsi="Times New Roman"/>
      <w:lang w:val="en-GB" w:eastAsia="en-US"/>
    </w:rPr>
  </w:style>
  <w:style w:type="paragraph" w:styleId="Heading1">
    <w:name w:val="heading 1"/>
    <w:next w:val="Normal"/>
    <w:link w:val="Heading1Char1"/>
    <w:qFormat/>
    <w:rsid w:val="00A63872"/>
    <w:pPr>
      <w:keepNext/>
      <w:keepLines/>
      <w:numPr>
        <w:numId w:val="4"/>
      </w:numPr>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eastAsia="en-US"/>
    </w:rPr>
  </w:style>
  <w:style w:type="paragraph" w:styleId="Heading2">
    <w:name w:val="heading 2"/>
    <w:basedOn w:val="Heading1"/>
    <w:next w:val="Normal"/>
    <w:link w:val="Heading2Char"/>
    <w:qFormat/>
    <w:rsid w:val="00A63872"/>
    <w:pPr>
      <w:numPr>
        <w:ilvl w:val="1"/>
      </w:numPr>
      <w:pBdr>
        <w:top w:val="none" w:sz="0" w:space="0" w:color="auto"/>
      </w:pBdr>
      <w:spacing w:before="180"/>
      <w:outlineLvl w:val="1"/>
    </w:pPr>
    <w:rPr>
      <w:sz w:val="32"/>
    </w:rPr>
  </w:style>
  <w:style w:type="paragraph" w:styleId="Heading3">
    <w:name w:val="heading 3"/>
    <w:basedOn w:val="Heading2"/>
    <w:next w:val="Normal"/>
    <w:link w:val="Heading3Char"/>
    <w:qFormat/>
    <w:rsid w:val="00A63872"/>
    <w:pPr>
      <w:numPr>
        <w:ilvl w:val="2"/>
      </w:numPr>
      <w:spacing w:before="120"/>
      <w:outlineLvl w:val="2"/>
    </w:pPr>
    <w:rPr>
      <w:sz w:val="28"/>
    </w:rPr>
  </w:style>
  <w:style w:type="paragraph" w:styleId="Heading4">
    <w:name w:val="heading 4"/>
    <w:aliases w:val="h4"/>
    <w:basedOn w:val="Heading3"/>
    <w:next w:val="Normal"/>
    <w:link w:val="Heading4Char"/>
    <w:qFormat/>
    <w:rsid w:val="00A63872"/>
    <w:pPr>
      <w:numPr>
        <w:ilvl w:val="3"/>
      </w:numPr>
      <w:outlineLvl w:val="3"/>
    </w:pPr>
    <w:rPr>
      <w:sz w:val="24"/>
    </w:rPr>
  </w:style>
  <w:style w:type="paragraph" w:styleId="Heading5">
    <w:name w:val="heading 5"/>
    <w:basedOn w:val="Heading4"/>
    <w:next w:val="Normal"/>
    <w:link w:val="Heading5Char"/>
    <w:qFormat/>
    <w:rsid w:val="00A63872"/>
    <w:pPr>
      <w:numPr>
        <w:ilvl w:val="4"/>
      </w:numPr>
      <w:outlineLvl w:val="4"/>
    </w:pPr>
    <w:rPr>
      <w:sz w:val="22"/>
    </w:rPr>
  </w:style>
  <w:style w:type="paragraph" w:styleId="Heading6">
    <w:name w:val="heading 6"/>
    <w:basedOn w:val="H6"/>
    <w:next w:val="Normal"/>
    <w:qFormat/>
    <w:rsid w:val="00A63872"/>
    <w:pPr>
      <w:numPr>
        <w:ilvl w:val="5"/>
      </w:numPr>
      <w:outlineLvl w:val="5"/>
    </w:pPr>
  </w:style>
  <w:style w:type="paragraph" w:styleId="Heading7">
    <w:name w:val="heading 7"/>
    <w:basedOn w:val="H6"/>
    <w:next w:val="Normal"/>
    <w:qFormat/>
    <w:rsid w:val="00A63872"/>
    <w:pPr>
      <w:numPr>
        <w:ilvl w:val="6"/>
      </w:numPr>
      <w:outlineLvl w:val="6"/>
    </w:pPr>
  </w:style>
  <w:style w:type="paragraph" w:styleId="Heading8">
    <w:name w:val="heading 8"/>
    <w:basedOn w:val="Heading1"/>
    <w:next w:val="Normal"/>
    <w:qFormat/>
    <w:rsid w:val="00A63872"/>
    <w:pPr>
      <w:numPr>
        <w:ilvl w:val="7"/>
      </w:numPr>
      <w:outlineLvl w:val="7"/>
    </w:pPr>
  </w:style>
  <w:style w:type="paragraph" w:styleId="Heading9">
    <w:name w:val="heading 9"/>
    <w:basedOn w:val="Heading8"/>
    <w:next w:val="Normal"/>
    <w:qFormat/>
    <w:rsid w:val="00A63872"/>
    <w:pPr>
      <w:numPr>
        <w:ilvl w:val="8"/>
      </w:num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A63872"/>
    <w:pPr>
      <w:spacing w:before="180"/>
      <w:ind w:left="2693" w:hanging="2693"/>
    </w:pPr>
    <w:rPr>
      <w:b/>
    </w:rPr>
  </w:style>
  <w:style w:type="paragraph" w:styleId="TOC1">
    <w:name w:val="toc 1"/>
    <w:semiHidden/>
    <w:rsid w:val="00A63872"/>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en-US"/>
    </w:rPr>
  </w:style>
  <w:style w:type="paragraph" w:customStyle="1" w:styleId="ZT">
    <w:name w:val="ZT"/>
    <w:rsid w:val="00A63872"/>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styleId="TOC5">
    <w:name w:val="toc 5"/>
    <w:basedOn w:val="TOC4"/>
    <w:semiHidden/>
    <w:rsid w:val="00A63872"/>
    <w:pPr>
      <w:ind w:left="1701" w:hanging="1701"/>
    </w:pPr>
  </w:style>
  <w:style w:type="paragraph" w:styleId="TOC4">
    <w:name w:val="toc 4"/>
    <w:basedOn w:val="TOC3"/>
    <w:semiHidden/>
    <w:rsid w:val="00A63872"/>
    <w:pPr>
      <w:ind w:left="1418" w:hanging="1418"/>
    </w:pPr>
  </w:style>
  <w:style w:type="paragraph" w:styleId="TOC3">
    <w:name w:val="toc 3"/>
    <w:basedOn w:val="TOC2"/>
    <w:semiHidden/>
    <w:rsid w:val="00A63872"/>
    <w:pPr>
      <w:ind w:left="1134" w:hanging="1134"/>
    </w:pPr>
  </w:style>
  <w:style w:type="paragraph" w:styleId="TOC2">
    <w:name w:val="toc 2"/>
    <w:basedOn w:val="TOC1"/>
    <w:semiHidden/>
    <w:rsid w:val="00A63872"/>
    <w:pPr>
      <w:keepNext w:val="0"/>
      <w:spacing w:before="0"/>
      <w:ind w:left="851" w:hanging="851"/>
    </w:pPr>
    <w:rPr>
      <w:sz w:val="20"/>
    </w:rPr>
  </w:style>
  <w:style w:type="paragraph" w:styleId="Index2">
    <w:name w:val="index 2"/>
    <w:basedOn w:val="Index1"/>
    <w:semiHidden/>
    <w:rsid w:val="00A63872"/>
    <w:pPr>
      <w:ind w:left="284"/>
    </w:pPr>
  </w:style>
  <w:style w:type="paragraph" w:styleId="Index1">
    <w:name w:val="index 1"/>
    <w:basedOn w:val="Normal"/>
    <w:semiHidden/>
    <w:rsid w:val="00A63872"/>
    <w:pPr>
      <w:keepLines/>
      <w:spacing w:after="0"/>
    </w:pPr>
  </w:style>
  <w:style w:type="paragraph" w:customStyle="1" w:styleId="ZH">
    <w:name w:val="ZH"/>
    <w:rsid w:val="00A63872"/>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T">
    <w:name w:val="TT"/>
    <w:basedOn w:val="Heading1"/>
    <w:next w:val="Normal"/>
    <w:rsid w:val="00A63872"/>
    <w:pPr>
      <w:outlineLvl w:val="9"/>
    </w:pPr>
  </w:style>
  <w:style w:type="paragraph" w:styleId="ListNumber2">
    <w:name w:val="List Number 2"/>
    <w:basedOn w:val="ListNumber"/>
    <w:rsid w:val="00A63872"/>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A63872"/>
    <w:pPr>
      <w:widowControl w:val="0"/>
      <w:overflowPunct w:val="0"/>
      <w:autoSpaceDE w:val="0"/>
      <w:autoSpaceDN w:val="0"/>
      <w:adjustRightInd w:val="0"/>
      <w:textAlignment w:val="baseline"/>
    </w:pPr>
    <w:rPr>
      <w:rFonts w:ascii="Arial" w:hAnsi="Arial"/>
      <w:b/>
      <w:noProof/>
      <w:sz w:val="18"/>
      <w:lang w:eastAsia="en-US"/>
    </w:rPr>
  </w:style>
  <w:style w:type="character" w:styleId="FootnoteReference">
    <w:name w:val="footnote reference"/>
    <w:rsid w:val="00A63872"/>
    <w:rPr>
      <w:b/>
      <w:position w:val="6"/>
      <w:sz w:val="16"/>
    </w:rPr>
  </w:style>
  <w:style w:type="paragraph" w:styleId="FootnoteText">
    <w:name w:val="footnote text"/>
    <w:basedOn w:val="Normal"/>
    <w:semiHidden/>
    <w:rsid w:val="00A63872"/>
    <w:pPr>
      <w:keepLines/>
      <w:spacing w:after="0"/>
      <w:ind w:left="454" w:hanging="454"/>
    </w:pPr>
    <w:rPr>
      <w:sz w:val="16"/>
    </w:rPr>
  </w:style>
  <w:style w:type="paragraph" w:customStyle="1" w:styleId="TAH">
    <w:name w:val="TAH"/>
    <w:basedOn w:val="TAC"/>
    <w:link w:val="TAHCar"/>
    <w:qFormat/>
    <w:rsid w:val="00A63872"/>
    <w:rPr>
      <w:b/>
    </w:rPr>
  </w:style>
  <w:style w:type="paragraph" w:customStyle="1" w:styleId="TAC">
    <w:name w:val="TAC"/>
    <w:basedOn w:val="TAL"/>
    <w:link w:val="TACChar"/>
    <w:qFormat/>
    <w:rsid w:val="00A63872"/>
    <w:pPr>
      <w:jc w:val="center"/>
    </w:pPr>
  </w:style>
  <w:style w:type="paragraph" w:customStyle="1" w:styleId="TF">
    <w:name w:val="TF"/>
    <w:basedOn w:val="TH"/>
    <w:rsid w:val="00A63872"/>
    <w:pPr>
      <w:keepNext w:val="0"/>
      <w:spacing w:before="0" w:after="240"/>
    </w:pPr>
  </w:style>
  <w:style w:type="paragraph" w:customStyle="1" w:styleId="NO">
    <w:name w:val="NO"/>
    <w:basedOn w:val="Normal"/>
    <w:rsid w:val="00A63872"/>
    <w:pPr>
      <w:keepLines/>
      <w:ind w:left="1135" w:hanging="851"/>
    </w:pPr>
  </w:style>
  <w:style w:type="paragraph" w:styleId="TOC9">
    <w:name w:val="toc 9"/>
    <w:basedOn w:val="TOC8"/>
    <w:semiHidden/>
    <w:rsid w:val="00A63872"/>
    <w:pPr>
      <w:ind w:left="1418" w:hanging="1418"/>
    </w:pPr>
  </w:style>
  <w:style w:type="paragraph" w:customStyle="1" w:styleId="EX">
    <w:name w:val="EX"/>
    <w:basedOn w:val="Normal"/>
    <w:rsid w:val="00A63872"/>
    <w:pPr>
      <w:keepLines/>
      <w:ind w:left="1702" w:hanging="1418"/>
    </w:pPr>
  </w:style>
  <w:style w:type="paragraph" w:customStyle="1" w:styleId="FP">
    <w:name w:val="FP"/>
    <w:basedOn w:val="Normal"/>
    <w:rsid w:val="00A63872"/>
    <w:pPr>
      <w:spacing w:after="0"/>
    </w:pPr>
  </w:style>
  <w:style w:type="paragraph" w:customStyle="1" w:styleId="LD">
    <w:name w:val="LD"/>
    <w:rsid w:val="00A63872"/>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NW">
    <w:name w:val="NW"/>
    <w:basedOn w:val="NO"/>
    <w:rsid w:val="00A63872"/>
    <w:pPr>
      <w:spacing w:after="0"/>
    </w:pPr>
  </w:style>
  <w:style w:type="paragraph" w:customStyle="1" w:styleId="EW">
    <w:name w:val="EW"/>
    <w:basedOn w:val="EX"/>
    <w:rsid w:val="00A63872"/>
    <w:pPr>
      <w:spacing w:after="0"/>
    </w:pPr>
  </w:style>
  <w:style w:type="paragraph" w:styleId="TOC6">
    <w:name w:val="toc 6"/>
    <w:basedOn w:val="TOC5"/>
    <w:next w:val="Normal"/>
    <w:semiHidden/>
    <w:rsid w:val="00A63872"/>
    <w:pPr>
      <w:ind w:left="1985" w:hanging="1985"/>
    </w:pPr>
  </w:style>
  <w:style w:type="paragraph" w:styleId="TOC7">
    <w:name w:val="toc 7"/>
    <w:basedOn w:val="TOC6"/>
    <w:next w:val="Normal"/>
    <w:semiHidden/>
    <w:rsid w:val="00A63872"/>
    <w:pPr>
      <w:ind w:left="2268" w:hanging="2268"/>
    </w:pPr>
  </w:style>
  <w:style w:type="paragraph" w:styleId="ListBullet2">
    <w:name w:val="List Bullet 2"/>
    <w:basedOn w:val="ListBullet"/>
    <w:rsid w:val="00A63872"/>
    <w:pPr>
      <w:ind w:left="851"/>
    </w:pPr>
  </w:style>
  <w:style w:type="paragraph" w:styleId="ListBullet3">
    <w:name w:val="List Bullet 3"/>
    <w:basedOn w:val="ListBullet2"/>
    <w:rsid w:val="00A63872"/>
    <w:pPr>
      <w:ind w:left="1135"/>
    </w:pPr>
  </w:style>
  <w:style w:type="paragraph" w:styleId="ListNumber">
    <w:name w:val="List Number"/>
    <w:basedOn w:val="List"/>
    <w:rsid w:val="00A63872"/>
  </w:style>
  <w:style w:type="paragraph" w:customStyle="1" w:styleId="EQ">
    <w:name w:val="EQ"/>
    <w:basedOn w:val="Normal"/>
    <w:next w:val="Normal"/>
    <w:uiPriority w:val="99"/>
    <w:qFormat/>
    <w:rsid w:val="00A63872"/>
    <w:pPr>
      <w:keepLines/>
      <w:tabs>
        <w:tab w:val="center" w:pos="4536"/>
        <w:tab w:val="right" w:pos="9072"/>
      </w:tabs>
    </w:pPr>
    <w:rPr>
      <w:noProof/>
    </w:rPr>
  </w:style>
  <w:style w:type="paragraph" w:customStyle="1" w:styleId="TH">
    <w:name w:val="TH"/>
    <w:basedOn w:val="Normal"/>
    <w:link w:val="THChar"/>
    <w:qFormat/>
    <w:rsid w:val="00A63872"/>
    <w:pPr>
      <w:keepNext/>
      <w:keepLines/>
      <w:spacing w:before="60"/>
      <w:jc w:val="center"/>
    </w:pPr>
    <w:rPr>
      <w:rFonts w:ascii="Arial" w:hAnsi="Arial"/>
      <w:b/>
    </w:rPr>
  </w:style>
  <w:style w:type="paragraph" w:customStyle="1" w:styleId="NF">
    <w:name w:val="NF"/>
    <w:basedOn w:val="NO"/>
    <w:rsid w:val="00A63872"/>
    <w:pPr>
      <w:keepNext/>
      <w:spacing w:after="0"/>
    </w:pPr>
    <w:rPr>
      <w:rFonts w:ascii="Arial" w:hAnsi="Arial"/>
      <w:sz w:val="18"/>
    </w:rPr>
  </w:style>
  <w:style w:type="paragraph" w:customStyle="1" w:styleId="PL">
    <w:name w:val="PL"/>
    <w:link w:val="PLChar"/>
    <w:qFormat/>
    <w:rsid w:val="00A6387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A63872"/>
    <w:pPr>
      <w:jc w:val="right"/>
    </w:pPr>
  </w:style>
  <w:style w:type="paragraph" w:customStyle="1" w:styleId="H6">
    <w:name w:val="H6"/>
    <w:basedOn w:val="Heading5"/>
    <w:next w:val="Normal"/>
    <w:rsid w:val="00A63872"/>
    <w:pPr>
      <w:ind w:left="1985" w:hanging="1985"/>
      <w:outlineLvl w:val="9"/>
    </w:pPr>
    <w:rPr>
      <w:sz w:val="20"/>
    </w:rPr>
  </w:style>
  <w:style w:type="paragraph" w:customStyle="1" w:styleId="TAN">
    <w:name w:val="TAN"/>
    <w:basedOn w:val="TAL"/>
    <w:rsid w:val="00A63872"/>
    <w:pPr>
      <w:ind w:left="851" w:hanging="851"/>
    </w:pPr>
  </w:style>
  <w:style w:type="paragraph" w:customStyle="1" w:styleId="TAL">
    <w:name w:val="TAL"/>
    <w:basedOn w:val="Normal"/>
    <w:link w:val="TALCar"/>
    <w:rsid w:val="00A63872"/>
    <w:pPr>
      <w:keepNext/>
      <w:keepLines/>
      <w:spacing w:after="0"/>
    </w:pPr>
    <w:rPr>
      <w:rFonts w:ascii="Arial" w:hAnsi="Arial"/>
      <w:sz w:val="18"/>
    </w:rPr>
  </w:style>
  <w:style w:type="paragraph" w:customStyle="1" w:styleId="ZA">
    <w:name w:val="ZA"/>
    <w:rsid w:val="00A6387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A6387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D">
    <w:name w:val="ZD"/>
    <w:rsid w:val="00A63872"/>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customStyle="1" w:styleId="ZU">
    <w:name w:val="ZU"/>
    <w:rsid w:val="00A6387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ZV">
    <w:name w:val="ZV"/>
    <w:basedOn w:val="ZU"/>
    <w:rsid w:val="00A63872"/>
    <w:pPr>
      <w:framePr w:wrap="notBeside" w:y="16161"/>
    </w:pPr>
  </w:style>
  <w:style w:type="character" w:customStyle="1" w:styleId="ZGSM">
    <w:name w:val="ZGSM"/>
    <w:rsid w:val="00A63872"/>
  </w:style>
  <w:style w:type="paragraph" w:styleId="List2">
    <w:name w:val="List 2"/>
    <w:basedOn w:val="List"/>
    <w:rsid w:val="00A63872"/>
    <w:pPr>
      <w:ind w:left="851"/>
    </w:pPr>
  </w:style>
  <w:style w:type="paragraph" w:customStyle="1" w:styleId="ZG">
    <w:name w:val="ZG"/>
    <w:rsid w:val="00A63872"/>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3">
    <w:name w:val="List 3"/>
    <w:basedOn w:val="List2"/>
    <w:rsid w:val="00A63872"/>
    <w:pPr>
      <w:ind w:left="1135"/>
    </w:pPr>
  </w:style>
  <w:style w:type="paragraph" w:styleId="List4">
    <w:name w:val="List 4"/>
    <w:basedOn w:val="List3"/>
    <w:rsid w:val="00A63872"/>
    <w:pPr>
      <w:ind w:left="1418"/>
    </w:pPr>
  </w:style>
  <w:style w:type="paragraph" w:styleId="List5">
    <w:name w:val="List 5"/>
    <w:basedOn w:val="List4"/>
    <w:rsid w:val="00A63872"/>
    <w:pPr>
      <w:ind w:left="1702"/>
    </w:pPr>
  </w:style>
  <w:style w:type="paragraph" w:customStyle="1" w:styleId="EditorsNote">
    <w:name w:val="Editor's Note"/>
    <w:basedOn w:val="NO"/>
    <w:rsid w:val="00A63872"/>
    <w:rPr>
      <w:color w:val="FF0000"/>
    </w:rPr>
  </w:style>
  <w:style w:type="paragraph" w:styleId="List">
    <w:name w:val="List"/>
    <w:basedOn w:val="Normal"/>
    <w:rsid w:val="00A63872"/>
    <w:pPr>
      <w:ind w:left="568" w:hanging="284"/>
    </w:pPr>
  </w:style>
  <w:style w:type="paragraph" w:styleId="ListBullet">
    <w:name w:val="List Bullet"/>
    <w:basedOn w:val="List"/>
    <w:rsid w:val="00A63872"/>
  </w:style>
  <w:style w:type="paragraph" w:styleId="ListBullet4">
    <w:name w:val="List Bullet 4"/>
    <w:basedOn w:val="ListBullet3"/>
    <w:rsid w:val="00A63872"/>
    <w:pPr>
      <w:ind w:left="1418"/>
    </w:pPr>
  </w:style>
  <w:style w:type="paragraph" w:styleId="ListBullet5">
    <w:name w:val="List Bullet 5"/>
    <w:basedOn w:val="ListBullet4"/>
    <w:rsid w:val="00A63872"/>
    <w:pPr>
      <w:ind w:left="1702"/>
    </w:pPr>
  </w:style>
  <w:style w:type="paragraph" w:customStyle="1" w:styleId="B1">
    <w:name w:val="B1"/>
    <w:basedOn w:val="List"/>
    <w:link w:val="B1Char1"/>
    <w:qFormat/>
    <w:rsid w:val="00A63872"/>
  </w:style>
  <w:style w:type="paragraph" w:customStyle="1" w:styleId="B2">
    <w:name w:val="B2"/>
    <w:basedOn w:val="List2"/>
    <w:link w:val="B2Char"/>
    <w:qFormat/>
    <w:rsid w:val="00A63872"/>
  </w:style>
  <w:style w:type="paragraph" w:customStyle="1" w:styleId="B3">
    <w:name w:val="B3"/>
    <w:basedOn w:val="List3"/>
    <w:rsid w:val="00A63872"/>
  </w:style>
  <w:style w:type="paragraph" w:customStyle="1" w:styleId="B4">
    <w:name w:val="B4"/>
    <w:basedOn w:val="List4"/>
    <w:rsid w:val="00A63872"/>
  </w:style>
  <w:style w:type="paragraph" w:customStyle="1" w:styleId="B5">
    <w:name w:val="B5"/>
    <w:basedOn w:val="List5"/>
    <w:rsid w:val="00A63872"/>
  </w:style>
  <w:style w:type="paragraph" w:styleId="Footer">
    <w:name w:val="footer"/>
    <w:basedOn w:val="Header"/>
    <w:link w:val="FooterChar"/>
    <w:uiPriority w:val="99"/>
    <w:rsid w:val="00A63872"/>
    <w:pPr>
      <w:jc w:val="center"/>
    </w:pPr>
    <w:rPr>
      <w:i/>
      <w:lang w:val="x-none" w:eastAsia="x-none"/>
    </w:rPr>
  </w:style>
  <w:style w:type="paragraph" w:customStyle="1" w:styleId="ZTD">
    <w:name w:val="ZTD"/>
    <w:basedOn w:val="ZB"/>
    <w:rsid w:val="00A63872"/>
    <w:pPr>
      <w:framePr w:hRule="auto" w:wrap="notBeside" w:y="852"/>
    </w:pPr>
    <w:rPr>
      <w:i w:val="0"/>
      <w:sz w:val="40"/>
    </w:rPr>
  </w:style>
  <w:style w:type="character" w:customStyle="1" w:styleId="MTEquationSection">
    <w:name w:val="MTEquationSection"/>
    <w:rPr>
      <w:rFonts w:ascii="Arial" w:hAnsi="Arial"/>
      <w:vanish/>
      <w:color w:val="FF0000"/>
      <w:sz w:val="24"/>
    </w:rPr>
  </w:style>
  <w:style w:type="paragraph" w:styleId="BodyText3">
    <w:name w:val="Body Text 3"/>
    <w:basedOn w:val="Normal"/>
    <w:rPr>
      <w:i/>
    </w:rPr>
  </w:style>
  <w:style w:type="paragraph" w:styleId="DocumentMap">
    <w:name w:val="Document Map"/>
    <w:basedOn w:val="Normal"/>
    <w:semiHidden/>
    <w:pPr>
      <w:shd w:val="clear" w:color="auto" w:fill="000080"/>
    </w:pPr>
    <w:rPr>
      <w:rFonts w:ascii="Tahoma" w:hAnsi="Tahoma"/>
    </w:rPr>
  </w:style>
  <w:style w:type="paragraph" w:customStyle="1" w:styleId="Bulletedo1">
    <w:name w:val="Bulleted o 1"/>
    <w:basedOn w:val="Normal"/>
    <w:pPr>
      <w:numPr>
        <w:numId w:val="1"/>
      </w:numPr>
    </w:pPr>
  </w:style>
  <w:style w:type="paragraph" w:customStyle="1" w:styleId="text">
    <w:name w:val="text"/>
    <w:basedOn w:val="Normal"/>
    <w:link w:val="textChar"/>
    <w:qFormat/>
    <w:pPr>
      <w:spacing w:after="240"/>
      <w:jc w:val="both"/>
    </w:pPr>
    <w:rPr>
      <w:sz w:val="24"/>
      <w:lang w:val="en-US" w:eastAsia="zh-CN"/>
    </w:rPr>
  </w:style>
  <w:style w:type="paragraph" w:customStyle="1" w:styleId="Equation">
    <w:name w:val="Equation"/>
    <w:basedOn w:val="Normal"/>
    <w:next w:val="Normal"/>
    <w:pPr>
      <w:tabs>
        <w:tab w:val="right" w:pos="10206"/>
      </w:tabs>
      <w:spacing w:after="220"/>
      <w:ind w:left="1298"/>
    </w:pPr>
    <w:rPr>
      <w:rFonts w:ascii="Arial" w:hAnsi="Arial"/>
      <w:sz w:val="22"/>
      <w:lang w:val="en-US" w:eastAsia="zh-CN"/>
    </w:rPr>
  </w:style>
  <w:style w:type="paragraph" w:customStyle="1" w:styleId="00BodyText">
    <w:name w:val="00 BodyText"/>
    <w:basedOn w:val="Normal"/>
    <w:pPr>
      <w:spacing w:after="220"/>
    </w:pPr>
    <w:rPr>
      <w:rFonts w:ascii="Arial" w:hAnsi="Arial"/>
      <w:sz w:val="22"/>
      <w:lang w:val="en-US"/>
    </w:rPr>
  </w:style>
  <w:style w:type="paragraph" w:customStyle="1" w:styleId="11BodyText">
    <w:name w:val="11 BodyText"/>
    <w:basedOn w:val="Normal"/>
    <w:pPr>
      <w:spacing w:after="220"/>
      <w:ind w:left="1298"/>
    </w:pPr>
    <w:rPr>
      <w:rFonts w:ascii="Arial" w:hAnsi="Arial"/>
      <w:sz w:val="22"/>
      <w:lang w:val="en-US"/>
    </w:rPr>
  </w:style>
  <w:style w:type="paragraph" w:customStyle="1" w:styleId="table">
    <w:name w:val="table"/>
    <w:basedOn w:val="text"/>
    <w:next w:val="text"/>
    <w:pPr>
      <w:spacing w:after="0"/>
      <w:jc w:val="center"/>
    </w:pPr>
    <w:rPr>
      <w:sz w:val="20"/>
    </w:rPr>
  </w:style>
  <w:style w:type="paragraph" w:styleId="Caption">
    <w:name w:val="caption"/>
    <w:aliases w:val="cap,cap Char,Caption Char1 Char,cap Char Char1,Caption Char Char1 Char,cap Char2,3GPP Caption Table,Ca,cap1,cap2,cap11,Légende-figure,Légende-figure Char,Beschrifubg,Beschriftung Char,label,cap11 Char Char Char,captions,Beschriftung Char Char,条目"/>
    <w:basedOn w:val="Normal"/>
    <w:next w:val="Normal"/>
    <w:link w:val="CaptionChar"/>
    <w:qFormat/>
    <w:pPr>
      <w:spacing w:before="120" w:after="120"/>
    </w:pPr>
    <w:rPr>
      <w:b/>
      <w:bCs/>
    </w:rPr>
  </w:style>
  <w:style w:type="paragraph" w:customStyle="1" w:styleId="bodyCharCharChar">
    <w:name w:val="body Char Char Char"/>
    <w:basedOn w:val="Normal"/>
    <w:pPr>
      <w:tabs>
        <w:tab w:val="left" w:pos="2160"/>
      </w:tabs>
      <w:spacing w:before="120" w:after="120" w:line="280" w:lineRule="atLeast"/>
      <w:jc w:val="both"/>
    </w:pPr>
    <w:rPr>
      <w:rFonts w:ascii="New York" w:hAnsi="New York"/>
      <w:sz w:val="24"/>
      <w:lang w:val="en-US"/>
    </w:rPr>
  </w:style>
  <w:style w:type="paragraph" w:styleId="BodyText">
    <w:name w:val="Body Text"/>
    <w:aliases w:val="bt"/>
    <w:basedOn w:val="Normal"/>
    <w:link w:val="BodyTextChar"/>
    <w:pPr>
      <w:spacing w:after="120"/>
      <w:jc w:val="both"/>
    </w:pPr>
    <w:rPr>
      <w:rFonts w:ascii="Times" w:hAnsi="Times"/>
      <w:szCs w:val="24"/>
      <w:lang w:val="en-US"/>
    </w:rPr>
  </w:style>
  <w:style w:type="paragraph" w:styleId="BodyText2">
    <w:name w:val="Body Text 2"/>
    <w:basedOn w:val="Normal"/>
    <w:pPr>
      <w:tabs>
        <w:tab w:val="left" w:pos="1985"/>
      </w:tabs>
      <w:spacing w:after="0"/>
      <w:jc w:val="both"/>
    </w:pPr>
    <w:rPr>
      <w:rFonts w:ascii="Arial" w:hAnsi="Arial"/>
      <w:sz w:val="22"/>
    </w:rPr>
  </w:style>
  <w:style w:type="character" w:customStyle="1" w:styleId="Heading1Char">
    <w:name w:val="Heading 1 Char"/>
    <w:rPr>
      <w:rFonts w:ascii="Arial" w:hAnsi="Arial"/>
      <w:sz w:val="36"/>
      <w:lang w:val="en-GB" w:eastAsia="en-US" w:bidi="ar-SA"/>
    </w:rPr>
  </w:style>
  <w:style w:type="paragraph" w:customStyle="1" w:styleId="body">
    <w:name w:val="body"/>
    <w:basedOn w:val="Normal"/>
    <w:pPr>
      <w:tabs>
        <w:tab w:val="left" w:pos="2160"/>
      </w:tabs>
      <w:spacing w:before="120" w:after="120" w:line="280" w:lineRule="atLeast"/>
      <w:jc w:val="both"/>
    </w:pPr>
    <w:rPr>
      <w:rFonts w:ascii="New York" w:hAnsi="New York"/>
      <w:sz w:val="24"/>
      <w:lang w:val="en-US"/>
    </w:rPr>
  </w:style>
  <w:style w:type="table" w:styleId="TableGrid">
    <w:name w:val="Table Grid"/>
    <w:basedOn w:val="TableNormal"/>
    <w:rsid w:val="00272FEB"/>
    <w:pPr>
      <w:spacing w:before="120" w:line="280" w:lineRule="atLeast"/>
      <w:jc w:val="both"/>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rsid w:val="00505E39"/>
  </w:style>
  <w:style w:type="character" w:styleId="CommentReference">
    <w:name w:val="annotation reference"/>
    <w:qFormat/>
    <w:rsid w:val="00A10B48"/>
    <w:rPr>
      <w:sz w:val="16"/>
      <w:szCs w:val="16"/>
    </w:rPr>
  </w:style>
  <w:style w:type="paragraph" w:styleId="CommentText">
    <w:name w:val="annotation text"/>
    <w:basedOn w:val="Normal"/>
    <w:link w:val="CommentTextChar"/>
    <w:uiPriority w:val="99"/>
    <w:qFormat/>
    <w:rsid w:val="00A10B48"/>
    <w:rPr>
      <w:lang w:eastAsia="x-none"/>
    </w:rPr>
  </w:style>
  <w:style w:type="paragraph" w:styleId="CommentSubject">
    <w:name w:val="annotation subject"/>
    <w:basedOn w:val="CommentText"/>
    <w:next w:val="CommentText"/>
    <w:semiHidden/>
    <w:rsid w:val="00A10B48"/>
    <w:rPr>
      <w:b/>
      <w:bCs/>
    </w:rPr>
  </w:style>
  <w:style w:type="paragraph" w:styleId="BalloonText">
    <w:name w:val="Balloon Text"/>
    <w:basedOn w:val="Normal"/>
    <w:semiHidden/>
    <w:rsid w:val="00A10B48"/>
    <w:rPr>
      <w:rFonts w:ascii="Tahoma" w:hAnsi="Tahoma" w:cs="Tahoma"/>
      <w:sz w:val="16"/>
      <w:szCs w:val="16"/>
    </w:rPr>
  </w:style>
  <w:style w:type="paragraph" w:customStyle="1" w:styleId="CRCoverPage">
    <w:name w:val="CR Cover Page"/>
    <w:rsid w:val="00F6433C"/>
    <w:pPr>
      <w:spacing w:after="120"/>
    </w:pPr>
    <w:rPr>
      <w:rFonts w:ascii="Arial" w:eastAsia="MS Mincho" w:hAnsi="Arial"/>
      <w:lang w:val="en-GB" w:eastAsia="en-US"/>
    </w:rPr>
  </w:style>
  <w:style w:type="character" w:customStyle="1" w:styleId="Heading1Char1">
    <w:name w:val="Heading 1 Char1"/>
    <w:link w:val="Heading1"/>
    <w:rsid w:val="00184F51"/>
    <w:rPr>
      <w:rFonts w:ascii="Arial" w:hAnsi="Arial"/>
      <w:sz w:val="36"/>
      <w:lang w:val="en-GB" w:eastAsia="en-US"/>
    </w:rPr>
  </w:style>
  <w:style w:type="character" w:customStyle="1" w:styleId="Heading2Char">
    <w:name w:val="Heading 2 Char"/>
    <w:link w:val="Heading2"/>
    <w:rsid w:val="00184F51"/>
    <w:rPr>
      <w:rFonts w:ascii="Arial" w:hAnsi="Arial"/>
      <w:sz w:val="32"/>
      <w:lang w:val="en-GB" w:eastAsia="en-US"/>
    </w:rPr>
  </w:style>
  <w:style w:type="character" w:customStyle="1" w:styleId="Heading3Char">
    <w:name w:val="Heading 3 Char"/>
    <w:link w:val="Heading3"/>
    <w:rsid w:val="00184F51"/>
    <w:rPr>
      <w:rFonts w:ascii="Arial" w:hAnsi="Arial"/>
      <w:sz w:val="28"/>
      <w:lang w:val="en-GB" w:eastAsia="en-US"/>
    </w:rPr>
  </w:style>
  <w:style w:type="character" w:customStyle="1" w:styleId="Heading4Char">
    <w:name w:val="Heading 4 Char"/>
    <w:aliases w:val="h4 Char"/>
    <w:link w:val="Heading4"/>
    <w:rsid w:val="00184F51"/>
    <w:rPr>
      <w:rFonts w:ascii="Arial" w:hAnsi="Arial"/>
      <w:sz w:val="24"/>
      <w:lang w:val="en-GB" w:eastAsia="en-US"/>
    </w:rPr>
  </w:style>
  <w:style w:type="character" w:customStyle="1" w:styleId="Heading5Char">
    <w:name w:val="Heading 5 Char"/>
    <w:link w:val="Heading5"/>
    <w:rsid w:val="00184F51"/>
    <w:rPr>
      <w:rFonts w:ascii="Arial" w:hAnsi="Arial"/>
      <w:sz w:val="22"/>
      <w:lang w:val="en-GB" w:eastAsia="en-US"/>
    </w:rPr>
  </w:style>
  <w:style w:type="character" w:customStyle="1" w:styleId="CharChar3">
    <w:name w:val="Char Char3"/>
    <w:rsid w:val="00D07DCA"/>
    <w:rPr>
      <w:rFonts w:ascii="Arial" w:hAnsi="Arial"/>
      <w:sz w:val="36"/>
      <w:lang w:val="en-GB" w:eastAsia="en-US" w:bidi="ar-SA"/>
    </w:rPr>
  </w:style>
  <w:style w:type="character" w:customStyle="1" w:styleId="CharChar2">
    <w:name w:val="Char Char2"/>
    <w:rsid w:val="00D07DCA"/>
    <w:rPr>
      <w:rFonts w:ascii="Arial" w:hAnsi="Arial"/>
      <w:sz w:val="32"/>
      <w:lang w:val="en-GB" w:eastAsia="en-US" w:bidi="ar-SA"/>
    </w:rPr>
  </w:style>
  <w:style w:type="character" w:customStyle="1" w:styleId="CharChar1">
    <w:name w:val="Char Char1"/>
    <w:rsid w:val="00D07DCA"/>
    <w:rPr>
      <w:rFonts w:ascii="Arial" w:hAnsi="Arial"/>
      <w:sz w:val="28"/>
      <w:lang w:val="en-GB" w:eastAsia="en-US" w:bidi="ar-SA"/>
    </w:rPr>
  </w:style>
  <w:style w:type="character" w:customStyle="1" w:styleId="h4CharChar">
    <w:name w:val="h4 Char Char"/>
    <w:rsid w:val="00D07DCA"/>
    <w:rPr>
      <w:rFonts w:ascii="Arial" w:hAnsi="Arial"/>
      <w:sz w:val="24"/>
      <w:lang w:val="en-GB" w:eastAsia="en-US" w:bidi="ar-SA"/>
    </w:rPr>
  </w:style>
  <w:style w:type="character" w:customStyle="1" w:styleId="CharChar">
    <w:name w:val="Char Char"/>
    <w:rsid w:val="00D07DCA"/>
    <w:rPr>
      <w:rFonts w:ascii="Arial" w:hAnsi="Arial"/>
      <w:sz w:val="22"/>
      <w:lang w:val="en-GB" w:eastAsia="en-US" w:bidi="ar-SA"/>
    </w:rPr>
  </w:style>
  <w:style w:type="paragraph" w:styleId="ListParagraph">
    <w:name w:val="List Paragraph"/>
    <w:aliases w:val="- Bullets,목록 단락,リスト段落,列出段落,Lista1,?? ??,?????,????,列出段落1,中等深浅网格 1 - 着色 21,列表段落,¥¡¡¡¡ì¬º¥¹¥È¶ÎÂä,ÁÐ³ö¶ÎÂä,列表段落1,—ño’i—Ž,¥ê¥¹¥È¶ÎÂä,1st level - Bullet List Paragraph,Lettre d'introduction,Paragrafo elenco,Normal bullet 2,Bullet list,목록단락,列"/>
    <w:basedOn w:val="Normal"/>
    <w:link w:val="ListParagraphChar"/>
    <w:uiPriority w:val="34"/>
    <w:qFormat/>
    <w:rsid w:val="009C2192"/>
    <w:pPr>
      <w:numPr>
        <w:numId w:val="16"/>
      </w:numPr>
      <w:overflowPunct/>
      <w:autoSpaceDE/>
      <w:autoSpaceDN/>
      <w:adjustRightInd/>
      <w:spacing w:after="0"/>
      <w:textAlignment w:val="auto"/>
    </w:pPr>
    <w:rPr>
      <w:rFonts w:eastAsia="Calibri"/>
      <w:i/>
      <w:iCs/>
      <w:lang w:val="en-US"/>
    </w:rPr>
  </w:style>
  <w:style w:type="paragraph" w:customStyle="1" w:styleId="Reference">
    <w:name w:val="Reference"/>
    <w:basedOn w:val="EX"/>
    <w:rsid w:val="000A7C88"/>
    <w:pPr>
      <w:tabs>
        <w:tab w:val="num" w:pos="360"/>
      </w:tabs>
      <w:suppressAutoHyphens/>
      <w:autoSpaceDN/>
      <w:adjustRightInd/>
      <w:ind w:left="0" w:firstLine="0"/>
    </w:pPr>
    <w:rPr>
      <w:lang w:eastAsia="ar-SA"/>
    </w:rPr>
  </w:style>
  <w:style w:type="paragraph" w:styleId="Subtitle">
    <w:name w:val="Subtitle"/>
    <w:basedOn w:val="Normal"/>
    <w:next w:val="Normal"/>
    <w:link w:val="SubtitleChar"/>
    <w:qFormat/>
    <w:rsid w:val="005D609E"/>
    <w:pPr>
      <w:spacing w:after="60"/>
      <w:jc w:val="center"/>
      <w:outlineLvl w:val="1"/>
    </w:pPr>
    <w:rPr>
      <w:rFonts w:ascii="Cambria" w:eastAsia="Times New Roman" w:hAnsi="Cambria"/>
      <w:sz w:val="24"/>
      <w:szCs w:val="24"/>
      <w:lang w:eastAsia="x-none"/>
    </w:rPr>
  </w:style>
  <w:style w:type="character" w:customStyle="1" w:styleId="SubtitleChar">
    <w:name w:val="Subtitle Char"/>
    <w:link w:val="Subtitle"/>
    <w:rsid w:val="005D609E"/>
    <w:rPr>
      <w:rFonts w:ascii="Cambria" w:eastAsia="Times New Roman" w:hAnsi="Cambria" w:cs="Times New Roman"/>
      <w:sz w:val="24"/>
      <w:szCs w:val="24"/>
      <w:lang w:val="en-GB"/>
    </w:rPr>
  </w:style>
  <w:style w:type="paragraph" w:styleId="Revision">
    <w:name w:val="Revision"/>
    <w:hidden/>
    <w:uiPriority w:val="99"/>
    <w:semiHidden/>
    <w:rsid w:val="00F1403E"/>
    <w:rPr>
      <w:rFonts w:ascii="Times New Roman" w:hAnsi="Times New Roman"/>
      <w:lang w:val="en-GB" w:eastAsia="en-US"/>
    </w:rPr>
  </w:style>
  <w:style w:type="paragraph" w:styleId="NormalWeb">
    <w:name w:val="Normal (Web)"/>
    <w:basedOn w:val="Normal"/>
    <w:uiPriority w:val="99"/>
    <w:unhideWhenUsed/>
    <w:rsid w:val="00D80C93"/>
    <w:pPr>
      <w:overflowPunct/>
      <w:autoSpaceDE/>
      <w:autoSpaceDN/>
      <w:adjustRightInd/>
      <w:spacing w:before="100" w:beforeAutospacing="1" w:after="100" w:afterAutospacing="1"/>
      <w:textAlignment w:val="auto"/>
    </w:pPr>
    <w:rPr>
      <w:sz w:val="24"/>
      <w:szCs w:val="24"/>
      <w:lang w:val="en-US"/>
    </w:rPr>
  </w:style>
  <w:style w:type="character" w:customStyle="1" w:styleId="CommentTextChar">
    <w:name w:val="Comment Text Char"/>
    <w:link w:val="CommentText"/>
    <w:uiPriority w:val="99"/>
    <w:qFormat/>
    <w:rsid w:val="00552FF4"/>
    <w:rPr>
      <w:rFonts w:ascii="Times New Roman" w:hAnsi="Times New Roman"/>
      <w:lang w:val="en-GB"/>
    </w:rPr>
  </w:style>
  <w:style w:type="character" w:styleId="PlaceholderText">
    <w:name w:val="Placeholder Text"/>
    <w:uiPriority w:val="99"/>
    <w:semiHidden/>
    <w:rsid w:val="006601F9"/>
    <w:rPr>
      <w:color w:val="808080"/>
    </w:rPr>
  </w:style>
  <w:style w:type="character" w:styleId="Hyperlink">
    <w:name w:val="Hyperlink"/>
    <w:uiPriority w:val="99"/>
    <w:qFormat/>
    <w:rsid w:val="00EE0E09"/>
    <w:rPr>
      <w:color w:val="0000FF"/>
      <w:u w:val="single"/>
    </w:rPr>
  </w:style>
  <w:style w:type="character" w:styleId="FollowedHyperlink">
    <w:name w:val="FollowedHyperlink"/>
    <w:rsid w:val="00EE0E09"/>
    <w:rPr>
      <w:color w:val="800080"/>
      <w:u w:val="single"/>
    </w:rPr>
  </w:style>
  <w:style w:type="table" w:styleId="DarkList-Accent6">
    <w:name w:val="Dark List Accent 6"/>
    <w:basedOn w:val="TableNormal"/>
    <w:uiPriority w:val="70"/>
    <w:rsid w:val="00D3668C"/>
    <w:rPr>
      <w:color w:val="FFFFFF"/>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character" w:customStyle="1" w:styleId="FooterChar">
    <w:name w:val="Footer Char"/>
    <w:link w:val="Footer"/>
    <w:uiPriority w:val="99"/>
    <w:rsid w:val="0002790C"/>
    <w:rPr>
      <w:rFonts w:ascii="Arial" w:hAnsi="Arial"/>
      <w:b/>
      <w:i/>
      <w:noProof/>
      <w:sz w:val="18"/>
    </w:rPr>
  </w:style>
  <w:style w:type="paragraph" w:customStyle="1" w:styleId="a1">
    <w:name w:val="样式 页眉"/>
    <w:basedOn w:val="Header"/>
    <w:link w:val="Char"/>
    <w:rsid w:val="008E1294"/>
    <w:rPr>
      <w:rFonts w:eastAsia="Arial"/>
      <w:bCs/>
      <w:sz w:val="22"/>
      <w:lang w:val="en-GB"/>
    </w:rPr>
  </w:style>
  <w:style w:type="character" w:customStyle="1" w:styleId="Char">
    <w:name w:val="样式 页眉 Char"/>
    <w:link w:val="a1"/>
    <w:rsid w:val="008E1294"/>
    <w:rPr>
      <w:rFonts w:ascii="Arial" w:eastAsia="Arial" w:hAnsi="Arial"/>
      <w:b/>
      <w:bCs/>
      <w:noProof/>
      <w:sz w:val="22"/>
      <w:lang w:val="en-GB" w:eastAsia="en-US"/>
    </w:rPr>
  </w:style>
  <w:style w:type="paragraph" w:customStyle="1" w:styleId="StatementHeading">
    <w:name w:val="Statement Heading"/>
    <w:basedOn w:val="Normal"/>
    <w:next w:val="StatementBody"/>
    <w:qFormat/>
    <w:rsid w:val="00792F7F"/>
    <w:pPr>
      <w:keepNext/>
      <w:overflowPunct/>
      <w:autoSpaceDE/>
      <w:autoSpaceDN/>
      <w:adjustRightInd/>
      <w:spacing w:before="100" w:beforeAutospacing="1" w:after="0"/>
      <w:ind w:left="601" w:hanging="601"/>
      <w:textAlignment w:val="auto"/>
    </w:pPr>
    <w:rPr>
      <w:rFonts w:eastAsia="Batang"/>
      <w:b/>
      <w:i/>
      <w:szCs w:val="24"/>
      <w:lang w:val="en-US" w:eastAsia="ko-KR"/>
    </w:rPr>
  </w:style>
  <w:style w:type="paragraph" w:customStyle="1" w:styleId="StatementBody">
    <w:name w:val="Statement Body"/>
    <w:basedOn w:val="Bibliography"/>
    <w:link w:val="StatementBodyChar"/>
    <w:rsid w:val="00792F7F"/>
    <w:pPr>
      <w:numPr>
        <w:numId w:val="2"/>
      </w:numPr>
      <w:overflowPunct/>
      <w:autoSpaceDE/>
      <w:autoSpaceDN/>
      <w:adjustRightInd/>
      <w:spacing w:after="100" w:afterAutospacing="1"/>
      <w:contextualSpacing/>
      <w:textAlignment w:val="auto"/>
    </w:pPr>
    <w:rPr>
      <w:rFonts w:eastAsia="Times New Roman"/>
      <w:szCs w:val="24"/>
      <w:lang w:val="en-US" w:eastAsia="ko-KR"/>
    </w:rPr>
  </w:style>
  <w:style w:type="character" w:customStyle="1" w:styleId="StatementBodyChar">
    <w:name w:val="Statement Body Char"/>
    <w:link w:val="StatementBody"/>
    <w:rsid w:val="00792F7F"/>
    <w:rPr>
      <w:rFonts w:ascii="Times New Roman" w:eastAsia="Times New Roman" w:hAnsi="Times New Roman"/>
      <w:szCs w:val="24"/>
      <w:lang w:eastAsia="ko-KR"/>
    </w:rPr>
  </w:style>
  <w:style w:type="paragraph" w:styleId="Bibliography">
    <w:name w:val="Bibliography"/>
    <w:basedOn w:val="Normal"/>
    <w:next w:val="Normal"/>
    <w:uiPriority w:val="37"/>
    <w:semiHidden/>
    <w:unhideWhenUsed/>
    <w:rsid w:val="00792F7F"/>
  </w:style>
  <w:style w:type="character" w:customStyle="1" w:styleId="CaptionChar">
    <w:name w:val="Caption Char"/>
    <w:aliases w:val="cap Char1,cap Char Char,Caption Char1 Char Char,cap Char Char1 Char,Caption Char Char1 Char Char,cap Char2 Char,3GPP Caption Table Char,Ca Char,cap1 Char,cap2 Char,cap11 Char,Légende-figure Char1,Légende-figure Char Char,Beschrifubg Char"/>
    <w:link w:val="Caption"/>
    <w:locked/>
    <w:rsid w:val="006B2744"/>
    <w:rPr>
      <w:rFonts w:ascii="Times New Roman" w:hAnsi="Times New Roman"/>
      <w:b/>
      <w:bCs/>
      <w:lang w:val="en-GB" w:eastAsia="en-US"/>
    </w:rPr>
  </w:style>
  <w:style w:type="character" w:customStyle="1" w:styleId="PLChar">
    <w:name w:val="PL Char"/>
    <w:link w:val="PL"/>
    <w:qFormat/>
    <w:rsid w:val="002D4C64"/>
    <w:rPr>
      <w:rFonts w:ascii="Courier New" w:hAnsi="Courier New"/>
      <w:noProof/>
      <w:sz w:val="16"/>
      <w:lang w:val="en-US" w:eastAsia="en-US" w:bidi="ar-SA"/>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locked/>
    <w:rsid w:val="00500D5B"/>
    <w:rPr>
      <w:rFonts w:ascii="Arial" w:hAnsi="Arial"/>
      <w:b/>
      <w:noProof/>
      <w:sz w:val="18"/>
      <w:lang w:val="en-US" w:eastAsia="en-US" w:bidi="ar-SA"/>
    </w:rPr>
  </w:style>
  <w:style w:type="paragraph" w:customStyle="1" w:styleId="equation0">
    <w:name w:val="equation"/>
    <w:basedOn w:val="Normal"/>
    <w:uiPriority w:val="99"/>
    <w:rsid w:val="002D620D"/>
    <w:pPr>
      <w:tabs>
        <w:tab w:val="center" w:pos="2520"/>
        <w:tab w:val="right" w:pos="5040"/>
      </w:tabs>
      <w:overflowPunct/>
      <w:autoSpaceDE/>
      <w:autoSpaceDN/>
      <w:adjustRightInd/>
      <w:spacing w:before="240" w:after="240" w:line="216" w:lineRule="auto"/>
      <w:jc w:val="center"/>
      <w:textAlignment w:val="auto"/>
    </w:pPr>
    <w:rPr>
      <w:rFonts w:ascii="Symbol" w:eastAsia="Times New Roman" w:hAnsi="Symbol" w:cs="Symbol"/>
      <w:lang w:val="en-US"/>
    </w:rPr>
  </w:style>
  <w:style w:type="paragraph" w:customStyle="1" w:styleId="tablecolhead">
    <w:name w:val="table col head"/>
    <w:basedOn w:val="Normal"/>
    <w:uiPriority w:val="99"/>
    <w:rsid w:val="000A310F"/>
    <w:pPr>
      <w:overflowPunct/>
      <w:autoSpaceDE/>
      <w:autoSpaceDN/>
      <w:adjustRightInd/>
      <w:spacing w:after="0"/>
      <w:jc w:val="center"/>
      <w:textAlignment w:val="auto"/>
    </w:pPr>
    <w:rPr>
      <w:rFonts w:eastAsia="Times New Roman"/>
      <w:b/>
      <w:bCs/>
      <w:sz w:val="16"/>
      <w:szCs w:val="16"/>
      <w:lang w:val="en-US"/>
    </w:rPr>
  </w:style>
  <w:style w:type="paragraph" w:customStyle="1" w:styleId="tablecopy">
    <w:name w:val="table copy"/>
    <w:uiPriority w:val="99"/>
    <w:rsid w:val="000A310F"/>
    <w:pPr>
      <w:jc w:val="both"/>
    </w:pPr>
    <w:rPr>
      <w:rFonts w:ascii="Times New Roman" w:eastAsia="Times New Roman" w:hAnsi="Times New Roman"/>
      <w:noProof/>
      <w:sz w:val="16"/>
      <w:szCs w:val="16"/>
      <w:lang w:eastAsia="en-US"/>
    </w:rPr>
  </w:style>
  <w:style w:type="character" w:customStyle="1" w:styleId="TALCar">
    <w:name w:val="TAL Car"/>
    <w:link w:val="TAL"/>
    <w:rsid w:val="00D53658"/>
    <w:rPr>
      <w:rFonts w:ascii="Arial" w:hAnsi="Arial"/>
      <w:sz w:val="18"/>
      <w:lang w:val="en-GB"/>
    </w:rPr>
  </w:style>
  <w:style w:type="character" w:customStyle="1" w:styleId="THChar">
    <w:name w:val="TH Char"/>
    <w:link w:val="TH"/>
    <w:qFormat/>
    <w:locked/>
    <w:rsid w:val="00691D23"/>
    <w:rPr>
      <w:rFonts w:ascii="Arial" w:hAnsi="Arial"/>
      <w:b/>
      <w:lang w:val="en-GB"/>
    </w:rPr>
  </w:style>
  <w:style w:type="character" w:customStyle="1" w:styleId="B1Char1">
    <w:name w:val="B1 Char1"/>
    <w:link w:val="B1"/>
    <w:rsid w:val="00CC4FF9"/>
    <w:rPr>
      <w:rFonts w:ascii="Times New Roman" w:hAnsi="Times New Roman"/>
      <w:lang w:val="en-GB"/>
    </w:rPr>
  </w:style>
  <w:style w:type="paragraph" w:customStyle="1" w:styleId="NormalsmallspacingBold">
    <w:name w:val="Normal + small spacing + Bold"/>
    <w:basedOn w:val="Normal"/>
    <w:rsid w:val="00597097"/>
    <w:pPr>
      <w:spacing w:before="40" w:after="40"/>
      <w:textAlignment w:val="auto"/>
    </w:pPr>
    <w:rPr>
      <w:rFonts w:eastAsia="Times New Roman"/>
      <w:b/>
      <w:bCs/>
    </w:rPr>
  </w:style>
  <w:style w:type="paragraph" w:customStyle="1" w:styleId="CharCharCharCharCharChar1CharChar">
    <w:name w:val="Char Char Char Char Char Char1 Char Char"/>
    <w:next w:val="Normal"/>
    <w:semiHidden/>
    <w:rsid w:val="00EE52B9"/>
    <w:pPr>
      <w:keepNext/>
      <w:tabs>
        <w:tab w:val="num" w:pos="720"/>
      </w:tabs>
      <w:autoSpaceDE w:val="0"/>
      <w:autoSpaceDN w:val="0"/>
      <w:adjustRightInd w:val="0"/>
      <w:ind w:left="720" w:hanging="360"/>
      <w:jc w:val="both"/>
    </w:pPr>
    <w:rPr>
      <w:rFonts w:ascii="Times New Roman" w:eastAsia="Times New Roman" w:hAnsi="Times New Roman"/>
      <w:kern w:val="2"/>
      <w:lang w:val="en-GB"/>
    </w:rPr>
  </w:style>
  <w:style w:type="character" w:customStyle="1" w:styleId="BodyTextChar">
    <w:name w:val="Body Text Char"/>
    <w:aliases w:val="bt Char"/>
    <w:link w:val="BodyText"/>
    <w:rsid w:val="006A2245"/>
    <w:rPr>
      <w:rFonts w:ascii="Times" w:hAnsi="Times"/>
      <w:szCs w:val="24"/>
    </w:rPr>
  </w:style>
  <w:style w:type="paragraph" w:customStyle="1" w:styleId="a0">
    <w:name w:val="表格题注"/>
    <w:next w:val="Normal"/>
    <w:rsid w:val="00DA10AB"/>
    <w:pPr>
      <w:keepLines/>
      <w:numPr>
        <w:ilvl w:val="8"/>
        <w:numId w:val="3"/>
      </w:numPr>
      <w:tabs>
        <w:tab w:val="num" w:pos="360"/>
      </w:tabs>
      <w:spacing w:beforeLines="100"/>
      <w:ind w:left="1089" w:hanging="369"/>
      <w:jc w:val="center"/>
    </w:pPr>
    <w:rPr>
      <w:rFonts w:ascii="Arial" w:eastAsiaTheme="minorEastAsia" w:hAnsi="Arial"/>
      <w:sz w:val="18"/>
      <w:szCs w:val="18"/>
    </w:rPr>
  </w:style>
  <w:style w:type="paragraph" w:customStyle="1" w:styleId="a">
    <w:name w:val="插图题注"/>
    <w:next w:val="Normal"/>
    <w:rsid w:val="00DA10AB"/>
    <w:pPr>
      <w:numPr>
        <w:ilvl w:val="7"/>
        <w:numId w:val="3"/>
      </w:numPr>
      <w:spacing w:afterLines="100"/>
      <w:ind w:left="1089" w:hanging="369"/>
      <w:jc w:val="center"/>
    </w:pPr>
    <w:rPr>
      <w:rFonts w:ascii="Arial" w:eastAsiaTheme="minorEastAsia" w:hAnsi="Arial"/>
      <w:sz w:val="18"/>
      <w:szCs w:val="18"/>
    </w:rPr>
  </w:style>
  <w:style w:type="paragraph" w:customStyle="1" w:styleId="Pa4">
    <w:name w:val="Pa4"/>
    <w:basedOn w:val="Normal"/>
    <w:next w:val="Normal"/>
    <w:uiPriority w:val="99"/>
    <w:rsid w:val="004F003D"/>
    <w:pPr>
      <w:overflowPunct/>
      <w:spacing w:after="0" w:line="173" w:lineRule="atLeast"/>
      <w:textAlignment w:val="auto"/>
    </w:pPr>
    <w:rPr>
      <w:rFonts w:ascii="Swift" w:hAnsi="Swift"/>
      <w:sz w:val="24"/>
      <w:szCs w:val="24"/>
      <w:lang w:val="en-US" w:eastAsia="zh-CN"/>
    </w:rPr>
  </w:style>
  <w:style w:type="table" w:styleId="PlainTable3">
    <w:name w:val="Plain Table 3"/>
    <w:basedOn w:val="TableNormal"/>
    <w:uiPriority w:val="43"/>
    <w:rsid w:val="004853DD"/>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ListTable1Light-Accent1">
    <w:name w:val="List Table 1 Light Accent 1"/>
    <w:basedOn w:val="TableNormal"/>
    <w:uiPriority w:val="46"/>
    <w:rsid w:val="004853DD"/>
    <w:tblPr>
      <w:tblStyleRowBandSize w:val="1"/>
      <w:tblStyleColBandSize w:val="1"/>
    </w:tblPr>
    <w:tblStylePr w:type="firstRow">
      <w:rPr>
        <w:b/>
        <w:bCs/>
      </w:rPr>
      <w:tblPr/>
      <w:tcPr>
        <w:tcBorders>
          <w:bottom w:val="single" w:sz="4" w:space="0" w:color="9CC2E5" w:themeColor="accent1" w:themeTint="99"/>
        </w:tcBorders>
      </w:tcPr>
    </w:tblStylePr>
    <w:tblStylePr w:type="lastRow">
      <w:rPr>
        <w:b/>
        <w:bCs/>
      </w:rPr>
      <w:tblPr/>
      <w:tcPr>
        <w:tcBorders>
          <w:top w:val="single" w:sz="4" w:space="0" w:color="9CC2E5" w:themeColor="accent1" w:themeTint="99"/>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table" w:styleId="GridTable4-Accent5">
    <w:name w:val="Grid Table 4 Accent 5"/>
    <w:basedOn w:val="TableNormal"/>
    <w:uiPriority w:val="49"/>
    <w:rsid w:val="00AB3FF5"/>
    <w:tblPr>
      <w:tblStyleRowBandSize w:val="1"/>
      <w:tblStyleColBandSize w:val="1"/>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insideV w:val="single" w:sz="4" w:space="0" w:color="8EAADB" w:themeColor="accent5" w:themeTint="99"/>
      </w:tblBorders>
    </w:tblPr>
    <w:tblStylePr w:type="firstRow">
      <w:rPr>
        <w:b/>
        <w:bCs/>
        <w:color w:val="FFFFFF" w:themeColor="background1"/>
      </w:rPr>
      <w:tblPr/>
      <w:tcPr>
        <w:tcBorders>
          <w:top w:val="single" w:sz="4" w:space="0" w:color="4472C4" w:themeColor="accent5"/>
          <w:left w:val="single" w:sz="4" w:space="0" w:color="4472C4" w:themeColor="accent5"/>
          <w:bottom w:val="single" w:sz="4" w:space="0" w:color="4472C4" w:themeColor="accent5"/>
          <w:right w:val="single" w:sz="4" w:space="0" w:color="4472C4" w:themeColor="accent5"/>
          <w:insideH w:val="nil"/>
          <w:insideV w:val="nil"/>
        </w:tcBorders>
        <w:shd w:val="clear" w:color="auto" w:fill="4472C4" w:themeFill="accent5"/>
      </w:tcPr>
    </w:tblStylePr>
    <w:tblStylePr w:type="lastRow">
      <w:rPr>
        <w:b/>
        <w:bCs/>
      </w:rPr>
      <w:tblPr/>
      <w:tcPr>
        <w:tcBorders>
          <w:top w:val="double" w:sz="4" w:space="0" w:color="4472C4" w:themeColor="accent5"/>
        </w:tcBorders>
      </w:tc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 w:type="table" w:styleId="GridTable6Colorful-Accent5">
    <w:name w:val="Grid Table 6 Colorful Accent 5"/>
    <w:basedOn w:val="TableNormal"/>
    <w:uiPriority w:val="51"/>
    <w:rsid w:val="00BF00A5"/>
    <w:rPr>
      <w:color w:val="2F5496" w:themeColor="accent5" w:themeShade="BF"/>
    </w:rPr>
    <w:tblPr>
      <w:tblStyleRowBandSize w:val="1"/>
      <w:tblStyleColBandSize w:val="1"/>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insideV w:val="single" w:sz="4" w:space="0" w:color="8EAADB" w:themeColor="accent5" w:themeTint="99"/>
      </w:tblBorders>
    </w:tblPr>
    <w:tblStylePr w:type="firstRow">
      <w:rPr>
        <w:b/>
        <w:bCs/>
      </w:rPr>
      <w:tblPr/>
      <w:tcPr>
        <w:tcBorders>
          <w:bottom w:val="single" w:sz="12" w:space="0" w:color="8EAADB" w:themeColor="accent5" w:themeTint="99"/>
        </w:tcBorders>
      </w:tcPr>
    </w:tblStylePr>
    <w:tblStylePr w:type="lastRow">
      <w:rPr>
        <w:b/>
        <w:bCs/>
      </w:rPr>
      <w:tblPr/>
      <w:tcPr>
        <w:tcBorders>
          <w:top w:val="double" w:sz="4" w:space="0" w:color="8EAADB" w:themeColor="accent5" w:themeTint="99"/>
        </w:tcBorders>
      </w:tc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 w:type="paragraph" w:customStyle="1" w:styleId="RAN1bullet2">
    <w:name w:val="RAN1 bullet2"/>
    <w:basedOn w:val="Normal"/>
    <w:link w:val="RAN1bullet2Char"/>
    <w:qFormat/>
    <w:rsid w:val="00510EC2"/>
    <w:pPr>
      <w:numPr>
        <w:ilvl w:val="1"/>
        <w:numId w:val="5"/>
      </w:numPr>
      <w:tabs>
        <w:tab w:val="left" w:pos="1440"/>
      </w:tabs>
      <w:overflowPunct/>
      <w:autoSpaceDE/>
      <w:autoSpaceDN/>
      <w:adjustRightInd/>
      <w:spacing w:after="0"/>
      <w:textAlignment w:val="auto"/>
    </w:pPr>
    <w:rPr>
      <w:rFonts w:ascii="Times" w:eastAsia="Batang" w:hAnsi="Times"/>
      <w:lang w:val="en-US"/>
    </w:rPr>
  </w:style>
  <w:style w:type="character" w:customStyle="1" w:styleId="RAN1bullet2Char">
    <w:name w:val="RAN1 bullet2 Char"/>
    <w:link w:val="RAN1bullet2"/>
    <w:rsid w:val="00510EC2"/>
    <w:rPr>
      <w:rFonts w:ascii="Times" w:eastAsia="Batang" w:hAnsi="Times"/>
      <w:lang w:eastAsia="en-US"/>
    </w:rPr>
  </w:style>
  <w:style w:type="table" w:styleId="ListTable3-Accent5">
    <w:name w:val="List Table 3 Accent 5"/>
    <w:basedOn w:val="TableNormal"/>
    <w:uiPriority w:val="48"/>
    <w:rsid w:val="0099408C"/>
    <w:tblPr>
      <w:tblStyleRowBandSize w:val="1"/>
      <w:tblStyleColBandSize w:val="1"/>
      <w:tblBorders>
        <w:top w:val="single" w:sz="4" w:space="0" w:color="4472C4" w:themeColor="accent5"/>
        <w:left w:val="single" w:sz="4" w:space="0" w:color="4472C4" w:themeColor="accent5"/>
        <w:bottom w:val="single" w:sz="4" w:space="0" w:color="4472C4" w:themeColor="accent5"/>
        <w:right w:val="single" w:sz="4" w:space="0" w:color="4472C4" w:themeColor="accent5"/>
      </w:tblBorders>
    </w:tblPr>
    <w:tblStylePr w:type="firstRow">
      <w:rPr>
        <w:b/>
        <w:bCs/>
        <w:color w:val="FFFFFF" w:themeColor="background1"/>
      </w:rPr>
      <w:tblPr/>
      <w:tcPr>
        <w:shd w:val="clear" w:color="auto" w:fill="4472C4" w:themeFill="accent5"/>
      </w:tcPr>
    </w:tblStylePr>
    <w:tblStylePr w:type="lastRow">
      <w:rPr>
        <w:b/>
        <w:bCs/>
      </w:rPr>
      <w:tblPr/>
      <w:tcPr>
        <w:tcBorders>
          <w:top w:val="double" w:sz="4" w:space="0" w:color="4472C4"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472C4" w:themeColor="accent5"/>
          <w:right w:val="single" w:sz="4" w:space="0" w:color="4472C4" w:themeColor="accent5"/>
        </w:tcBorders>
      </w:tcPr>
    </w:tblStylePr>
    <w:tblStylePr w:type="band1Horz">
      <w:tblPr/>
      <w:tcPr>
        <w:tcBorders>
          <w:top w:val="single" w:sz="4" w:space="0" w:color="4472C4" w:themeColor="accent5"/>
          <w:bottom w:val="single" w:sz="4" w:space="0" w:color="4472C4"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themeColor="accent5"/>
          <w:left w:val="nil"/>
        </w:tcBorders>
      </w:tcPr>
    </w:tblStylePr>
    <w:tblStylePr w:type="swCell">
      <w:tblPr/>
      <w:tcPr>
        <w:tcBorders>
          <w:top w:val="double" w:sz="4" w:space="0" w:color="4472C4" w:themeColor="accent5"/>
          <w:right w:val="nil"/>
        </w:tcBorders>
      </w:tcPr>
    </w:tblStylePr>
  </w:style>
  <w:style w:type="paragraph" w:customStyle="1" w:styleId="tdoc">
    <w:name w:val="tdoc"/>
    <w:basedOn w:val="Normal"/>
    <w:link w:val="tdocChar"/>
    <w:qFormat/>
    <w:rsid w:val="006D58A9"/>
    <w:pPr>
      <w:overflowPunct/>
      <w:autoSpaceDE/>
      <w:autoSpaceDN/>
      <w:adjustRightInd/>
      <w:spacing w:after="0"/>
      <w:ind w:left="1440" w:hanging="1440"/>
      <w:textAlignment w:val="auto"/>
    </w:pPr>
    <w:rPr>
      <w:rFonts w:ascii="Times" w:eastAsia="Batang" w:hAnsi="Times"/>
      <w:szCs w:val="24"/>
    </w:rPr>
  </w:style>
  <w:style w:type="character" w:customStyle="1" w:styleId="tdocChar">
    <w:name w:val="tdoc Char"/>
    <w:link w:val="tdoc"/>
    <w:rsid w:val="006D58A9"/>
    <w:rPr>
      <w:rFonts w:ascii="Times" w:eastAsia="Batang" w:hAnsi="Times"/>
      <w:szCs w:val="24"/>
      <w:lang w:val="en-GB" w:eastAsia="en-US"/>
    </w:rPr>
  </w:style>
  <w:style w:type="paragraph" w:customStyle="1" w:styleId="bullet1">
    <w:name w:val="bullet1"/>
    <w:basedOn w:val="text"/>
    <w:link w:val="bullet1Char"/>
    <w:qFormat/>
    <w:rsid w:val="00C1150F"/>
    <w:pPr>
      <w:numPr>
        <w:numId w:val="6"/>
      </w:numPr>
      <w:overflowPunct/>
      <w:autoSpaceDE/>
      <w:autoSpaceDN/>
      <w:adjustRightInd/>
      <w:spacing w:after="0"/>
      <w:jc w:val="left"/>
      <w:textAlignment w:val="auto"/>
    </w:pPr>
    <w:rPr>
      <w:kern w:val="2"/>
      <w:sz w:val="20"/>
      <w:szCs w:val="24"/>
      <w:lang w:val="en-GB"/>
    </w:rPr>
  </w:style>
  <w:style w:type="character" w:customStyle="1" w:styleId="textChar">
    <w:name w:val="text Char"/>
    <w:link w:val="text"/>
    <w:rsid w:val="006D58A9"/>
    <w:rPr>
      <w:rFonts w:ascii="Times New Roman" w:hAnsi="Times New Roman"/>
      <w:sz w:val="24"/>
    </w:rPr>
  </w:style>
  <w:style w:type="paragraph" w:customStyle="1" w:styleId="bullet2">
    <w:name w:val="bullet2"/>
    <w:basedOn w:val="text"/>
    <w:link w:val="bullet2Char"/>
    <w:qFormat/>
    <w:rsid w:val="006D58A9"/>
    <w:pPr>
      <w:numPr>
        <w:ilvl w:val="1"/>
        <w:numId w:val="6"/>
      </w:numPr>
      <w:overflowPunct/>
      <w:autoSpaceDE/>
      <w:autoSpaceDN/>
      <w:adjustRightInd/>
      <w:spacing w:after="0"/>
      <w:jc w:val="left"/>
      <w:textAlignment w:val="auto"/>
    </w:pPr>
    <w:rPr>
      <w:rFonts w:ascii="Times" w:hAnsi="Times"/>
      <w:kern w:val="2"/>
      <w:szCs w:val="24"/>
      <w:lang w:val="en-GB"/>
    </w:rPr>
  </w:style>
  <w:style w:type="character" w:customStyle="1" w:styleId="bullet1Char">
    <w:name w:val="bullet1 Char"/>
    <w:link w:val="bullet1"/>
    <w:rsid w:val="00C1150F"/>
    <w:rPr>
      <w:rFonts w:ascii="Times New Roman" w:hAnsi="Times New Roman"/>
      <w:kern w:val="2"/>
      <w:szCs w:val="24"/>
      <w:lang w:val="en-GB"/>
    </w:rPr>
  </w:style>
  <w:style w:type="paragraph" w:customStyle="1" w:styleId="bullet3">
    <w:name w:val="bullet3"/>
    <w:basedOn w:val="text"/>
    <w:link w:val="bullet3Char"/>
    <w:qFormat/>
    <w:rsid w:val="006D58A9"/>
    <w:pPr>
      <w:numPr>
        <w:ilvl w:val="2"/>
        <w:numId w:val="6"/>
      </w:numPr>
      <w:overflowPunct/>
      <w:autoSpaceDE/>
      <w:autoSpaceDN/>
      <w:adjustRightInd/>
      <w:spacing w:after="0"/>
      <w:jc w:val="left"/>
      <w:textAlignment w:val="auto"/>
    </w:pPr>
    <w:rPr>
      <w:rFonts w:ascii="Times" w:eastAsia="Batang" w:hAnsi="Times"/>
      <w:sz w:val="20"/>
      <w:szCs w:val="24"/>
      <w:lang w:val="en-GB" w:eastAsia="en-US"/>
    </w:rPr>
  </w:style>
  <w:style w:type="character" w:customStyle="1" w:styleId="bullet2Char">
    <w:name w:val="bullet2 Char"/>
    <w:link w:val="bullet2"/>
    <w:rsid w:val="006D58A9"/>
    <w:rPr>
      <w:rFonts w:ascii="Times" w:hAnsi="Times"/>
      <w:kern w:val="2"/>
      <w:sz w:val="24"/>
      <w:szCs w:val="24"/>
      <w:lang w:val="en-GB"/>
    </w:rPr>
  </w:style>
  <w:style w:type="paragraph" w:customStyle="1" w:styleId="bullet4">
    <w:name w:val="bullet4"/>
    <w:basedOn w:val="text"/>
    <w:qFormat/>
    <w:rsid w:val="006D58A9"/>
    <w:pPr>
      <w:numPr>
        <w:ilvl w:val="3"/>
        <w:numId w:val="6"/>
      </w:numPr>
      <w:overflowPunct/>
      <w:autoSpaceDE/>
      <w:autoSpaceDN/>
      <w:adjustRightInd/>
      <w:spacing w:after="0"/>
      <w:jc w:val="left"/>
      <w:textAlignment w:val="auto"/>
    </w:pPr>
    <w:rPr>
      <w:rFonts w:ascii="Times" w:eastAsia="Batang" w:hAnsi="Times"/>
      <w:sz w:val="20"/>
      <w:szCs w:val="24"/>
      <w:lang w:val="en-GB" w:eastAsia="en-US"/>
    </w:rPr>
  </w:style>
  <w:style w:type="table" w:styleId="PlainTable2">
    <w:name w:val="Plain Table 2"/>
    <w:basedOn w:val="TableNormal"/>
    <w:uiPriority w:val="42"/>
    <w:rsid w:val="00E305B5"/>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character" w:customStyle="1" w:styleId="bullet3Char">
    <w:name w:val="bullet3 Char"/>
    <w:link w:val="bullet3"/>
    <w:rsid w:val="00C91E5C"/>
    <w:rPr>
      <w:rFonts w:ascii="Times" w:eastAsia="Batang" w:hAnsi="Times"/>
      <w:szCs w:val="24"/>
      <w:lang w:val="en-GB" w:eastAsia="en-US"/>
    </w:rPr>
  </w:style>
  <w:style w:type="character" w:customStyle="1" w:styleId="TAHCar">
    <w:name w:val="TAH Car"/>
    <w:link w:val="TAH"/>
    <w:qFormat/>
    <w:rsid w:val="00DD31F5"/>
    <w:rPr>
      <w:rFonts w:ascii="Arial" w:hAnsi="Arial"/>
      <w:b/>
      <w:sz w:val="18"/>
      <w:lang w:val="en-GB" w:eastAsia="en-US"/>
    </w:rPr>
  </w:style>
  <w:style w:type="paragraph" w:customStyle="1" w:styleId="tac0">
    <w:name w:val="tac"/>
    <w:basedOn w:val="Normal"/>
    <w:rsid w:val="0071779B"/>
    <w:pPr>
      <w:keepNext/>
      <w:overflowPunct/>
      <w:autoSpaceDE/>
      <w:autoSpaceDN/>
      <w:adjustRightInd/>
      <w:spacing w:after="0"/>
      <w:jc w:val="center"/>
      <w:textAlignment w:val="auto"/>
    </w:pPr>
    <w:rPr>
      <w:rFonts w:ascii="Arial" w:hAnsi="Arial" w:cs="Arial"/>
      <w:sz w:val="18"/>
      <w:szCs w:val="18"/>
      <w:lang w:val="en-US" w:eastAsia="zh-CN"/>
    </w:rPr>
  </w:style>
  <w:style w:type="paragraph" w:customStyle="1" w:styleId="th0">
    <w:name w:val="th"/>
    <w:basedOn w:val="Normal"/>
    <w:rsid w:val="0071779B"/>
    <w:pPr>
      <w:keepNext/>
      <w:overflowPunct/>
      <w:autoSpaceDE/>
      <w:autoSpaceDN/>
      <w:adjustRightInd/>
      <w:spacing w:before="60"/>
      <w:jc w:val="center"/>
      <w:textAlignment w:val="auto"/>
    </w:pPr>
    <w:rPr>
      <w:rFonts w:ascii="Arial" w:hAnsi="Arial" w:cs="Arial"/>
      <w:b/>
      <w:bCs/>
      <w:sz w:val="22"/>
      <w:szCs w:val="22"/>
      <w:lang w:val="en-US" w:eastAsia="zh-CN"/>
    </w:rPr>
  </w:style>
  <w:style w:type="paragraph" w:customStyle="1" w:styleId="tah0">
    <w:name w:val="tah"/>
    <w:basedOn w:val="Normal"/>
    <w:rsid w:val="0071779B"/>
    <w:pPr>
      <w:keepNext/>
      <w:overflowPunct/>
      <w:autoSpaceDE/>
      <w:autoSpaceDN/>
      <w:adjustRightInd/>
      <w:spacing w:after="0"/>
      <w:jc w:val="center"/>
      <w:textAlignment w:val="auto"/>
    </w:pPr>
    <w:rPr>
      <w:rFonts w:ascii="Arial" w:hAnsi="Arial" w:cs="Arial"/>
      <w:b/>
      <w:bCs/>
      <w:sz w:val="18"/>
      <w:szCs w:val="18"/>
      <w:lang w:val="en-US" w:eastAsia="zh-CN"/>
    </w:rPr>
  </w:style>
  <w:style w:type="paragraph" w:customStyle="1" w:styleId="References">
    <w:name w:val="References"/>
    <w:basedOn w:val="Normal"/>
    <w:rsid w:val="001A6756"/>
    <w:pPr>
      <w:numPr>
        <w:ilvl w:val="2"/>
        <w:numId w:val="7"/>
      </w:numPr>
      <w:overflowPunct/>
      <w:autoSpaceDE/>
      <w:autoSpaceDN/>
      <w:adjustRightInd/>
      <w:spacing w:after="0"/>
      <w:textAlignment w:val="auto"/>
    </w:pPr>
    <w:rPr>
      <w:rFonts w:eastAsia="Times New Roman"/>
      <w:szCs w:val="24"/>
      <w:lang w:val="en-US"/>
    </w:rPr>
  </w:style>
  <w:style w:type="character" w:customStyle="1" w:styleId="B10">
    <w:name w:val="B1 (文字)"/>
    <w:qFormat/>
    <w:rsid w:val="001A6756"/>
    <w:rPr>
      <w:rFonts w:eastAsia="MS Mincho"/>
      <w:lang w:val="en-GB" w:eastAsia="en-US" w:bidi="ar-SA"/>
    </w:rPr>
  </w:style>
  <w:style w:type="character" w:customStyle="1" w:styleId="B2Char">
    <w:name w:val="B2 Char"/>
    <w:link w:val="B2"/>
    <w:qFormat/>
    <w:rsid w:val="001A6756"/>
    <w:rPr>
      <w:rFonts w:ascii="Times New Roman" w:hAnsi="Times New Roman"/>
      <w:lang w:val="en-GB" w:eastAsia="en-US"/>
    </w:rPr>
  </w:style>
  <w:style w:type="character" w:customStyle="1" w:styleId="ProposalChar">
    <w:name w:val="Proposal Char"/>
    <w:link w:val="Proposal"/>
    <w:rsid w:val="001A6756"/>
    <w:rPr>
      <w:rFonts w:eastAsia="Times New Roman"/>
      <w:b/>
      <w:bCs/>
      <w:lang w:val="en-GB"/>
    </w:rPr>
  </w:style>
  <w:style w:type="paragraph" w:customStyle="1" w:styleId="Proposal">
    <w:name w:val="Proposal"/>
    <w:basedOn w:val="Normal"/>
    <w:link w:val="ProposalChar"/>
    <w:qFormat/>
    <w:rsid w:val="001A6756"/>
    <w:pPr>
      <w:tabs>
        <w:tab w:val="left" w:pos="1701"/>
      </w:tabs>
      <w:spacing w:after="120"/>
      <w:ind w:left="1701" w:hanging="1701"/>
      <w:jc w:val="both"/>
    </w:pPr>
    <w:rPr>
      <w:rFonts w:ascii="CG Times (WN)" w:eastAsia="Times New Roman" w:hAnsi="CG Times (WN)"/>
      <w:b/>
      <w:bCs/>
      <w:lang w:eastAsia="zh-CN"/>
    </w:rPr>
  </w:style>
  <w:style w:type="character" w:customStyle="1" w:styleId="ListParagraphChar">
    <w:name w:val="List Paragraph Char"/>
    <w:aliases w:val="- Bullets Char,목록 단락 Char,リスト段落 Char,列出段落 Char,Lista1 Char,?? ?? Char,????? Char,???? Char,列出段落1 Char,中等深浅网格 1 - 着色 21 Char,列表段落 Char,¥¡¡¡¡ì¬º¥¹¥È¶ÎÂä Char,ÁÐ³ö¶ÎÂä Char,列表段落1 Char,—ño’i—Ž Char,¥ê¥¹¥È¶ÎÂä Char,Paragrafo elenco Char"/>
    <w:link w:val="ListParagraph"/>
    <w:uiPriority w:val="34"/>
    <w:qFormat/>
    <w:rsid w:val="009C2192"/>
    <w:rPr>
      <w:rFonts w:ascii="Times New Roman" w:eastAsia="Calibri" w:hAnsi="Times New Roman"/>
      <w:i/>
      <w:iCs/>
      <w:lang w:eastAsia="en-US"/>
    </w:rPr>
  </w:style>
  <w:style w:type="character" w:customStyle="1" w:styleId="TACChar">
    <w:name w:val="TAC Char"/>
    <w:link w:val="TAC"/>
    <w:qFormat/>
    <w:rsid w:val="001A6756"/>
    <w:rPr>
      <w:rFonts w:ascii="Arial" w:hAnsi="Arial"/>
      <w:sz w:val="18"/>
      <w:lang w:val="en-GB" w:eastAsia="en-US"/>
    </w:rPr>
  </w:style>
  <w:style w:type="paragraph" w:customStyle="1" w:styleId="N1">
    <w:name w:val="N1"/>
    <w:basedOn w:val="Normal"/>
    <w:link w:val="N1Char"/>
    <w:qFormat/>
    <w:rsid w:val="006F399D"/>
    <w:pPr>
      <w:overflowPunct/>
      <w:autoSpaceDE/>
      <w:autoSpaceDN/>
      <w:adjustRightInd/>
      <w:spacing w:after="0"/>
      <w:ind w:left="634"/>
      <w:textAlignment w:val="auto"/>
    </w:pPr>
    <w:rPr>
      <w:rFonts w:asciiTheme="minorHAnsi" w:eastAsiaTheme="minorEastAsia" w:hAnsiTheme="minorHAnsi" w:cstheme="minorHAnsi"/>
      <w:sz w:val="22"/>
      <w:szCs w:val="22"/>
      <w:lang w:val="en-US" w:eastAsia="ko-KR" w:bidi="hi-IN"/>
    </w:rPr>
  </w:style>
  <w:style w:type="character" w:customStyle="1" w:styleId="N1Char">
    <w:name w:val="N1 Char"/>
    <w:basedOn w:val="DefaultParagraphFont"/>
    <w:link w:val="N1"/>
    <w:rsid w:val="006F399D"/>
    <w:rPr>
      <w:rFonts w:asciiTheme="minorHAnsi" w:eastAsiaTheme="minorEastAsia" w:hAnsiTheme="minorHAnsi" w:cstheme="minorHAnsi"/>
      <w:sz w:val="22"/>
      <w:szCs w:val="22"/>
      <w:lang w:eastAsia="ko-KR" w:bidi="hi-IN"/>
    </w:rPr>
  </w:style>
  <w:style w:type="character" w:customStyle="1" w:styleId="B1Zchn">
    <w:name w:val="B1 Zchn"/>
    <w:qFormat/>
    <w:rsid w:val="00186658"/>
    <w:rPr>
      <w:lang w:eastAsia="en-US"/>
    </w:rPr>
  </w:style>
  <w:style w:type="paragraph" w:customStyle="1" w:styleId="LGTdoc">
    <w:name w:val="LGTdoc_본문"/>
    <w:basedOn w:val="Normal"/>
    <w:link w:val="LGTdocChar"/>
    <w:qFormat/>
    <w:rsid w:val="009569E2"/>
    <w:pPr>
      <w:widowControl w:val="0"/>
      <w:overflowPunct/>
      <w:snapToGrid w:val="0"/>
      <w:spacing w:afterLines="50" w:after="0" w:line="264" w:lineRule="auto"/>
      <w:jc w:val="both"/>
      <w:textAlignment w:val="auto"/>
    </w:pPr>
    <w:rPr>
      <w:rFonts w:eastAsia="Batang"/>
      <w:kern w:val="2"/>
      <w:sz w:val="22"/>
      <w:szCs w:val="24"/>
      <w:lang w:eastAsia="ko-KR"/>
    </w:rPr>
  </w:style>
  <w:style w:type="character" w:customStyle="1" w:styleId="LGTdocChar">
    <w:name w:val="LGTdoc_본문 Char"/>
    <w:link w:val="LGTdoc"/>
    <w:qFormat/>
    <w:rsid w:val="009569E2"/>
    <w:rPr>
      <w:rFonts w:ascii="Times New Roman" w:eastAsia="Batang" w:hAnsi="Times New Roman"/>
      <w:kern w:val="2"/>
      <w:sz w:val="22"/>
      <w:szCs w:val="24"/>
      <w:lang w:val="en-GB" w:eastAsia="ko-KR"/>
    </w:rPr>
  </w:style>
  <w:style w:type="table" w:styleId="TableGridLight">
    <w:name w:val="Grid Table Light"/>
    <w:basedOn w:val="TableNormal"/>
    <w:uiPriority w:val="40"/>
    <w:rsid w:val="008B4BA7"/>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PlainTable1">
    <w:name w:val="Plain Table 1"/>
    <w:basedOn w:val="TableNormal"/>
    <w:uiPriority w:val="41"/>
    <w:rsid w:val="008B4BA7"/>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TableGrid1">
    <w:name w:val="Table Grid1"/>
    <w:basedOn w:val="TableNormal"/>
    <w:next w:val="TableGrid"/>
    <w:uiPriority w:val="39"/>
    <w:rsid w:val="00145D7C"/>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39"/>
    <w:rsid w:val="00145D7C"/>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uiPriority w:val="39"/>
    <w:rsid w:val="00145D7C"/>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39"/>
    <w:rsid w:val="00AE6F42"/>
    <w:rPr>
      <w:rFonts w:ascii="Calibri" w:eastAsia="Calibri" w:hAnsi="Calibri"/>
      <w:sz w:val="22"/>
      <w:szCs w:val="22"/>
      <w:lang w:val="ru-RU"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6B4900"/>
    <w:pPr>
      <w:autoSpaceDE w:val="0"/>
      <w:autoSpaceDN w:val="0"/>
      <w:adjustRightInd w:val="0"/>
    </w:pPr>
    <w:rPr>
      <w:rFonts w:ascii="Arial" w:eastAsiaTheme="minorHAnsi" w:hAnsi="Arial" w:cs="Arial"/>
      <w:color w:val="000000"/>
      <w:sz w:val="24"/>
      <w:szCs w:val="24"/>
      <w:lang w:eastAsia="en-US"/>
    </w:rPr>
  </w:style>
  <w:style w:type="character" w:styleId="Emphasis">
    <w:name w:val="Emphasis"/>
    <w:basedOn w:val="DefaultParagraphFont"/>
    <w:qFormat/>
    <w:rsid w:val="00116F5E"/>
    <w:rPr>
      <w:i/>
      <w:iCs/>
    </w:rPr>
  </w:style>
  <w:style w:type="paragraph" w:customStyle="1" w:styleId="MTDisplayEquation">
    <w:name w:val="MTDisplayEquation"/>
    <w:basedOn w:val="Normal"/>
    <w:next w:val="Normal"/>
    <w:link w:val="MTDisplayEquationChar"/>
    <w:rsid w:val="00BE0695"/>
    <w:pPr>
      <w:tabs>
        <w:tab w:val="center" w:pos="5080"/>
        <w:tab w:val="right" w:pos="10160"/>
      </w:tabs>
    </w:pPr>
    <w:rPr>
      <w:lang w:val="en-US"/>
    </w:rPr>
  </w:style>
  <w:style w:type="character" w:customStyle="1" w:styleId="MTDisplayEquationChar">
    <w:name w:val="MTDisplayEquation Char"/>
    <w:basedOn w:val="DefaultParagraphFont"/>
    <w:link w:val="MTDisplayEquation"/>
    <w:rsid w:val="00BE0695"/>
    <w:rPr>
      <w:rFonts w:ascii="Times New Roman" w:hAnsi="Times New Roman"/>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2628033">
      <w:bodyDiv w:val="1"/>
      <w:marLeft w:val="0"/>
      <w:marRight w:val="0"/>
      <w:marTop w:val="0"/>
      <w:marBottom w:val="0"/>
      <w:divBdr>
        <w:top w:val="none" w:sz="0" w:space="0" w:color="auto"/>
        <w:left w:val="none" w:sz="0" w:space="0" w:color="auto"/>
        <w:bottom w:val="none" w:sz="0" w:space="0" w:color="auto"/>
        <w:right w:val="none" w:sz="0" w:space="0" w:color="auto"/>
      </w:divBdr>
    </w:div>
    <w:div w:id="59717488">
      <w:bodyDiv w:val="1"/>
      <w:marLeft w:val="0"/>
      <w:marRight w:val="0"/>
      <w:marTop w:val="0"/>
      <w:marBottom w:val="0"/>
      <w:divBdr>
        <w:top w:val="none" w:sz="0" w:space="0" w:color="auto"/>
        <w:left w:val="none" w:sz="0" w:space="0" w:color="auto"/>
        <w:bottom w:val="none" w:sz="0" w:space="0" w:color="auto"/>
        <w:right w:val="none" w:sz="0" w:space="0" w:color="auto"/>
      </w:divBdr>
    </w:div>
    <w:div w:id="72893645">
      <w:bodyDiv w:val="1"/>
      <w:marLeft w:val="0"/>
      <w:marRight w:val="0"/>
      <w:marTop w:val="0"/>
      <w:marBottom w:val="0"/>
      <w:divBdr>
        <w:top w:val="none" w:sz="0" w:space="0" w:color="auto"/>
        <w:left w:val="none" w:sz="0" w:space="0" w:color="auto"/>
        <w:bottom w:val="none" w:sz="0" w:space="0" w:color="auto"/>
        <w:right w:val="none" w:sz="0" w:space="0" w:color="auto"/>
      </w:divBdr>
    </w:div>
    <w:div w:id="78405578">
      <w:bodyDiv w:val="1"/>
      <w:marLeft w:val="0"/>
      <w:marRight w:val="0"/>
      <w:marTop w:val="0"/>
      <w:marBottom w:val="0"/>
      <w:divBdr>
        <w:top w:val="none" w:sz="0" w:space="0" w:color="auto"/>
        <w:left w:val="none" w:sz="0" w:space="0" w:color="auto"/>
        <w:bottom w:val="none" w:sz="0" w:space="0" w:color="auto"/>
        <w:right w:val="none" w:sz="0" w:space="0" w:color="auto"/>
      </w:divBdr>
    </w:div>
    <w:div w:id="125583824">
      <w:bodyDiv w:val="1"/>
      <w:marLeft w:val="0"/>
      <w:marRight w:val="0"/>
      <w:marTop w:val="0"/>
      <w:marBottom w:val="0"/>
      <w:divBdr>
        <w:top w:val="none" w:sz="0" w:space="0" w:color="auto"/>
        <w:left w:val="none" w:sz="0" w:space="0" w:color="auto"/>
        <w:bottom w:val="none" w:sz="0" w:space="0" w:color="auto"/>
        <w:right w:val="none" w:sz="0" w:space="0" w:color="auto"/>
      </w:divBdr>
    </w:div>
    <w:div w:id="132991571">
      <w:bodyDiv w:val="1"/>
      <w:marLeft w:val="0"/>
      <w:marRight w:val="0"/>
      <w:marTop w:val="0"/>
      <w:marBottom w:val="0"/>
      <w:divBdr>
        <w:top w:val="none" w:sz="0" w:space="0" w:color="auto"/>
        <w:left w:val="none" w:sz="0" w:space="0" w:color="auto"/>
        <w:bottom w:val="none" w:sz="0" w:space="0" w:color="auto"/>
        <w:right w:val="none" w:sz="0" w:space="0" w:color="auto"/>
      </w:divBdr>
    </w:div>
    <w:div w:id="178399289">
      <w:bodyDiv w:val="1"/>
      <w:marLeft w:val="0"/>
      <w:marRight w:val="0"/>
      <w:marTop w:val="0"/>
      <w:marBottom w:val="0"/>
      <w:divBdr>
        <w:top w:val="none" w:sz="0" w:space="0" w:color="auto"/>
        <w:left w:val="none" w:sz="0" w:space="0" w:color="auto"/>
        <w:bottom w:val="none" w:sz="0" w:space="0" w:color="auto"/>
        <w:right w:val="none" w:sz="0" w:space="0" w:color="auto"/>
      </w:divBdr>
    </w:div>
    <w:div w:id="189530831">
      <w:bodyDiv w:val="1"/>
      <w:marLeft w:val="0"/>
      <w:marRight w:val="0"/>
      <w:marTop w:val="0"/>
      <w:marBottom w:val="0"/>
      <w:divBdr>
        <w:top w:val="none" w:sz="0" w:space="0" w:color="auto"/>
        <w:left w:val="none" w:sz="0" w:space="0" w:color="auto"/>
        <w:bottom w:val="none" w:sz="0" w:space="0" w:color="auto"/>
        <w:right w:val="none" w:sz="0" w:space="0" w:color="auto"/>
      </w:divBdr>
    </w:div>
    <w:div w:id="222185122">
      <w:bodyDiv w:val="1"/>
      <w:marLeft w:val="0"/>
      <w:marRight w:val="0"/>
      <w:marTop w:val="0"/>
      <w:marBottom w:val="0"/>
      <w:divBdr>
        <w:top w:val="none" w:sz="0" w:space="0" w:color="auto"/>
        <w:left w:val="none" w:sz="0" w:space="0" w:color="auto"/>
        <w:bottom w:val="none" w:sz="0" w:space="0" w:color="auto"/>
        <w:right w:val="none" w:sz="0" w:space="0" w:color="auto"/>
      </w:divBdr>
    </w:div>
    <w:div w:id="242836348">
      <w:bodyDiv w:val="1"/>
      <w:marLeft w:val="0"/>
      <w:marRight w:val="0"/>
      <w:marTop w:val="0"/>
      <w:marBottom w:val="0"/>
      <w:divBdr>
        <w:top w:val="none" w:sz="0" w:space="0" w:color="auto"/>
        <w:left w:val="none" w:sz="0" w:space="0" w:color="auto"/>
        <w:bottom w:val="none" w:sz="0" w:space="0" w:color="auto"/>
        <w:right w:val="none" w:sz="0" w:space="0" w:color="auto"/>
      </w:divBdr>
    </w:div>
    <w:div w:id="249893721">
      <w:bodyDiv w:val="1"/>
      <w:marLeft w:val="0"/>
      <w:marRight w:val="0"/>
      <w:marTop w:val="0"/>
      <w:marBottom w:val="0"/>
      <w:divBdr>
        <w:top w:val="none" w:sz="0" w:space="0" w:color="auto"/>
        <w:left w:val="none" w:sz="0" w:space="0" w:color="auto"/>
        <w:bottom w:val="none" w:sz="0" w:space="0" w:color="auto"/>
        <w:right w:val="none" w:sz="0" w:space="0" w:color="auto"/>
      </w:divBdr>
      <w:divsChild>
        <w:div w:id="13115615">
          <w:marLeft w:val="1987"/>
          <w:marRight w:val="0"/>
          <w:marTop w:val="96"/>
          <w:marBottom w:val="0"/>
          <w:divBdr>
            <w:top w:val="none" w:sz="0" w:space="0" w:color="auto"/>
            <w:left w:val="none" w:sz="0" w:space="0" w:color="auto"/>
            <w:bottom w:val="none" w:sz="0" w:space="0" w:color="auto"/>
            <w:right w:val="none" w:sz="0" w:space="0" w:color="auto"/>
          </w:divBdr>
        </w:div>
        <w:div w:id="609629204">
          <w:marLeft w:val="1267"/>
          <w:marRight w:val="0"/>
          <w:marTop w:val="96"/>
          <w:marBottom w:val="0"/>
          <w:divBdr>
            <w:top w:val="none" w:sz="0" w:space="0" w:color="auto"/>
            <w:left w:val="none" w:sz="0" w:space="0" w:color="auto"/>
            <w:bottom w:val="none" w:sz="0" w:space="0" w:color="auto"/>
            <w:right w:val="none" w:sz="0" w:space="0" w:color="auto"/>
          </w:divBdr>
        </w:div>
        <w:div w:id="646201072">
          <w:marLeft w:val="1987"/>
          <w:marRight w:val="0"/>
          <w:marTop w:val="96"/>
          <w:marBottom w:val="0"/>
          <w:divBdr>
            <w:top w:val="none" w:sz="0" w:space="0" w:color="auto"/>
            <w:left w:val="none" w:sz="0" w:space="0" w:color="auto"/>
            <w:bottom w:val="none" w:sz="0" w:space="0" w:color="auto"/>
            <w:right w:val="none" w:sz="0" w:space="0" w:color="auto"/>
          </w:divBdr>
        </w:div>
        <w:div w:id="1378428923">
          <w:marLeft w:val="605"/>
          <w:marRight w:val="0"/>
          <w:marTop w:val="115"/>
          <w:marBottom w:val="0"/>
          <w:divBdr>
            <w:top w:val="none" w:sz="0" w:space="0" w:color="auto"/>
            <w:left w:val="none" w:sz="0" w:space="0" w:color="auto"/>
            <w:bottom w:val="none" w:sz="0" w:space="0" w:color="auto"/>
            <w:right w:val="none" w:sz="0" w:space="0" w:color="auto"/>
          </w:divBdr>
        </w:div>
        <w:div w:id="1703166544">
          <w:marLeft w:val="1267"/>
          <w:marRight w:val="0"/>
          <w:marTop w:val="96"/>
          <w:marBottom w:val="0"/>
          <w:divBdr>
            <w:top w:val="none" w:sz="0" w:space="0" w:color="auto"/>
            <w:left w:val="none" w:sz="0" w:space="0" w:color="auto"/>
            <w:bottom w:val="none" w:sz="0" w:space="0" w:color="auto"/>
            <w:right w:val="none" w:sz="0" w:space="0" w:color="auto"/>
          </w:divBdr>
        </w:div>
        <w:div w:id="2117868680">
          <w:marLeft w:val="1987"/>
          <w:marRight w:val="0"/>
          <w:marTop w:val="96"/>
          <w:marBottom w:val="0"/>
          <w:divBdr>
            <w:top w:val="none" w:sz="0" w:space="0" w:color="auto"/>
            <w:left w:val="none" w:sz="0" w:space="0" w:color="auto"/>
            <w:bottom w:val="none" w:sz="0" w:space="0" w:color="auto"/>
            <w:right w:val="none" w:sz="0" w:space="0" w:color="auto"/>
          </w:divBdr>
        </w:div>
      </w:divsChild>
    </w:div>
    <w:div w:id="270862388">
      <w:bodyDiv w:val="1"/>
      <w:marLeft w:val="0"/>
      <w:marRight w:val="0"/>
      <w:marTop w:val="0"/>
      <w:marBottom w:val="0"/>
      <w:divBdr>
        <w:top w:val="none" w:sz="0" w:space="0" w:color="auto"/>
        <w:left w:val="none" w:sz="0" w:space="0" w:color="auto"/>
        <w:bottom w:val="none" w:sz="0" w:space="0" w:color="auto"/>
        <w:right w:val="none" w:sz="0" w:space="0" w:color="auto"/>
      </w:divBdr>
    </w:div>
    <w:div w:id="271398066">
      <w:bodyDiv w:val="1"/>
      <w:marLeft w:val="0"/>
      <w:marRight w:val="0"/>
      <w:marTop w:val="0"/>
      <w:marBottom w:val="0"/>
      <w:divBdr>
        <w:top w:val="none" w:sz="0" w:space="0" w:color="auto"/>
        <w:left w:val="none" w:sz="0" w:space="0" w:color="auto"/>
        <w:bottom w:val="none" w:sz="0" w:space="0" w:color="auto"/>
        <w:right w:val="none" w:sz="0" w:space="0" w:color="auto"/>
      </w:divBdr>
    </w:div>
    <w:div w:id="291591852">
      <w:bodyDiv w:val="1"/>
      <w:marLeft w:val="0"/>
      <w:marRight w:val="0"/>
      <w:marTop w:val="0"/>
      <w:marBottom w:val="0"/>
      <w:divBdr>
        <w:top w:val="none" w:sz="0" w:space="0" w:color="auto"/>
        <w:left w:val="none" w:sz="0" w:space="0" w:color="auto"/>
        <w:bottom w:val="none" w:sz="0" w:space="0" w:color="auto"/>
        <w:right w:val="none" w:sz="0" w:space="0" w:color="auto"/>
      </w:divBdr>
    </w:div>
    <w:div w:id="316762667">
      <w:bodyDiv w:val="1"/>
      <w:marLeft w:val="0"/>
      <w:marRight w:val="0"/>
      <w:marTop w:val="0"/>
      <w:marBottom w:val="0"/>
      <w:divBdr>
        <w:top w:val="none" w:sz="0" w:space="0" w:color="auto"/>
        <w:left w:val="none" w:sz="0" w:space="0" w:color="auto"/>
        <w:bottom w:val="none" w:sz="0" w:space="0" w:color="auto"/>
        <w:right w:val="none" w:sz="0" w:space="0" w:color="auto"/>
      </w:divBdr>
    </w:div>
    <w:div w:id="362168458">
      <w:bodyDiv w:val="1"/>
      <w:marLeft w:val="0"/>
      <w:marRight w:val="0"/>
      <w:marTop w:val="0"/>
      <w:marBottom w:val="0"/>
      <w:divBdr>
        <w:top w:val="none" w:sz="0" w:space="0" w:color="auto"/>
        <w:left w:val="none" w:sz="0" w:space="0" w:color="auto"/>
        <w:bottom w:val="none" w:sz="0" w:space="0" w:color="auto"/>
        <w:right w:val="none" w:sz="0" w:space="0" w:color="auto"/>
      </w:divBdr>
    </w:div>
    <w:div w:id="374815046">
      <w:bodyDiv w:val="1"/>
      <w:marLeft w:val="0"/>
      <w:marRight w:val="0"/>
      <w:marTop w:val="0"/>
      <w:marBottom w:val="0"/>
      <w:divBdr>
        <w:top w:val="none" w:sz="0" w:space="0" w:color="auto"/>
        <w:left w:val="none" w:sz="0" w:space="0" w:color="auto"/>
        <w:bottom w:val="none" w:sz="0" w:space="0" w:color="auto"/>
        <w:right w:val="none" w:sz="0" w:space="0" w:color="auto"/>
      </w:divBdr>
    </w:div>
    <w:div w:id="389351035">
      <w:bodyDiv w:val="1"/>
      <w:marLeft w:val="0"/>
      <w:marRight w:val="0"/>
      <w:marTop w:val="0"/>
      <w:marBottom w:val="0"/>
      <w:divBdr>
        <w:top w:val="none" w:sz="0" w:space="0" w:color="auto"/>
        <w:left w:val="none" w:sz="0" w:space="0" w:color="auto"/>
        <w:bottom w:val="none" w:sz="0" w:space="0" w:color="auto"/>
        <w:right w:val="none" w:sz="0" w:space="0" w:color="auto"/>
      </w:divBdr>
      <w:divsChild>
        <w:div w:id="2436291">
          <w:marLeft w:val="446"/>
          <w:marRight w:val="0"/>
          <w:marTop w:val="240"/>
          <w:marBottom w:val="0"/>
          <w:divBdr>
            <w:top w:val="none" w:sz="0" w:space="0" w:color="auto"/>
            <w:left w:val="none" w:sz="0" w:space="0" w:color="auto"/>
            <w:bottom w:val="none" w:sz="0" w:space="0" w:color="auto"/>
            <w:right w:val="none" w:sz="0" w:space="0" w:color="auto"/>
          </w:divBdr>
        </w:div>
        <w:div w:id="211888812">
          <w:marLeft w:val="446"/>
          <w:marRight w:val="0"/>
          <w:marTop w:val="240"/>
          <w:marBottom w:val="0"/>
          <w:divBdr>
            <w:top w:val="none" w:sz="0" w:space="0" w:color="auto"/>
            <w:left w:val="none" w:sz="0" w:space="0" w:color="auto"/>
            <w:bottom w:val="none" w:sz="0" w:space="0" w:color="auto"/>
            <w:right w:val="none" w:sz="0" w:space="0" w:color="auto"/>
          </w:divBdr>
        </w:div>
        <w:div w:id="364911768">
          <w:marLeft w:val="446"/>
          <w:marRight w:val="0"/>
          <w:marTop w:val="240"/>
          <w:marBottom w:val="0"/>
          <w:divBdr>
            <w:top w:val="none" w:sz="0" w:space="0" w:color="auto"/>
            <w:left w:val="none" w:sz="0" w:space="0" w:color="auto"/>
            <w:bottom w:val="none" w:sz="0" w:space="0" w:color="auto"/>
            <w:right w:val="none" w:sz="0" w:space="0" w:color="auto"/>
          </w:divBdr>
        </w:div>
        <w:div w:id="628047270">
          <w:marLeft w:val="446"/>
          <w:marRight w:val="0"/>
          <w:marTop w:val="240"/>
          <w:marBottom w:val="0"/>
          <w:divBdr>
            <w:top w:val="none" w:sz="0" w:space="0" w:color="auto"/>
            <w:left w:val="none" w:sz="0" w:space="0" w:color="auto"/>
            <w:bottom w:val="none" w:sz="0" w:space="0" w:color="auto"/>
            <w:right w:val="none" w:sz="0" w:space="0" w:color="auto"/>
          </w:divBdr>
        </w:div>
        <w:div w:id="944003186">
          <w:marLeft w:val="446"/>
          <w:marRight w:val="0"/>
          <w:marTop w:val="240"/>
          <w:marBottom w:val="0"/>
          <w:divBdr>
            <w:top w:val="none" w:sz="0" w:space="0" w:color="auto"/>
            <w:left w:val="none" w:sz="0" w:space="0" w:color="auto"/>
            <w:bottom w:val="none" w:sz="0" w:space="0" w:color="auto"/>
            <w:right w:val="none" w:sz="0" w:space="0" w:color="auto"/>
          </w:divBdr>
        </w:div>
        <w:div w:id="1246569306">
          <w:marLeft w:val="446"/>
          <w:marRight w:val="0"/>
          <w:marTop w:val="240"/>
          <w:marBottom w:val="0"/>
          <w:divBdr>
            <w:top w:val="none" w:sz="0" w:space="0" w:color="auto"/>
            <w:left w:val="none" w:sz="0" w:space="0" w:color="auto"/>
            <w:bottom w:val="none" w:sz="0" w:space="0" w:color="auto"/>
            <w:right w:val="none" w:sz="0" w:space="0" w:color="auto"/>
          </w:divBdr>
        </w:div>
        <w:div w:id="2127960863">
          <w:marLeft w:val="446"/>
          <w:marRight w:val="0"/>
          <w:marTop w:val="240"/>
          <w:marBottom w:val="0"/>
          <w:divBdr>
            <w:top w:val="none" w:sz="0" w:space="0" w:color="auto"/>
            <w:left w:val="none" w:sz="0" w:space="0" w:color="auto"/>
            <w:bottom w:val="none" w:sz="0" w:space="0" w:color="auto"/>
            <w:right w:val="none" w:sz="0" w:space="0" w:color="auto"/>
          </w:divBdr>
        </w:div>
      </w:divsChild>
    </w:div>
    <w:div w:id="427507784">
      <w:bodyDiv w:val="1"/>
      <w:marLeft w:val="0"/>
      <w:marRight w:val="0"/>
      <w:marTop w:val="0"/>
      <w:marBottom w:val="0"/>
      <w:divBdr>
        <w:top w:val="none" w:sz="0" w:space="0" w:color="auto"/>
        <w:left w:val="none" w:sz="0" w:space="0" w:color="auto"/>
        <w:bottom w:val="none" w:sz="0" w:space="0" w:color="auto"/>
        <w:right w:val="none" w:sz="0" w:space="0" w:color="auto"/>
      </w:divBdr>
    </w:div>
    <w:div w:id="439642049">
      <w:bodyDiv w:val="1"/>
      <w:marLeft w:val="0"/>
      <w:marRight w:val="0"/>
      <w:marTop w:val="0"/>
      <w:marBottom w:val="0"/>
      <w:divBdr>
        <w:top w:val="none" w:sz="0" w:space="0" w:color="auto"/>
        <w:left w:val="none" w:sz="0" w:space="0" w:color="auto"/>
        <w:bottom w:val="none" w:sz="0" w:space="0" w:color="auto"/>
        <w:right w:val="none" w:sz="0" w:space="0" w:color="auto"/>
      </w:divBdr>
    </w:div>
    <w:div w:id="452596915">
      <w:bodyDiv w:val="1"/>
      <w:marLeft w:val="0"/>
      <w:marRight w:val="0"/>
      <w:marTop w:val="0"/>
      <w:marBottom w:val="0"/>
      <w:divBdr>
        <w:top w:val="none" w:sz="0" w:space="0" w:color="auto"/>
        <w:left w:val="none" w:sz="0" w:space="0" w:color="auto"/>
        <w:bottom w:val="none" w:sz="0" w:space="0" w:color="auto"/>
        <w:right w:val="none" w:sz="0" w:space="0" w:color="auto"/>
      </w:divBdr>
    </w:div>
    <w:div w:id="525678609">
      <w:bodyDiv w:val="1"/>
      <w:marLeft w:val="0"/>
      <w:marRight w:val="0"/>
      <w:marTop w:val="0"/>
      <w:marBottom w:val="0"/>
      <w:divBdr>
        <w:top w:val="none" w:sz="0" w:space="0" w:color="auto"/>
        <w:left w:val="none" w:sz="0" w:space="0" w:color="auto"/>
        <w:bottom w:val="none" w:sz="0" w:space="0" w:color="auto"/>
        <w:right w:val="none" w:sz="0" w:space="0" w:color="auto"/>
      </w:divBdr>
      <w:divsChild>
        <w:div w:id="28923672">
          <w:marLeft w:val="0"/>
          <w:marRight w:val="0"/>
          <w:marTop w:val="0"/>
          <w:marBottom w:val="0"/>
          <w:divBdr>
            <w:top w:val="none" w:sz="0" w:space="0" w:color="auto"/>
            <w:left w:val="none" w:sz="0" w:space="0" w:color="auto"/>
            <w:bottom w:val="none" w:sz="0" w:space="0" w:color="auto"/>
            <w:right w:val="none" w:sz="0" w:space="0" w:color="auto"/>
          </w:divBdr>
        </w:div>
        <w:div w:id="244386403">
          <w:marLeft w:val="0"/>
          <w:marRight w:val="0"/>
          <w:marTop w:val="0"/>
          <w:marBottom w:val="0"/>
          <w:divBdr>
            <w:top w:val="none" w:sz="0" w:space="0" w:color="auto"/>
            <w:left w:val="none" w:sz="0" w:space="0" w:color="auto"/>
            <w:bottom w:val="none" w:sz="0" w:space="0" w:color="auto"/>
            <w:right w:val="none" w:sz="0" w:space="0" w:color="auto"/>
          </w:divBdr>
        </w:div>
        <w:div w:id="263658140">
          <w:marLeft w:val="0"/>
          <w:marRight w:val="0"/>
          <w:marTop w:val="0"/>
          <w:marBottom w:val="0"/>
          <w:divBdr>
            <w:top w:val="none" w:sz="0" w:space="0" w:color="auto"/>
            <w:left w:val="none" w:sz="0" w:space="0" w:color="auto"/>
            <w:bottom w:val="none" w:sz="0" w:space="0" w:color="auto"/>
            <w:right w:val="none" w:sz="0" w:space="0" w:color="auto"/>
          </w:divBdr>
        </w:div>
        <w:div w:id="298800784">
          <w:marLeft w:val="0"/>
          <w:marRight w:val="0"/>
          <w:marTop w:val="0"/>
          <w:marBottom w:val="0"/>
          <w:divBdr>
            <w:top w:val="none" w:sz="0" w:space="0" w:color="auto"/>
            <w:left w:val="none" w:sz="0" w:space="0" w:color="auto"/>
            <w:bottom w:val="none" w:sz="0" w:space="0" w:color="auto"/>
            <w:right w:val="none" w:sz="0" w:space="0" w:color="auto"/>
          </w:divBdr>
        </w:div>
        <w:div w:id="329870723">
          <w:marLeft w:val="0"/>
          <w:marRight w:val="0"/>
          <w:marTop w:val="0"/>
          <w:marBottom w:val="0"/>
          <w:divBdr>
            <w:top w:val="none" w:sz="0" w:space="0" w:color="auto"/>
            <w:left w:val="none" w:sz="0" w:space="0" w:color="auto"/>
            <w:bottom w:val="none" w:sz="0" w:space="0" w:color="auto"/>
            <w:right w:val="none" w:sz="0" w:space="0" w:color="auto"/>
          </w:divBdr>
        </w:div>
        <w:div w:id="346835456">
          <w:marLeft w:val="0"/>
          <w:marRight w:val="0"/>
          <w:marTop w:val="0"/>
          <w:marBottom w:val="0"/>
          <w:divBdr>
            <w:top w:val="none" w:sz="0" w:space="0" w:color="auto"/>
            <w:left w:val="none" w:sz="0" w:space="0" w:color="auto"/>
            <w:bottom w:val="none" w:sz="0" w:space="0" w:color="auto"/>
            <w:right w:val="none" w:sz="0" w:space="0" w:color="auto"/>
          </w:divBdr>
        </w:div>
        <w:div w:id="376978782">
          <w:marLeft w:val="0"/>
          <w:marRight w:val="0"/>
          <w:marTop w:val="0"/>
          <w:marBottom w:val="0"/>
          <w:divBdr>
            <w:top w:val="none" w:sz="0" w:space="0" w:color="auto"/>
            <w:left w:val="none" w:sz="0" w:space="0" w:color="auto"/>
            <w:bottom w:val="none" w:sz="0" w:space="0" w:color="auto"/>
            <w:right w:val="none" w:sz="0" w:space="0" w:color="auto"/>
          </w:divBdr>
        </w:div>
        <w:div w:id="406461239">
          <w:marLeft w:val="0"/>
          <w:marRight w:val="0"/>
          <w:marTop w:val="0"/>
          <w:marBottom w:val="0"/>
          <w:divBdr>
            <w:top w:val="none" w:sz="0" w:space="0" w:color="auto"/>
            <w:left w:val="none" w:sz="0" w:space="0" w:color="auto"/>
            <w:bottom w:val="none" w:sz="0" w:space="0" w:color="auto"/>
            <w:right w:val="none" w:sz="0" w:space="0" w:color="auto"/>
          </w:divBdr>
        </w:div>
        <w:div w:id="525602293">
          <w:marLeft w:val="0"/>
          <w:marRight w:val="0"/>
          <w:marTop w:val="0"/>
          <w:marBottom w:val="0"/>
          <w:divBdr>
            <w:top w:val="none" w:sz="0" w:space="0" w:color="auto"/>
            <w:left w:val="none" w:sz="0" w:space="0" w:color="auto"/>
            <w:bottom w:val="none" w:sz="0" w:space="0" w:color="auto"/>
            <w:right w:val="none" w:sz="0" w:space="0" w:color="auto"/>
          </w:divBdr>
        </w:div>
        <w:div w:id="690373873">
          <w:marLeft w:val="0"/>
          <w:marRight w:val="0"/>
          <w:marTop w:val="0"/>
          <w:marBottom w:val="0"/>
          <w:divBdr>
            <w:top w:val="none" w:sz="0" w:space="0" w:color="auto"/>
            <w:left w:val="none" w:sz="0" w:space="0" w:color="auto"/>
            <w:bottom w:val="none" w:sz="0" w:space="0" w:color="auto"/>
            <w:right w:val="none" w:sz="0" w:space="0" w:color="auto"/>
          </w:divBdr>
        </w:div>
        <w:div w:id="714937127">
          <w:marLeft w:val="0"/>
          <w:marRight w:val="0"/>
          <w:marTop w:val="0"/>
          <w:marBottom w:val="0"/>
          <w:divBdr>
            <w:top w:val="none" w:sz="0" w:space="0" w:color="auto"/>
            <w:left w:val="none" w:sz="0" w:space="0" w:color="auto"/>
            <w:bottom w:val="none" w:sz="0" w:space="0" w:color="auto"/>
            <w:right w:val="none" w:sz="0" w:space="0" w:color="auto"/>
          </w:divBdr>
        </w:div>
        <w:div w:id="812722583">
          <w:marLeft w:val="0"/>
          <w:marRight w:val="0"/>
          <w:marTop w:val="0"/>
          <w:marBottom w:val="0"/>
          <w:divBdr>
            <w:top w:val="none" w:sz="0" w:space="0" w:color="auto"/>
            <w:left w:val="none" w:sz="0" w:space="0" w:color="auto"/>
            <w:bottom w:val="none" w:sz="0" w:space="0" w:color="auto"/>
            <w:right w:val="none" w:sz="0" w:space="0" w:color="auto"/>
          </w:divBdr>
        </w:div>
        <w:div w:id="882718641">
          <w:marLeft w:val="0"/>
          <w:marRight w:val="0"/>
          <w:marTop w:val="0"/>
          <w:marBottom w:val="0"/>
          <w:divBdr>
            <w:top w:val="none" w:sz="0" w:space="0" w:color="auto"/>
            <w:left w:val="none" w:sz="0" w:space="0" w:color="auto"/>
            <w:bottom w:val="none" w:sz="0" w:space="0" w:color="auto"/>
            <w:right w:val="none" w:sz="0" w:space="0" w:color="auto"/>
          </w:divBdr>
        </w:div>
        <w:div w:id="957372209">
          <w:marLeft w:val="0"/>
          <w:marRight w:val="0"/>
          <w:marTop w:val="0"/>
          <w:marBottom w:val="0"/>
          <w:divBdr>
            <w:top w:val="none" w:sz="0" w:space="0" w:color="auto"/>
            <w:left w:val="none" w:sz="0" w:space="0" w:color="auto"/>
            <w:bottom w:val="none" w:sz="0" w:space="0" w:color="auto"/>
            <w:right w:val="none" w:sz="0" w:space="0" w:color="auto"/>
          </w:divBdr>
        </w:div>
        <w:div w:id="1059591928">
          <w:marLeft w:val="0"/>
          <w:marRight w:val="0"/>
          <w:marTop w:val="0"/>
          <w:marBottom w:val="0"/>
          <w:divBdr>
            <w:top w:val="none" w:sz="0" w:space="0" w:color="auto"/>
            <w:left w:val="none" w:sz="0" w:space="0" w:color="auto"/>
            <w:bottom w:val="none" w:sz="0" w:space="0" w:color="auto"/>
            <w:right w:val="none" w:sz="0" w:space="0" w:color="auto"/>
          </w:divBdr>
        </w:div>
        <w:div w:id="1104807310">
          <w:marLeft w:val="0"/>
          <w:marRight w:val="0"/>
          <w:marTop w:val="0"/>
          <w:marBottom w:val="0"/>
          <w:divBdr>
            <w:top w:val="none" w:sz="0" w:space="0" w:color="auto"/>
            <w:left w:val="none" w:sz="0" w:space="0" w:color="auto"/>
            <w:bottom w:val="none" w:sz="0" w:space="0" w:color="auto"/>
            <w:right w:val="none" w:sz="0" w:space="0" w:color="auto"/>
          </w:divBdr>
        </w:div>
        <w:div w:id="1190148383">
          <w:marLeft w:val="0"/>
          <w:marRight w:val="0"/>
          <w:marTop w:val="0"/>
          <w:marBottom w:val="0"/>
          <w:divBdr>
            <w:top w:val="none" w:sz="0" w:space="0" w:color="auto"/>
            <w:left w:val="none" w:sz="0" w:space="0" w:color="auto"/>
            <w:bottom w:val="none" w:sz="0" w:space="0" w:color="auto"/>
            <w:right w:val="none" w:sz="0" w:space="0" w:color="auto"/>
          </w:divBdr>
        </w:div>
        <w:div w:id="1280263677">
          <w:marLeft w:val="0"/>
          <w:marRight w:val="0"/>
          <w:marTop w:val="0"/>
          <w:marBottom w:val="0"/>
          <w:divBdr>
            <w:top w:val="none" w:sz="0" w:space="0" w:color="auto"/>
            <w:left w:val="none" w:sz="0" w:space="0" w:color="auto"/>
            <w:bottom w:val="none" w:sz="0" w:space="0" w:color="auto"/>
            <w:right w:val="none" w:sz="0" w:space="0" w:color="auto"/>
          </w:divBdr>
        </w:div>
        <w:div w:id="1306542729">
          <w:marLeft w:val="0"/>
          <w:marRight w:val="0"/>
          <w:marTop w:val="0"/>
          <w:marBottom w:val="0"/>
          <w:divBdr>
            <w:top w:val="none" w:sz="0" w:space="0" w:color="auto"/>
            <w:left w:val="none" w:sz="0" w:space="0" w:color="auto"/>
            <w:bottom w:val="none" w:sz="0" w:space="0" w:color="auto"/>
            <w:right w:val="none" w:sz="0" w:space="0" w:color="auto"/>
          </w:divBdr>
        </w:div>
        <w:div w:id="1318416524">
          <w:marLeft w:val="0"/>
          <w:marRight w:val="0"/>
          <w:marTop w:val="0"/>
          <w:marBottom w:val="0"/>
          <w:divBdr>
            <w:top w:val="none" w:sz="0" w:space="0" w:color="auto"/>
            <w:left w:val="none" w:sz="0" w:space="0" w:color="auto"/>
            <w:bottom w:val="none" w:sz="0" w:space="0" w:color="auto"/>
            <w:right w:val="none" w:sz="0" w:space="0" w:color="auto"/>
          </w:divBdr>
        </w:div>
        <w:div w:id="1387023781">
          <w:marLeft w:val="0"/>
          <w:marRight w:val="0"/>
          <w:marTop w:val="0"/>
          <w:marBottom w:val="0"/>
          <w:divBdr>
            <w:top w:val="none" w:sz="0" w:space="0" w:color="auto"/>
            <w:left w:val="none" w:sz="0" w:space="0" w:color="auto"/>
            <w:bottom w:val="none" w:sz="0" w:space="0" w:color="auto"/>
            <w:right w:val="none" w:sz="0" w:space="0" w:color="auto"/>
          </w:divBdr>
        </w:div>
        <w:div w:id="1604680594">
          <w:marLeft w:val="0"/>
          <w:marRight w:val="0"/>
          <w:marTop w:val="0"/>
          <w:marBottom w:val="0"/>
          <w:divBdr>
            <w:top w:val="none" w:sz="0" w:space="0" w:color="auto"/>
            <w:left w:val="none" w:sz="0" w:space="0" w:color="auto"/>
            <w:bottom w:val="none" w:sz="0" w:space="0" w:color="auto"/>
            <w:right w:val="none" w:sz="0" w:space="0" w:color="auto"/>
          </w:divBdr>
        </w:div>
        <w:div w:id="1638993367">
          <w:marLeft w:val="0"/>
          <w:marRight w:val="0"/>
          <w:marTop w:val="0"/>
          <w:marBottom w:val="0"/>
          <w:divBdr>
            <w:top w:val="none" w:sz="0" w:space="0" w:color="auto"/>
            <w:left w:val="none" w:sz="0" w:space="0" w:color="auto"/>
            <w:bottom w:val="none" w:sz="0" w:space="0" w:color="auto"/>
            <w:right w:val="none" w:sz="0" w:space="0" w:color="auto"/>
          </w:divBdr>
        </w:div>
        <w:div w:id="1696034421">
          <w:marLeft w:val="0"/>
          <w:marRight w:val="0"/>
          <w:marTop w:val="0"/>
          <w:marBottom w:val="0"/>
          <w:divBdr>
            <w:top w:val="none" w:sz="0" w:space="0" w:color="auto"/>
            <w:left w:val="none" w:sz="0" w:space="0" w:color="auto"/>
            <w:bottom w:val="none" w:sz="0" w:space="0" w:color="auto"/>
            <w:right w:val="none" w:sz="0" w:space="0" w:color="auto"/>
          </w:divBdr>
        </w:div>
        <w:div w:id="1799375275">
          <w:marLeft w:val="0"/>
          <w:marRight w:val="0"/>
          <w:marTop w:val="0"/>
          <w:marBottom w:val="0"/>
          <w:divBdr>
            <w:top w:val="none" w:sz="0" w:space="0" w:color="auto"/>
            <w:left w:val="none" w:sz="0" w:space="0" w:color="auto"/>
            <w:bottom w:val="none" w:sz="0" w:space="0" w:color="auto"/>
            <w:right w:val="none" w:sz="0" w:space="0" w:color="auto"/>
          </w:divBdr>
        </w:div>
        <w:div w:id="1835222610">
          <w:marLeft w:val="0"/>
          <w:marRight w:val="0"/>
          <w:marTop w:val="0"/>
          <w:marBottom w:val="0"/>
          <w:divBdr>
            <w:top w:val="none" w:sz="0" w:space="0" w:color="auto"/>
            <w:left w:val="none" w:sz="0" w:space="0" w:color="auto"/>
            <w:bottom w:val="none" w:sz="0" w:space="0" w:color="auto"/>
            <w:right w:val="none" w:sz="0" w:space="0" w:color="auto"/>
          </w:divBdr>
        </w:div>
        <w:div w:id="1871989744">
          <w:marLeft w:val="0"/>
          <w:marRight w:val="0"/>
          <w:marTop w:val="0"/>
          <w:marBottom w:val="0"/>
          <w:divBdr>
            <w:top w:val="none" w:sz="0" w:space="0" w:color="auto"/>
            <w:left w:val="none" w:sz="0" w:space="0" w:color="auto"/>
            <w:bottom w:val="none" w:sz="0" w:space="0" w:color="auto"/>
            <w:right w:val="none" w:sz="0" w:space="0" w:color="auto"/>
          </w:divBdr>
        </w:div>
        <w:div w:id="1895845407">
          <w:marLeft w:val="0"/>
          <w:marRight w:val="0"/>
          <w:marTop w:val="0"/>
          <w:marBottom w:val="0"/>
          <w:divBdr>
            <w:top w:val="none" w:sz="0" w:space="0" w:color="auto"/>
            <w:left w:val="none" w:sz="0" w:space="0" w:color="auto"/>
            <w:bottom w:val="none" w:sz="0" w:space="0" w:color="auto"/>
            <w:right w:val="none" w:sz="0" w:space="0" w:color="auto"/>
          </w:divBdr>
        </w:div>
        <w:div w:id="1911111837">
          <w:marLeft w:val="0"/>
          <w:marRight w:val="0"/>
          <w:marTop w:val="0"/>
          <w:marBottom w:val="0"/>
          <w:divBdr>
            <w:top w:val="none" w:sz="0" w:space="0" w:color="auto"/>
            <w:left w:val="none" w:sz="0" w:space="0" w:color="auto"/>
            <w:bottom w:val="none" w:sz="0" w:space="0" w:color="auto"/>
            <w:right w:val="none" w:sz="0" w:space="0" w:color="auto"/>
          </w:divBdr>
        </w:div>
        <w:div w:id="1981840463">
          <w:marLeft w:val="0"/>
          <w:marRight w:val="0"/>
          <w:marTop w:val="0"/>
          <w:marBottom w:val="0"/>
          <w:divBdr>
            <w:top w:val="none" w:sz="0" w:space="0" w:color="auto"/>
            <w:left w:val="none" w:sz="0" w:space="0" w:color="auto"/>
            <w:bottom w:val="none" w:sz="0" w:space="0" w:color="auto"/>
            <w:right w:val="none" w:sz="0" w:space="0" w:color="auto"/>
          </w:divBdr>
        </w:div>
        <w:div w:id="2075198458">
          <w:marLeft w:val="0"/>
          <w:marRight w:val="0"/>
          <w:marTop w:val="0"/>
          <w:marBottom w:val="0"/>
          <w:divBdr>
            <w:top w:val="none" w:sz="0" w:space="0" w:color="auto"/>
            <w:left w:val="none" w:sz="0" w:space="0" w:color="auto"/>
            <w:bottom w:val="none" w:sz="0" w:space="0" w:color="auto"/>
            <w:right w:val="none" w:sz="0" w:space="0" w:color="auto"/>
          </w:divBdr>
        </w:div>
        <w:div w:id="2082874032">
          <w:marLeft w:val="0"/>
          <w:marRight w:val="0"/>
          <w:marTop w:val="0"/>
          <w:marBottom w:val="0"/>
          <w:divBdr>
            <w:top w:val="none" w:sz="0" w:space="0" w:color="auto"/>
            <w:left w:val="none" w:sz="0" w:space="0" w:color="auto"/>
            <w:bottom w:val="none" w:sz="0" w:space="0" w:color="auto"/>
            <w:right w:val="none" w:sz="0" w:space="0" w:color="auto"/>
          </w:divBdr>
        </w:div>
      </w:divsChild>
    </w:div>
    <w:div w:id="546457047">
      <w:bodyDiv w:val="1"/>
      <w:marLeft w:val="0"/>
      <w:marRight w:val="0"/>
      <w:marTop w:val="0"/>
      <w:marBottom w:val="0"/>
      <w:divBdr>
        <w:top w:val="none" w:sz="0" w:space="0" w:color="auto"/>
        <w:left w:val="none" w:sz="0" w:space="0" w:color="auto"/>
        <w:bottom w:val="none" w:sz="0" w:space="0" w:color="auto"/>
        <w:right w:val="none" w:sz="0" w:space="0" w:color="auto"/>
      </w:divBdr>
    </w:div>
    <w:div w:id="584270325">
      <w:bodyDiv w:val="1"/>
      <w:marLeft w:val="0"/>
      <w:marRight w:val="0"/>
      <w:marTop w:val="0"/>
      <w:marBottom w:val="0"/>
      <w:divBdr>
        <w:top w:val="none" w:sz="0" w:space="0" w:color="auto"/>
        <w:left w:val="none" w:sz="0" w:space="0" w:color="auto"/>
        <w:bottom w:val="none" w:sz="0" w:space="0" w:color="auto"/>
        <w:right w:val="none" w:sz="0" w:space="0" w:color="auto"/>
      </w:divBdr>
    </w:div>
    <w:div w:id="655379615">
      <w:bodyDiv w:val="1"/>
      <w:marLeft w:val="0"/>
      <w:marRight w:val="0"/>
      <w:marTop w:val="0"/>
      <w:marBottom w:val="0"/>
      <w:divBdr>
        <w:top w:val="none" w:sz="0" w:space="0" w:color="auto"/>
        <w:left w:val="none" w:sz="0" w:space="0" w:color="auto"/>
        <w:bottom w:val="none" w:sz="0" w:space="0" w:color="auto"/>
        <w:right w:val="none" w:sz="0" w:space="0" w:color="auto"/>
      </w:divBdr>
      <w:divsChild>
        <w:div w:id="928856656">
          <w:marLeft w:val="1800"/>
          <w:marRight w:val="0"/>
          <w:marTop w:val="82"/>
          <w:marBottom w:val="0"/>
          <w:divBdr>
            <w:top w:val="none" w:sz="0" w:space="0" w:color="auto"/>
            <w:left w:val="none" w:sz="0" w:space="0" w:color="auto"/>
            <w:bottom w:val="none" w:sz="0" w:space="0" w:color="auto"/>
            <w:right w:val="none" w:sz="0" w:space="0" w:color="auto"/>
          </w:divBdr>
        </w:div>
      </w:divsChild>
    </w:div>
    <w:div w:id="663554995">
      <w:bodyDiv w:val="1"/>
      <w:marLeft w:val="0"/>
      <w:marRight w:val="0"/>
      <w:marTop w:val="0"/>
      <w:marBottom w:val="0"/>
      <w:divBdr>
        <w:top w:val="none" w:sz="0" w:space="0" w:color="auto"/>
        <w:left w:val="none" w:sz="0" w:space="0" w:color="auto"/>
        <w:bottom w:val="none" w:sz="0" w:space="0" w:color="auto"/>
        <w:right w:val="none" w:sz="0" w:space="0" w:color="auto"/>
      </w:divBdr>
    </w:div>
    <w:div w:id="673460527">
      <w:bodyDiv w:val="1"/>
      <w:marLeft w:val="0"/>
      <w:marRight w:val="0"/>
      <w:marTop w:val="0"/>
      <w:marBottom w:val="0"/>
      <w:divBdr>
        <w:top w:val="none" w:sz="0" w:space="0" w:color="auto"/>
        <w:left w:val="none" w:sz="0" w:space="0" w:color="auto"/>
        <w:bottom w:val="none" w:sz="0" w:space="0" w:color="auto"/>
        <w:right w:val="none" w:sz="0" w:space="0" w:color="auto"/>
      </w:divBdr>
    </w:div>
    <w:div w:id="686907310">
      <w:bodyDiv w:val="1"/>
      <w:marLeft w:val="0"/>
      <w:marRight w:val="0"/>
      <w:marTop w:val="0"/>
      <w:marBottom w:val="0"/>
      <w:divBdr>
        <w:top w:val="none" w:sz="0" w:space="0" w:color="auto"/>
        <w:left w:val="none" w:sz="0" w:space="0" w:color="auto"/>
        <w:bottom w:val="none" w:sz="0" w:space="0" w:color="auto"/>
        <w:right w:val="none" w:sz="0" w:space="0" w:color="auto"/>
      </w:divBdr>
    </w:div>
    <w:div w:id="707224478">
      <w:bodyDiv w:val="1"/>
      <w:marLeft w:val="0"/>
      <w:marRight w:val="0"/>
      <w:marTop w:val="0"/>
      <w:marBottom w:val="0"/>
      <w:divBdr>
        <w:top w:val="none" w:sz="0" w:space="0" w:color="auto"/>
        <w:left w:val="none" w:sz="0" w:space="0" w:color="auto"/>
        <w:bottom w:val="none" w:sz="0" w:space="0" w:color="auto"/>
        <w:right w:val="none" w:sz="0" w:space="0" w:color="auto"/>
      </w:divBdr>
      <w:divsChild>
        <w:div w:id="1692029632">
          <w:marLeft w:val="648"/>
          <w:marRight w:val="0"/>
          <w:marTop w:val="48"/>
          <w:marBottom w:val="0"/>
          <w:divBdr>
            <w:top w:val="none" w:sz="0" w:space="0" w:color="auto"/>
            <w:left w:val="none" w:sz="0" w:space="0" w:color="auto"/>
            <w:bottom w:val="none" w:sz="0" w:space="0" w:color="auto"/>
            <w:right w:val="none" w:sz="0" w:space="0" w:color="auto"/>
          </w:divBdr>
        </w:div>
      </w:divsChild>
    </w:div>
    <w:div w:id="754933232">
      <w:bodyDiv w:val="1"/>
      <w:marLeft w:val="0"/>
      <w:marRight w:val="0"/>
      <w:marTop w:val="0"/>
      <w:marBottom w:val="0"/>
      <w:divBdr>
        <w:top w:val="none" w:sz="0" w:space="0" w:color="auto"/>
        <w:left w:val="none" w:sz="0" w:space="0" w:color="auto"/>
        <w:bottom w:val="none" w:sz="0" w:space="0" w:color="auto"/>
        <w:right w:val="none" w:sz="0" w:space="0" w:color="auto"/>
      </w:divBdr>
    </w:div>
    <w:div w:id="774902681">
      <w:bodyDiv w:val="1"/>
      <w:marLeft w:val="0"/>
      <w:marRight w:val="0"/>
      <w:marTop w:val="0"/>
      <w:marBottom w:val="0"/>
      <w:divBdr>
        <w:top w:val="none" w:sz="0" w:space="0" w:color="auto"/>
        <w:left w:val="none" w:sz="0" w:space="0" w:color="auto"/>
        <w:bottom w:val="none" w:sz="0" w:space="0" w:color="auto"/>
        <w:right w:val="none" w:sz="0" w:space="0" w:color="auto"/>
      </w:divBdr>
      <w:divsChild>
        <w:div w:id="82606667">
          <w:marLeft w:val="0"/>
          <w:marRight w:val="0"/>
          <w:marTop w:val="0"/>
          <w:marBottom w:val="0"/>
          <w:divBdr>
            <w:top w:val="none" w:sz="0" w:space="0" w:color="auto"/>
            <w:left w:val="none" w:sz="0" w:space="0" w:color="auto"/>
            <w:bottom w:val="none" w:sz="0" w:space="0" w:color="auto"/>
            <w:right w:val="none" w:sz="0" w:space="0" w:color="auto"/>
          </w:divBdr>
        </w:div>
        <w:div w:id="107941441">
          <w:marLeft w:val="0"/>
          <w:marRight w:val="0"/>
          <w:marTop w:val="0"/>
          <w:marBottom w:val="0"/>
          <w:divBdr>
            <w:top w:val="none" w:sz="0" w:space="0" w:color="auto"/>
            <w:left w:val="none" w:sz="0" w:space="0" w:color="auto"/>
            <w:bottom w:val="none" w:sz="0" w:space="0" w:color="auto"/>
            <w:right w:val="none" w:sz="0" w:space="0" w:color="auto"/>
          </w:divBdr>
        </w:div>
        <w:div w:id="110905883">
          <w:marLeft w:val="0"/>
          <w:marRight w:val="0"/>
          <w:marTop w:val="0"/>
          <w:marBottom w:val="0"/>
          <w:divBdr>
            <w:top w:val="none" w:sz="0" w:space="0" w:color="auto"/>
            <w:left w:val="none" w:sz="0" w:space="0" w:color="auto"/>
            <w:bottom w:val="none" w:sz="0" w:space="0" w:color="auto"/>
            <w:right w:val="none" w:sz="0" w:space="0" w:color="auto"/>
          </w:divBdr>
        </w:div>
        <w:div w:id="216403887">
          <w:marLeft w:val="0"/>
          <w:marRight w:val="0"/>
          <w:marTop w:val="0"/>
          <w:marBottom w:val="0"/>
          <w:divBdr>
            <w:top w:val="none" w:sz="0" w:space="0" w:color="auto"/>
            <w:left w:val="none" w:sz="0" w:space="0" w:color="auto"/>
            <w:bottom w:val="none" w:sz="0" w:space="0" w:color="auto"/>
            <w:right w:val="none" w:sz="0" w:space="0" w:color="auto"/>
          </w:divBdr>
        </w:div>
        <w:div w:id="244265455">
          <w:marLeft w:val="0"/>
          <w:marRight w:val="0"/>
          <w:marTop w:val="0"/>
          <w:marBottom w:val="0"/>
          <w:divBdr>
            <w:top w:val="none" w:sz="0" w:space="0" w:color="auto"/>
            <w:left w:val="none" w:sz="0" w:space="0" w:color="auto"/>
            <w:bottom w:val="none" w:sz="0" w:space="0" w:color="auto"/>
            <w:right w:val="none" w:sz="0" w:space="0" w:color="auto"/>
          </w:divBdr>
        </w:div>
        <w:div w:id="284391117">
          <w:marLeft w:val="0"/>
          <w:marRight w:val="0"/>
          <w:marTop w:val="0"/>
          <w:marBottom w:val="0"/>
          <w:divBdr>
            <w:top w:val="none" w:sz="0" w:space="0" w:color="auto"/>
            <w:left w:val="none" w:sz="0" w:space="0" w:color="auto"/>
            <w:bottom w:val="none" w:sz="0" w:space="0" w:color="auto"/>
            <w:right w:val="none" w:sz="0" w:space="0" w:color="auto"/>
          </w:divBdr>
        </w:div>
        <w:div w:id="735711423">
          <w:marLeft w:val="0"/>
          <w:marRight w:val="0"/>
          <w:marTop w:val="0"/>
          <w:marBottom w:val="0"/>
          <w:divBdr>
            <w:top w:val="none" w:sz="0" w:space="0" w:color="auto"/>
            <w:left w:val="none" w:sz="0" w:space="0" w:color="auto"/>
            <w:bottom w:val="none" w:sz="0" w:space="0" w:color="auto"/>
            <w:right w:val="none" w:sz="0" w:space="0" w:color="auto"/>
          </w:divBdr>
        </w:div>
        <w:div w:id="821852068">
          <w:marLeft w:val="0"/>
          <w:marRight w:val="0"/>
          <w:marTop w:val="0"/>
          <w:marBottom w:val="0"/>
          <w:divBdr>
            <w:top w:val="none" w:sz="0" w:space="0" w:color="auto"/>
            <w:left w:val="none" w:sz="0" w:space="0" w:color="auto"/>
            <w:bottom w:val="none" w:sz="0" w:space="0" w:color="auto"/>
            <w:right w:val="none" w:sz="0" w:space="0" w:color="auto"/>
          </w:divBdr>
        </w:div>
        <w:div w:id="1089961822">
          <w:marLeft w:val="0"/>
          <w:marRight w:val="0"/>
          <w:marTop w:val="0"/>
          <w:marBottom w:val="0"/>
          <w:divBdr>
            <w:top w:val="none" w:sz="0" w:space="0" w:color="auto"/>
            <w:left w:val="none" w:sz="0" w:space="0" w:color="auto"/>
            <w:bottom w:val="none" w:sz="0" w:space="0" w:color="auto"/>
            <w:right w:val="none" w:sz="0" w:space="0" w:color="auto"/>
          </w:divBdr>
        </w:div>
        <w:div w:id="1123888186">
          <w:marLeft w:val="0"/>
          <w:marRight w:val="0"/>
          <w:marTop w:val="0"/>
          <w:marBottom w:val="0"/>
          <w:divBdr>
            <w:top w:val="none" w:sz="0" w:space="0" w:color="auto"/>
            <w:left w:val="none" w:sz="0" w:space="0" w:color="auto"/>
            <w:bottom w:val="none" w:sz="0" w:space="0" w:color="auto"/>
            <w:right w:val="none" w:sz="0" w:space="0" w:color="auto"/>
          </w:divBdr>
        </w:div>
        <w:div w:id="1209679553">
          <w:marLeft w:val="0"/>
          <w:marRight w:val="0"/>
          <w:marTop w:val="0"/>
          <w:marBottom w:val="0"/>
          <w:divBdr>
            <w:top w:val="none" w:sz="0" w:space="0" w:color="auto"/>
            <w:left w:val="none" w:sz="0" w:space="0" w:color="auto"/>
            <w:bottom w:val="none" w:sz="0" w:space="0" w:color="auto"/>
            <w:right w:val="none" w:sz="0" w:space="0" w:color="auto"/>
          </w:divBdr>
        </w:div>
        <w:div w:id="1358891197">
          <w:marLeft w:val="0"/>
          <w:marRight w:val="0"/>
          <w:marTop w:val="0"/>
          <w:marBottom w:val="0"/>
          <w:divBdr>
            <w:top w:val="none" w:sz="0" w:space="0" w:color="auto"/>
            <w:left w:val="none" w:sz="0" w:space="0" w:color="auto"/>
            <w:bottom w:val="none" w:sz="0" w:space="0" w:color="auto"/>
            <w:right w:val="none" w:sz="0" w:space="0" w:color="auto"/>
          </w:divBdr>
        </w:div>
        <w:div w:id="1411655276">
          <w:marLeft w:val="0"/>
          <w:marRight w:val="0"/>
          <w:marTop w:val="0"/>
          <w:marBottom w:val="0"/>
          <w:divBdr>
            <w:top w:val="none" w:sz="0" w:space="0" w:color="auto"/>
            <w:left w:val="none" w:sz="0" w:space="0" w:color="auto"/>
            <w:bottom w:val="none" w:sz="0" w:space="0" w:color="auto"/>
            <w:right w:val="none" w:sz="0" w:space="0" w:color="auto"/>
          </w:divBdr>
        </w:div>
        <w:div w:id="1885869124">
          <w:marLeft w:val="0"/>
          <w:marRight w:val="0"/>
          <w:marTop w:val="0"/>
          <w:marBottom w:val="0"/>
          <w:divBdr>
            <w:top w:val="none" w:sz="0" w:space="0" w:color="auto"/>
            <w:left w:val="none" w:sz="0" w:space="0" w:color="auto"/>
            <w:bottom w:val="none" w:sz="0" w:space="0" w:color="auto"/>
            <w:right w:val="none" w:sz="0" w:space="0" w:color="auto"/>
          </w:divBdr>
        </w:div>
        <w:div w:id="1967587900">
          <w:marLeft w:val="0"/>
          <w:marRight w:val="0"/>
          <w:marTop w:val="0"/>
          <w:marBottom w:val="0"/>
          <w:divBdr>
            <w:top w:val="none" w:sz="0" w:space="0" w:color="auto"/>
            <w:left w:val="none" w:sz="0" w:space="0" w:color="auto"/>
            <w:bottom w:val="none" w:sz="0" w:space="0" w:color="auto"/>
            <w:right w:val="none" w:sz="0" w:space="0" w:color="auto"/>
          </w:divBdr>
        </w:div>
      </w:divsChild>
    </w:div>
    <w:div w:id="795753127">
      <w:bodyDiv w:val="1"/>
      <w:marLeft w:val="0"/>
      <w:marRight w:val="0"/>
      <w:marTop w:val="0"/>
      <w:marBottom w:val="0"/>
      <w:divBdr>
        <w:top w:val="none" w:sz="0" w:space="0" w:color="auto"/>
        <w:left w:val="none" w:sz="0" w:space="0" w:color="auto"/>
        <w:bottom w:val="none" w:sz="0" w:space="0" w:color="auto"/>
        <w:right w:val="none" w:sz="0" w:space="0" w:color="auto"/>
      </w:divBdr>
    </w:div>
    <w:div w:id="847064787">
      <w:bodyDiv w:val="1"/>
      <w:marLeft w:val="0"/>
      <w:marRight w:val="0"/>
      <w:marTop w:val="0"/>
      <w:marBottom w:val="0"/>
      <w:divBdr>
        <w:top w:val="none" w:sz="0" w:space="0" w:color="auto"/>
        <w:left w:val="none" w:sz="0" w:space="0" w:color="auto"/>
        <w:bottom w:val="none" w:sz="0" w:space="0" w:color="auto"/>
        <w:right w:val="none" w:sz="0" w:space="0" w:color="auto"/>
      </w:divBdr>
    </w:div>
    <w:div w:id="886261645">
      <w:bodyDiv w:val="1"/>
      <w:marLeft w:val="0"/>
      <w:marRight w:val="0"/>
      <w:marTop w:val="0"/>
      <w:marBottom w:val="0"/>
      <w:divBdr>
        <w:top w:val="none" w:sz="0" w:space="0" w:color="auto"/>
        <w:left w:val="none" w:sz="0" w:space="0" w:color="auto"/>
        <w:bottom w:val="none" w:sz="0" w:space="0" w:color="auto"/>
        <w:right w:val="none" w:sz="0" w:space="0" w:color="auto"/>
      </w:divBdr>
    </w:div>
    <w:div w:id="893925222">
      <w:bodyDiv w:val="1"/>
      <w:marLeft w:val="0"/>
      <w:marRight w:val="0"/>
      <w:marTop w:val="0"/>
      <w:marBottom w:val="0"/>
      <w:divBdr>
        <w:top w:val="none" w:sz="0" w:space="0" w:color="auto"/>
        <w:left w:val="none" w:sz="0" w:space="0" w:color="auto"/>
        <w:bottom w:val="none" w:sz="0" w:space="0" w:color="auto"/>
        <w:right w:val="none" w:sz="0" w:space="0" w:color="auto"/>
      </w:divBdr>
    </w:div>
    <w:div w:id="982538674">
      <w:bodyDiv w:val="1"/>
      <w:marLeft w:val="0"/>
      <w:marRight w:val="0"/>
      <w:marTop w:val="0"/>
      <w:marBottom w:val="0"/>
      <w:divBdr>
        <w:top w:val="none" w:sz="0" w:space="0" w:color="auto"/>
        <w:left w:val="none" w:sz="0" w:space="0" w:color="auto"/>
        <w:bottom w:val="none" w:sz="0" w:space="0" w:color="auto"/>
        <w:right w:val="none" w:sz="0" w:space="0" w:color="auto"/>
      </w:divBdr>
    </w:div>
    <w:div w:id="995112701">
      <w:bodyDiv w:val="1"/>
      <w:marLeft w:val="0"/>
      <w:marRight w:val="0"/>
      <w:marTop w:val="0"/>
      <w:marBottom w:val="0"/>
      <w:divBdr>
        <w:top w:val="none" w:sz="0" w:space="0" w:color="auto"/>
        <w:left w:val="none" w:sz="0" w:space="0" w:color="auto"/>
        <w:bottom w:val="none" w:sz="0" w:space="0" w:color="auto"/>
        <w:right w:val="none" w:sz="0" w:space="0" w:color="auto"/>
      </w:divBdr>
    </w:div>
    <w:div w:id="995720206">
      <w:bodyDiv w:val="1"/>
      <w:marLeft w:val="0"/>
      <w:marRight w:val="0"/>
      <w:marTop w:val="0"/>
      <w:marBottom w:val="0"/>
      <w:divBdr>
        <w:top w:val="none" w:sz="0" w:space="0" w:color="auto"/>
        <w:left w:val="none" w:sz="0" w:space="0" w:color="auto"/>
        <w:bottom w:val="none" w:sz="0" w:space="0" w:color="auto"/>
        <w:right w:val="none" w:sz="0" w:space="0" w:color="auto"/>
      </w:divBdr>
    </w:div>
    <w:div w:id="1006051345">
      <w:bodyDiv w:val="1"/>
      <w:marLeft w:val="0"/>
      <w:marRight w:val="0"/>
      <w:marTop w:val="0"/>
      <w:marBottom w:val="0"/>
      <w:divBdr>
        <w:top w:val="none" w:sz="0" w:space="0" w:color="auto"/>
        <w:left w:val="none" w:sz="0" w:space="0" w:color="auto"/>
        <w:bottom w:val="none" w:sz="0" w:space="0" w:color="auto"/>
        <w:right w:val="none" w:sz="0" w:space="0" w:color="auto"/>
      </w:divBdr>
    </w:div>
    <w:div w:id="1042558388">
      <w:bodyDiv w:val="1"/>
      <w:marLeft w:val="0"/>
      <w:marRight w:val="0"/>
      <w:marTop w:val="0"/>
      <w:marBottom w:val="0"/>
      <w:divBdr>
        <w:top w:val="none" w:sz="0" w:space="0" w:color="auto"/>
        <w:left w:val="none" w:sz="0" w:space="0" w:color="auto"/>
        <w:bottom w:val="none" w:sz="0" w:space="0" w:color="auto"/>
        <w:right w:val="none" w:sz="0" w:space="0" w:color="auto"/>
      </w:divBdr>
    </w:div>
    <w:div w:id="1047877389">
      <w:bodyDiv w:val="1"/>
      <w:marLeft w:val="0"/>
      <w:marRight w:val="0"/>
      <w:marTop w:val="0"/>
      <w:marBottom w:val="0"/>
      <w:divBdr>
        <w:top w:val="none" w:sz="0" w:space="0" w:color="auto"/>
        <w:left w:val="none" w:sz="0" w:space="0" w:color="auto"/>
        <w:bottom w:val="none" w:sz="0" w:space="0" w:color="auto"/>
        <w:right w:val="none" w:sz="0" w:space="0" w:color="auto"/>
      </w:divBdr>
    </w:div>
    <w:div w:id="1069810301">
      <w:bodyDiv w:val="1"/>
      <w:marLeft w:val="0"/>
      <w:marRight w:val="0"/>
      <w:marTop w:val="0"/>
      <w:marBottom w:val="0"/>
      <w:divBdr>
        <w:top w:val="none" w:sz="0" w:space="0" w:color="auto"/>
        <w:left w:val="none" w:sz="0" w:space="0" w:color="auto"/>
        <w:bottom w:val="none" w:sz="0" w:space="0" w:color="auto"/>
        <w:right w:val="none" w:sz="0" w:space="0" w:color="auto"/>
      </w:divBdr>
    </w:div>
    <w:div w:id="1095052273">
      <w:bodyDiv w:val="1"/>
      <w:marLeft w:val="0"/>
      <w:marRight w:val="0"/>
      <w:marTop w:val="0"/>
      <w:marBottom w:val="0"/>
      <w:divBdr>
        <w:top w:val="none" w:sz="0" w:space="0" w:color="auto"/>
        <w:left w:val="none" w:sz="0" w:space="0" w:color="auto"/>
        <w:bottom w:val="none" w:sz="0" w:space="0" w:color="auto"/>
        <w:right w:val="none" w:sz="0" w:space="0" w:color="auto"/>
      </w:divBdr>
    </w:div>
    <w:div w:id="1131899597">
      <w:bodyDiv w:val="1"/>
      <w:marLeft w:val="0"/>
      <w:marRight w:val="0"/>
      <w:marTop w:val="0"/>
      <w:marBottom w:val="0"/>
      <w:divBdr>
        <w:top w:val="none" w:sz="0" w:space="0" w:color="auto"/>
        <w:left w:val="none" w:sz="0" w:space="0" w:color="auto"/>
        <w:bottom w:val="none" w:sz="0" w:space="0" w:color="auto"/>
        <w:right w:val="none" w:sz="0" w:space="0" w:color="auto"/>
      </w:divBdr>
      <w:divsChild>
        <w:div w:id="1337996377">
          <w:marLeft w:val="0"/>
          <w:marRight w:val="0"/>
          <w:marTop w:val="0"/>
          <w:marBottom w:val="0"/>
          <w:divBdr>
            <w:top w:val="none" w:sz="0" w:space="0" w:color="auto"/>
            <w:left w:val="none" w:sz="0" w:space="0" w:color="auto"/>
            <w:bottom w:val="none" w:sz="0" w:space="0" w:color="auto"/>
            <w:right w:val="none" w:sz="0" w:space="0" w:color="auto"/>
          </w:divBdr>
          <w:divsChild>
            <w:div w:id="61610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56074091">
      <w:bodyDiv w:val="1"/>
      <w:marLeft w:val="0"/>
      <w:marRight w:val="0"/>
      <w:marTop w:val="0"/>
      <w:marBottom w:val="0"/>
      <w:divBdr>
        <w:top w:val="none" w:sz="0" w:space="0" w:color="auto"/>
        <w:left w:val="none" w:sz="0" w:space="0" w:color="auto"/>
        <w:bottom w:val="none" w:sz="0" w:space="0" w:color="auto"/>
        <w:right w:val="none" w:sz="0" w:space="0" w:color="auto"/>
      </w:divBdr>
      <w:divsChild>
        <w:div w:id="1327126863">
          <w:marLeft w:val="1166"/>
          <w:marRight w:val="0"/>
          <w:marTop w:val="134"/>
          <w:marBottom w:val="0"/>
          <w:divBdr>
            <w:top w:val="none" w:sz="0" w:space="0" w:color="auto"/>
            <w:left w:val="none" w:sz="0" w:space="0" w:color="auto"/>
            <w:bottom w:val="none" w:sz="0" w:space="0" w:color="auto"/>
            <w:right w:val="none" w:sz="0" w:space="0" w:color="auto"/>
          </w:divBdr>
        </w:div>
      </w:divsChild>
    </w:div>
    <w:div w:id="1186867428">
      <w:bodyDiv w:val="1"/>
      <w:marLeft w:val="0"/>
      <w:marRight w:val="0"/>
      <w:marTop w:val="0"/>
      <w:marBottom w:val="0"/>
      <w:divBdr>
        <w:top w:val="none" w:sz="0" w:space="0" w:color="auto"/>
        <w:left w:val="none" w:sz="0" w:space="0" w:color="auto"/>
        <w:bottom w:val="none" w:sz="0" w:space="0" w:color="auto"/>
        <w:right w:val="none" w:sz="0" w:space="0" w:color="auto"/>
      </w:divBdr>
    </w:div>
    <w:div w:id="1210386550">
      <w:bodyDiv w:val="1"/>
      <w:marLeft w:val="0"/>
      <w:marRight w:val="0"/>
      <w:marTop w:val="0"/>
      <w:marBottom w:val="0"/>
      <w:divBdr>
        <w:top w:val="none" w:sz="0" w:space="0" w:color="auto"/>
        <w:left w:val="none" w:sz="0" w:space="0" w:color="auto"/>
        <w:bottom w:val="none" w:sz="0" w:space="0" w:color="auto"/>
        <w:right w:val="none" w:sz="0" w:space="0" w:color="auto"/>
      </w:divBdr>
    </w:div>
    <w:div w:id="1243024260">
      <w:bodyDiv w:val="1"/>
      <w:marLeft w:val="0"/>
      <w:marRight w:val="0"/>
      <w:marTop w:val="0"/>
      <w:marBottom w:val="0"/>
      <w:divBdr>
        <w:top w:val="none" w:sz="0" w:space="0" w:color="auto"/>
        <w:left w:val="none" w:sz="0" w:space="0" w:color="auto"/>
        <w:bottom w:val="none" w:sz="0" w:space="0" w:color="auto"/>
        <w:right w:val="none" w:sz="0" w:space="0" w:color="auto"/>
      </w:divBdr>
    </w:div>
    <w:div w:id="1265000382">
      <w:bodyDiv w:val="1"/>
      <w:marLeft w:val="0"/>
      <w:marRight w:val="0"/>
      <w:marTop w:val="0"/>
      <w:marBottom w:val="0"/>
      <w:divBdr>
        <w:top w:val="none" w:sz="0" w:space="0" w:color="auto"/>
        <w:left w:val="none" w:sz="0" w:space="0" w:color="auto"/>
        <w:bottom w:val="none" w:sz="0" w:space="0" w:color="auto"/>
        <w:right w:val="none" w:sz="0" w:space="0" w:color="auto"/>
      </w:divBdr>
    </w:div>
    <w:div w:id="1269040380">
      <w:bodyDiv w:val="1"/>
      <w:marLeft w:val="0"/>
      <w:marRight w:val="0"/>
      <w:marTop w:val="0"/>
      <w:marBottom w:val="0"/>
      <w:divBdr>
        <w:top w:val="none" w:sz="0" w:space="0" w:color="auto"/>
        <w:left w:val="none" w:sz="0" w:space="0" w:color="auto"/>
        <w:bottom w:val="none" w:sz="0" w:space="0" w:color="auto"/>
        <w:right w:val="none" w:sz="0" w:space="0" w:color="auto"/>
      </w:divBdr>
    </w:div>
    <w:div w:id="1278563551">
      <w:bodyDiv w:val="1"/>
      <w:marLeft w:val="0"/>
      <w:marRight w:val="0"/>
      <w:marTop w:val="0"/>
      <w:marBottom w:val="0"/>
      <w:divBdr>
        <w:top w:val="none" w:sz="0" w:space="0" w:color="auto"/>
        <w:left w:val="none" w:sz="0" w:space="0" w:color="auto"/>
        <w:bottom w:val="none" w:sz="0" w:space="0" w:color="auto"/>
        <w:right w:val="none" w:sz="0" w:space="0" w:color="auto"/>
      </w:divBdr>
    </w:div>
    <w:div w:id="1299456833">
      <w:bodyDiv w:val="1"/>
      <w:marLeft w:val="0"/>
      <w:marRight w:val="0"/>
      <w:marTop w:val="0"/>
      <w:marBottom w:val="0"/>
      <w:divBdr>
        <w:top w:val="none" w:sz="0" w:space="0" w:color="auto"/>
        <w:left w:val="none" w:sz="0" w:space="0" w:color="auto"/>
        <w:bottom w:val="none" w:sz="0" w:space="0" w:color="auto"/>
        <w:right w:val="none" w:sz="0" w:space="0" w:color="auto"/>
      </w:divBdr>
    </w:div>
    <w:div w:id="1300527945">
      <w:bodyDiv w:val="1"/>
      <w:marLeft w:val="0"/>
      <w:marRight w:val="0"/>
      <w:marTop w:val="0"/>
      <w:marBottom w:val="0"/>
      <w:divBdr>
        <w:top w:val="none" w:sz="0" w:space="0" w:color="auto"/>
        <w:left w:val="none" w:sz="0" w:space="0" w:color="auto"/>
        <w:bottom w:val="none" w:sz="0" w:space="0" w:color="auto"/>
        <w:right w:val="none" w:sz="0" w:space="0" w:color="auto"/>
      </w:divBdr>
    </w:div>
    <w:div w:id="1305353965">
      <w:bodyDiv w:val="1"/>
      <w:marLeft w:val="0"/>
      <w:marRight w:val="0"/>
      <w:marTop w:val="0"/>
      <w:marBottom w:val="0"/>
      <w:divBdr>
        <w:top w:val="none" w:sz="0" w:space="0" w:color="auto"/>
        <w:left w:val="none" w:sz="0" w:space="0" w:color="auto"/>
        <w:bottom w:val="none" w:sz="0" w:space="0" w:color="auto"/>
        <w:right w:val="none" w:sz="0" w:space="0" w:color="auto"/>
      </w:divBdr>
    </w:div>
    <w:div w:id="1309674441">
      <w:bodyDiv w:val="1"/>
      <w:marLeft w:val="0"/>
      <w:marRight w:val="0"/>
      <w:marTop w:val="0"/>
      <w:marBottom w:val="0"/>
      <w:divBdr>
        <w:top w:val="none" w:sz="0" w:space="0" w:color="auto"/>
        <w:left w:val="none" w:sz="0" w:space="0" w:color="auto"/>
        <w:bottom w:val="none" w:sz="0" w:space="0" w:color="auto"/>
        <w:right w:val="none" w:sz="0" w:space="0" w:color="auto"/>
      </w:divBdr>
    </w:div>
    <w:div w:id="1324241254">
      <w:bodyDiv w:val="1"/>
      <w:marLeft w:val="0"/>
      <w:marRight w:val="0"/>
      <w:marTop w:val="0"/>
      <w:marBottom w:val="0"/>
      <w:divBdr>
        <w:top w:val="none" w:sz="0" w:space="0" w:color="auto"/>
        <w:left w:val="none" w:sz="0" w:space="0" w:color="auto"/>
        <w:bottom w:val="none" w:sz="0" w:space="0" w:color="auto"/>
        <w:right w:val="none" w:sz="0" w:space="0" w:color="auto"/>
      </w:divBdr>
      <w:divsChild>
        <w:div w:id="1729646294">
          <w:marLeft w:val="360"/>
          <w:marRight w:val="0"/>
          <w:marTop w:val="160"/>
          <w:marBottom w:val="0"/>
          <w:divBdr>
            <w:top w:val="none" w:sz="0" w:space="0" w:color="auto"/>
            <w:left w:val="none" w:sz="0" w:space="0" w:color="auto"/>
            <w:bottom w:val="none" w:sz="0" w:space="0" w:color="auto"/>
            <w:right w:val="none" w:sz="0" w:space="0" w:color="auto"/>
          </w:divBdr>
        </w:div>
        <w:div w:id="1505972616">
          <w:marLeft w:val="360"/>
          <w:marRight w:val="0"/>
          <w:marTop w:val="160"/>
          <w:marBottom w:val="0"/>
          <w:divBdr>
            <w:top w:val="none" w:sz="0" w:space="0" w:color="auto"/>
            <w:left w:val="none" w:sz="0" w:space="0" w:color="auto"/>
            <w:bottom w:val="none" w:sz="0" w:space="0" w:color="auto"/>
            <w:right w:val="none" w:sz="0" w:space="0" w:color="auto"/>
          </w:divBdr>
        </w:div>
        <w:div w:id="1624653566">
          <w:marLeft w:val="360"/>
          <w:marRight w:val="0"/>
          <w:marTop w:val="160"/>
          <w:marBottom w:val="0"/>
          <w:divBdr>
            <w:top w:val="none" w:sz="0" w:space="0" w:color="auto"/>
            <w:left w:val="none" w:sz="0" w:space="0" w:color="auto"/>
            <w:bottom w:val="none" w:sz="0" w:space="0" w:color="auto"/>
            <w:right w:val="none" w:sz="0" w:space="0" w:color="auto"/>
          </w:divBdr>
        </w:div>
        <w:div w:id="1959875652">
          <w:marLeft w:val="360"/>
          <w:marRight w:val="0"/>
          <w:marTop w:val="160"/>
          <w:marBottom w:val="0"/>
          <w:divBdr>
            <w:top w:val="none" w:sz="0" w:space="0" w:color="auto"/>
            <w:left w:val="none" w:sz="0" w:space="0" w:color="auto"/>
            <w:bottom w:val="none" w:sz="0" w:space="0" w:color="auto"/>
            <w:right w:val="none" w:sz="0" w:space="0" w:color="auto"/>
          </w:divBdr>
        </w:div>
      </w:divsChild>
    </w:div>
    <w:div w:id="1326663023">
      <w:bodyDiv w:val="1"/>
      <w:marLeft w:val="0"/>
      <w:marRight w:val="0"/>
      <w:marTop w:val="0"/>
      <w:marBottom w:val="0"/>
      <w:divBdr>
        <w:top w:val="none" w:sz="0" w:space="0" w:color="auto"/>
        <w:left w:val="none" w:sz="0" w:space="0" w:color="auto"/>
        <w:bottom w:val="none" w:sz="0" w:space="0" w:color="auto"/>
        <w:right w:val="none" w:sz="0" w:space="0" w:color="auto"/>
      </w:divBdr>
    </w:div>
    <w:div w:id="1335300671">
      <w:bodyDiv w:val="1"/>
      <w:marLeft w:val="0"/>
      <w:marRight w:val="0"/>
      <w:marTop w:val="0"/>
      <w:marBottom w:val="0"/>
      <w:divBdr>
        <w:top w:val="none" w:sz="0" w:space="0" w:color="auto"/>
        <w:left w:val="none" w:sz="0" w:space="0" w:color="auto"/>
        <w:bottom w:val="none" w:sz="0" w:space="0" w:color="auto"/>
        <w:right w:val="none" w:sz="0" w:space="0" w:color="auto"/>
      </w:divBdr>
    </w:div>
    <w:div w:id="1379432399">
      <w:bodyDiv w:val="1"/>
      <w:marLeft w:val="0"/>
      <w:marRight w:val="0"/>
      <w:marTop w:val="0"/>
      <w:marBottom w:val="0"/>
      <w:divBdr>
        <w:top w:val="none" w:sz="0" w:space="0" w:color="auto"/>
        <w:left w:val="none" w:sz="0" w:space="0" w:color="auto"/>
        <w:bottom w:val="none" w:sz="0" w:space="0" w:color="auto"/>
        <w:right w:val="none" w:sz="0" w:space="0" w:color="auto"/>
      </w:divBdr>
    </w:div>
    <w:div w:id="1388842582">
      <w:bodyDiv w:val="1"/>
      <w:marLeft w:val="0"/>
      <w:marRight w:val="0"/>
      <w:marTop w:val="0"/>
      <w:marBottom w:val="0"/>
      <w:divBdr>
        <w:top w:val="none" w:sz="0" w:space="0" w:color="auto"/>
        <w:left w:val="none" w:sz="0" w:space="0" w:color="auto"/>
        <w:bottom w:val="none" w:sz="0" w:space="0" w:color="auto"/>
        <w:right w:val="none" w:sz="0" w:space="0" w:color="auto"/>
      </w:divBdr>
    </w:div>
    <w:div w:id="1423334478">
      <w:bodyDiv w:val="1"/>
      <w:marLeft w:val="0"/>
      <w:marRight w:val="0"/>
      <w:marTop w:val="0"/>
      <w:marBottom w:val="0"/>
      <w:divBdr>
        <w:top w:val="none" w:sz="0" w:space="0" w:color="auto"/>
        <w:left w:val="none" w:sz="0" w:space="0" w:color="auto"/>
        <w:bottom w:val="none" w:sz="0" w:space="0" w:color="auto"/>
        <w:right w:val="none" w:sz="0" w:space="0" w:color="auto"/>
      </w:divBdr>
    </w:div>
    <w:div w:id="1436246805">
      <w:bodyDiv w:val="1"/>
      <w:marLeft w:val="0"/>
      <w:marRight w:val="0"/>
      <w:marTop w:val="0"/>
      <w:marBottom w:val="0"/>
      <w:divBdr>
        <w:top w:val="none" w:sz="0" w:space="0" w:color="auto"/>
        <w:left w:val="none" w:sz="0" w:space="0" w:color="auto"/>
        <w:bottom w:val="none" w:sz="0" w:space="0" w:color="auto"/>
        <w:right w:val="none" w:sz="0" w:space="0" w:color="auto"/>
      </w:divBdr>
    </w:div>
    <w:div w:id="1437215239">
      <w:bodyDiv w:val="1"/>
      <w:marLeft w:val="0"/>
      <w:marRight w:val="0"/>
      <w:marTop w:val="0"/>
      <w:marBottom w:val="0"/>
      <w:divBdr>
        <w:top w:val="none" w:sz="0" w:space="0" w:color="auto"/>
        <w:left w:val="none" w:sz="0" w:space="0" w:color="auto"/>
        <w:bottom w:val="none" w:sz="0" w:space="0" w:color="auto"/>
        <w:right w:val="none" w:sz="0" w:space="0" w:color="auto"/>
      </w:divBdr>
    </w:div>
    <w:div w:id="1468357967">
      <w:bodyDiv w:val="1"/>
      <w:marLeft w:val="0"/>
      <w:marRight w:val="0"/>
      <w:marTop w:val="0"/>
      <w:marBottom w:val="0"/>
      <w:divBdr>
        <w:top w:val="none" w:sz="0" w:space="0" w:color="auto"/>
        <w:left w:val="none" w:sz="0" w:space="0" w:color="auto"/>
        <w:bottom w:val="none" w:sz="0" w:space="0" w:color="auto"/>
        <w:right w:val="none" w:sz="0" w:space="0" w:color="auto"/>
      </w:divBdr>
    </w:div>
    <w:div w:id="1482696952">
      <w:bodyDiv w:val="1"/>
      <w:marLeft w:val="0"/>
      <w:marRight w:val="0"/>
      <w:marTop w:val="0"/>
      <w:marBottom w:val="0"/>
      <w:divBdr>
        <w:top w:val="none" w:sz="0" w:space="0" w:color="auto"/>
        <w:left w:val="none" w:sz="0" w:space="0" w:color="auto"/>
        <w:bottom w:val="none" w:sz="0" w:space="0" w:color="auto"/>
        <w:right w:val="none" w:sz="0" w:space="0" w:color="auto"/>
      </w:divBdr>
    </w:div>
    <w:div w:id="1501578623">
      <w:bodyDiv w:val="1"/>
      <w:marLeft w:val="0"/>
      <w:marRight w:val="0"/>
      <w:marTop w:val="0"/>
      <w:marBottom w:val="0"/>
      <w:divBdr>
        <w:top w:val="none" w:sz="0" w:space="0" w:color="auto"/>
        <w:left w:val="none" w:sz="0" w:space="0" w:color="auto"/>
        <w:bottom w:val="none" w:sz="0" w:space="0" w:color="auto"/>
        <w:right w:val="none" w:sz="0" w:space="0" w:color="auto"/>
      </w:divBdr>
    </w:div>
    <w:div w:id="1534345913">
      <w:bodyDiv w:val="1"/>
      <w:marLeft w:val="0"/>
      <w:marRight w:val="0"/>
      <w:marTop w:val="0"/>
      <w:marBottom w:val="0"/>
      <w:divBdr>
        <w:top w:val="none" w:sz="0" w:space="0" w:color="auto"/>
        <w:left w:val="none" w:sz="0" w:space="0" w:color="auto"/>
        <w:bottom w:val="none" w:sz="0" w:space="0" w:color="auto"/>
        <w:right w:val="none" w:sz="0" w:space="0" w:color="auto"/>
      </w:divBdr>
      <w:divsChild>
        <w:div w:id="139155588">
          <w:marLeft w:val="0"/>
          <w:marRight w:val="0"/>
          <w:marTop w:val="0"/>
          <w:marBottom w:val="0"/>
          <w:divBdr>
            <w:top w:val="none" w:sz="0" w:space="0" w:color="auto"/>
            <w:left w:val="none" w:sz="0" w:space="0" w:color="auto"/>
            <w:bottom w:val="none" w:sz="0" w:space="0" w:color="auto"/>
            <w:right w:val="none" w:sz="0" w:space="0" w:color="auto"/>
          </w:divBdr>
        </w:div>
      </w:divsChild>
    </w:div>
    <w:div w:id="1535535925">
      <w:bodyDiv w:val="1"/>
      <w:marLeft w:val="0"/>
      <w:marRight w:val="0"/>
      <w:marTop w:val="0"/>
      <w:marBottom w:val="0"/>
      <w:divBdr>
        <w:top w:val="none" w:sz="0" w:space="0" w:color="auto"/>
        <w:left w:val="none" w:sz="0" w:space="0" w:color="auto"/>
        <w:bottom w:val="none" w:sz="0" w:space="0" w:color="auto"/>
        <w:right w:val="none" w:sz="0" w:space="0" w:color="auto"/>
      </w:divBdr>
    </w:div>
    <w:div w:id="1547640787">
      <w:bodyDiv w:val="1"/>
      <w:marLeft w:val="0"/>
      <w:marRight w:val="0"/>
      <w:marTop w:val="0"/>
      <w:marBottom w:val="0"/>
      <w:divBdr>
        <w:top w:val="none" w:sz="0" w:space="0" w:color="auto"/>
        <w:left w:val="none" w:sz="0" w:space="0" w:color="auto"/>
        <w:bottom w:val="none" w:sz="0" w:space="0" w:color="auto"/>
        <w:right w:val="none" w:sz="0" w:space="0" w:color="auto"/>
      </w:divBdr>
    </w:div>
    <w:div w:id="1556771005">
      <w:bodyDiv w:val="1"/>
      <w:marLeft w:val="0"/>
      <w:marRight w:val="0"/>
      <w:marTop w:val="0"/>
      <w:marBottom w:val="0"/>
      <w:divBdr>
        <w:top w:val="none" w:sz="0" w:space="0" w:color="auto"/>
        <w:left w:val="none" w:sz="0" w:space="0" w:color="auto"/>
        <w:bottom w:val="none" w:sz="0" w:space="0" w:color="auto"/>
        <w:right w:val="none" w:sz="0" w:space="0" w:color="auto"/>
      </w:divBdr>
      <w:divsChild>
        <w:div w:id="1089739183">
          <w:marLeft w:val="0"/>
          <w:marRight w:val="0"/>
          <w:marTop w:val="0"/>
          <w:marBottom w:val="0"/>
          <w:divBdr>
            <w:top w:val="none" w:sz="0" w:space="0" w:color="auto"/>
            <w:left w:val="none" w:sz="0" w:space="0" w:color="auto"/>
            <w:bottom w:val="none" w:sz="0" w:space="0" w:color="auto"/>
            <w:right w:val="none" w:sz="0" w:space="0" w:color="auto"/>
          </w:divBdr>
          <w:divsChild>
            <w:div w:id="462692552">
              <w:marLeft w:val="0"/>
              <w:marRight w:val="0"/>
              <w:marTop w:val="0"/>
              <w:marBottom w:val="0"/>
              <w:divBdr>
                <w:top w:val="none" w:sz="0" w:space="0" w:color="auto"/>
                <w:left w:val="none" w:sz="0" w:space="0" w:color="auto"/>
                <w:bottom w:val="none" w:sz="0" w:space="0" w:color="auto"/>
                <w:right w:val="none" w:sz="0" w:space="0" w:color="auto"/>
              </w:divBdr>
            </w:div>
            <w:div w:id="775102174">
              <w:marLeft w:val="0"/>
              <w:marRight w:val="0"/>
              <w:marTop w:val="0"/>
              <w:marBottom w:val="0"/>
              <w:divBdr>
                <w:top w:val="none" w:sz="0" w:space="0" w:color="auto"/>
                <w:left w:val="none" w:sz="0" w:space="0" w:color="auto"/>
                <w:bottom w:val="none" w:sz="0" w:space="0" w:color="auto"/>
                <w:right w:val="none" w:sz="0" w:space="0" w:color="auto"/>
              </w:divBdr>
            </w:div>
            <w:div w:id="1110513667">
              <w:marLeft w:val="0"/>
              <w:marRight w:val="0"/>
              <w:marTop w:val="0"/>
              <w:marBottom w:val="0"/>
              <w:divBdr>
                <w:top w:val="none" w:sz="0" w:space="0" w:color="auto"/>
                <w:left w:val="none" w:sz="0" w:space="0" w:color="auto"/>
                <w:bottom w:val="none" w:sz="0" w:space="0" w:color="auto"/>
                <w:right w:val="none" w:sz="0" w:space="0" w:color="auto"/>
              </w:divBdr>
            </w:div>
            <w:div w:id="18837854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99632038">
      <w:bodyDiv w:val="1"/>
      <w:marLeft w:val="0"/>
      <w:marRight w:val="0"/>
      <w:marTop w:val="0"/>
      <w:marBottom w:val="0"/>
      <w:divBdr>
        <w:top w:val="none" w:sz="0" w:space="0" w:color="auto"/>
        <w:left w:val="none" w:sz="0" w:space="0" w:color="auto"/>
        <w:bottom w:val="none" w:sz="0" w:space="0" w:color="auto"/>
        <w:right w:val="none" w:sz="0" w:space="0" w:color="auto"/>
      </w:divBdr>
      <w:divsChild>
        <w:div w:id="2110344190">
          <w:marLeft w:val="994"/>
          <w:marRight w:val="0"/>
          <w:marTop w:val="60"/>
          <w:marBottom w:val="60"/>
          <w:divBdr>
            <w:top w:val="none" w:sz="0" w:space="0" w:color="auto"/>
            <w:left w:val="none" w:sz="0" w:space="0" w:color="auto"/>
            <w:bottom w:val="none" w:sz="0" w:space="0" w:color="auto"/>
            <w:right w:val="none" w:sz="0" w:space="0" w:color="auto"/>
          </w:divBdr>
        </w:div>
      </w:divsChild>
    </w:div>
    <w:div w:id="1612128366">
      <w:bodyDiv w:val="1"/>
      <w:marLeft w:val="0"/>
      <w:marRight w:val="0"/>
      <w:marTop w:val="0"/>
      <w:marBottom w:val="0"/>
      <w:divBdr>
        <w:top w:val="none" w:sz="0" w:space="0" w:color="auto"/>
        <w:left w:val="none" w:sz="0" w:space="0" w:color="auto"/>
        <w:bottom w:val="none" w:sz="0" w:space="0" w:color="auto"/>
        <w:right w:val="none" w:sz="0" w:space="0" w:color="auto"/>
      </w:divBdr>
      <w:divsChild>
        <w:div w:id="1573613041">
          <w:marLeft w:val="1080"/>
          <w:marRight w:val="0"/>
          <w:marTop w:val="110"/>
          <w:marBottom w:val="0"/>
          <w:divBdr>
            <w:top w:val="none" w:sz="0" w:space="0" w:color="auto"/>
            <w:left w:val="none" w:sz="0" w:space="0" w:color="auto"/>
            <w:bottom w:val="none" w:sz="0" w:space="0" w:color="auto"/>
            <w:right w:val="none" w:sz="0" w:space="0" w:color="auto"/>
          </w:divBdr>
        </w:div>
      </w:divsChild>
    </w:div>
    <w:div w:id="1614551841">
      <w:bodyDiv w:val="1"/>
      <w:marLeft w:val="0"/>
      <w:marRight w:val="0"/>
      <w:marTop w:val="0"/>
      <w:marBottom w:val="0"/>
      <w:divBdr>
        <w:top w:val="none" w:sz="0" w:space="0" w:color="auto"/>
        <w:left w:val="none" w:sz="0" w:space="0" w:color="auto"/>
        <w:bottom w:val="none" w:sz="0" w:space="0" w:color="auto"/>
        <w:right w:val="none" w:sz="0" w:space="0" w:color="auto"/>
      </w:divBdr>
    </w:div>
    <w:div w:id="1617785522">
      <w:bodyDiv w:val="1"/>
      <w:marLeft w:val="0"/>
      <w:marRight w:val="0"/>
      <w:marTop w:val="0"/>
      <w:marBottom w:val="0"/>
      <w:divBdr>
        <w:top w:val="none" w:sz="0" w:space="0" w:color="auto"/>
        <w:left w:val="none" w:sz="0" w:space="0" w:color="auto"/>
        <w:bottom w:val="none" w:sz="0" w:space="0" w:color="auto"/>
        <w:right w:val="none" w:sz="0" w:space="0" w:color="auto"/>
      </w:divBdr>
    </w:div>
    <w:div w:id="1635326288">
      <w:bodyDiv w:val="1"/>
      <w:marLeft w:val="0"/>
      <w:marRight w:val="0"/>
      <w:marTop w:val="0"/>
      <w:marBottom w:val="0"/>
      <w:divBdr>
        <w:top w:val="none" w:sz="0" w:space="0" w:color="auto"/>
        <w:left w:val="none" w:sz="0" w:space="0" w:color="auto"/>
        <w:bottom w:val="none" w:sz="0" w:space="0" w:color="auto"/>
        <w:right w:val="none" w:sz="0" w:space="0" w:color="auto"/>
      </w:divBdr>
    </w:div>
    <w:div w:id="1636983239">
      <w:bodyDiv w:val="1"/>
      <w:marLeft w:val="0"/>
      <w:marRight w:val="0"/>
      <w:marTop w:val="0"/>
      <w:marBottom w:val="0"/>
      <w:divBdr>
        <w:top w:val="none" w:sz="0" w:space="0" w:color="auto"/>
        <w:left w:val="none" w:sz="0" w:space="0" w:color="auto"/>
        <w:bottom w:val="none" w:sz="0" w:space="0" w:color="auto"/>
        <w:right w:val="none" w:sz="0" w:space="0" w:color="auto"/>
      </w:divBdr>
    </w:div>
    <w:div w:id="1671636362">
      <w:bodyDiv w:val="1"/>
      <w:marLeft w:val="0"/>
      <w:marRight w:val="0"/>
      <w:marTop w:val="0"/>
      <w:marBottom w:val="0"/>
      <w:divBdr>
        <w:top w:val="none" w:sz="0" w:space="0" w:color="auto"/>
        <w:left w:val="none" w:sz="0" w:space="0" w:color="auto"/>
        <w:bottom w:val="none" w:sz="0" w:space="0" w:color="auto"/>
        <w:right w:val="none" w:sz="0" w:space="0" w:color="auto"/>
      </w:divBdr>
      <w:divsChild>
        <w:div w:id="1349134318">
          <w:marLeft w:val="0"/>
          <w:marRight w:val="0"/>
          <w:marTop w:val="0"/>
          <w:marBottom w:val="0"/>
          <w:divBdr>
            <w:top w:val="none" w:sz="0" w:space="0" w:color="auto"/>
            <w:left w:val="none" w:sz="0" w:space="0" w:color="auto"/>
            <w:bottom w:val="none" w:sz="0" w:space="0" w:color="auto"/>
            <w:right w:val="none" w:sz="0" w:space="0" w:color="auto"/>
          </w:divBdr>
        </w:div>
      </w:divsChild>
    </w:div>
    <w:div w:id="1675960509">
      <w:bodyDiv w:val="1"/>
      <w:marLeft w:val="0"/>
      <w:marRight w:val="0"/>
      <w:marTop w:val="0"/>
      <w:marBottom w:val="0"/>
      <w:divBdr>
        <w:top w:val="none" w:sz="0" w:space="0" w:color="auto"/>
        <w:left w:val="none" w:sz="0" w:space="0" w:color="auto"/>
        <w:bottom w:val="none" w:sz="0" w:space="0" w:color="auto"/>
        <w:right w:val="none" w:sz="0" w:space="0" w:color="auto"/>
      </w:divBdr>
    </w:div>
    <w:div w:id="1693536528">
      <w:bodyDiv w:val="1"/>
      <w:marLeft w:val="0"/>
      <w:marRight w:val="0"/>
      <w:marTop w:val="0"/>
      <w:marBottom w:val="0"/>
      <w:divBdr>
        <w:top w:val="none" w:sz="0" w:space="0" w:color="auto"/>
        <w:left w:val="none" w:sz="0" w:space="0" w:color="auto"/>
        <w:bottom w:val="none" w:sz="0" w:space="0" w:color="auto"/>
        <w:right w:val="none" w:sz="0" w:space="0" w:color="auto"/>
      </w:divBdr>
    </w:div>
    <w:div w:id="1702896752">
      <w:bodyDiv w:val="1"/>
      <w:marLeft w:val="0"/>
      <w:marRight w:val="0"/>
      <w:marTop w:val="0"/>
      <w:marBottom w:val="0"/>
      <w:divBdr>
        <w:top w:val="none" w:sz="0" w:space="0" w:color="auto"/>
        <w:left w:val="none" w:sz="0" w:space="0" w:color="auto"/>
        <w:bottom w:val="none" w:sz="0" w:space="0" w:color="auto"/>
        <w:right w:val="none" w:sz="0" w:space="0" w:color="auto"/>
      </w:divBdr>
    </w:div>
    <w:div w:id="1715616140">
      <w:bodyDiv w:val="1"/>
      <w:marLeft w:val="0"/>
      <w:marRight w:val="0"/>
      <w:marTop w:val="0"/>
      <w:marBottom w:val="0"/>
      <w:divBdr>
        <w:top w:val="none" w:sz="0" w:space="0" w:color="auto"/>
        <w:left w:val="none" w:sz="0" w:space="0" w:color="auto"/>
        <w:bottom w:val="none" w:sz="0" w:space="0" w:color="auto"/>
        <w:right w:val="none" w:sz="0" w:space="0" w:color="auto"/>
      </w:divBdr>
    </w:div>
    <w:div w:id="1729259249">
      <w:bodyDiv w:val="1"/>
      <w:marLeft w:val="0"/>
      <w:marRight w:val="0"/>
      <w:marTop w:val="0"/>
      <w:marBottom w:val="0"/>
      <w:divBdr>
        <w:top w:val="none" w:sz="0" w:space="0" w:color="auto"/>
        <w:left w:val="none" w:sz="0" w:space="0" w:color="auto"/>
        <w:bottom w:val="none" w:sz="0" w:space="0" w:color="auto"/>
        <w:right w:val="none" w:sz="0" w:space="0" w:color="auto"/>
      </w:divBdr>
    </w:div>
    <w:div w:id="1731730447">
      <w:bodyDiv w:val="1"/>
      <w:marLeft w:val="0"/>
      <w:marRight w:val="0"/>
      <w:marTop w:val="0"/>
      <w:marBottom w:val="0"/>
      <w:divBdr>
        <w:top w:val="none" w:sz="0" w:space="0" w:color="auto"/>
        <w:left w:val="none" w:sz="0" w:space="0" w:color="auto"/>
        <w:bottom w:val="none" w:sz="0" w:space="0" w:color="auto"/>
        <w:right w:val="none" w:sz="0" w:space="0" w:color="auto"/>
      </w:divBdr>
    </w:div>
    <w:div w:id="1770000959">
      <w:bodyDiv w:val="1"/>
      <w:marLeft w:val="0"/>
      <w:marRight w:val="0"/>
      <w:marTop w:val="0"/>
      <w:marBottom w:val="0"/>
      <w:divBdr>
        <w:top w:val="none" w:sz="0" w:space="0" w:color="auto"/>
        <w:left w:val="none" w:sz="0" w:space="0" w:color="auto"/>
        <w:bottom w:val="none" w:sz="0" w:space="0" w:color="auto"/>
        <w:right w:val="none" w:sz="0" w:space="0" w:color="auto"/>
      </w:divBdr>
      <w:divsChild>
        <w:div w:id="1102723152">
          <w:marLeft w:val="893"/>
          <w:marRight w:val="0"/>
          <w:marTop w:val="48"/>
          <w:marBottom w:val="0"/>
          <w:divBdr>
            <w:top w:val="none" w:sz="0" w:space="0" w:color="auto"/>
            <w:left w:val="none" w:sz="0" w:space="0" w:color="auto"/>
            <w:bottom w:val="none" w:sz="0" w:space="0" w:color="auto"/>
            <w:right w:val="none" w:sz="0" w:space="0" w:color="auto"/>
          </w:divBdr>
        </w:div>
      </w:divsChild>
    </w:div>
    <w:div w:id="1795367446">
      <w:bodyDiv w:val="1"/>
      <w:marLeft w:val="0"/>
      <w:marRight w:val="0"/>
      <w:marTop w:val="0"/>
      <w:marBottom w:val="0"/>
      <w:divBdr>
        <w:top w:val="none" w:sz="0" w:space="0" w:color="auto"/>
        <w:left w:val="none" w:sz="0" w:space="0" w:color="auto"/>
        <w:bottom w:val="none" w:sz="0" w:space="0" w:color="auto"/>
        <w:right w:val="none" w:sz="0" w:space="0" w:color="auto"/>
      </w:divBdr>
    </w:div>
    <w:div w:id="1797217293">
      <w:bodyDiv w:val="1"/>
      <w:marLeft w:val="0"/>
      <w:marRight w:val="0"/>
      <w:marTop w:val="0"/>
      <w:marBottom w:val="0"/>
      <w:divBdr>
        <w:top w:val="none" w:sz="0" w:space="0" w:color="auto"/>
        <w:left w:val="none" w:sz="0" w:space="0" w:color="auto"/>
        <w:bottom w:val="none" w:sz="0" w:space="0" w:color="auto"/>
        <w:right w:val="none" w:sz="0" w:space="0" w:color="auto"/>
      </w:divBdr>
    </w:div>
    <w:div w:id="1830443937">
      <w:bodyDiv w:val="1"/>
      <w:marLeft w:val="0"/>
      <w:marRight w:val="0"/>
      <w:marTop w:val="0"/>
      <w:marBottom w:val="0"/>
      <w:divBdr>
        <w:top w:val="none" w:sz="0" w:space="0" w:color="auto"/>
        <w:left w:val="none" w:sz="0" w:space="0" w:color="auto"/>
        <w:bottom w:val="none" w:sz="0" w:space="0" w:color="auto"/>
        <w:right w:val="none" w:sz="0" w:space="0" w:color="auto"/>
      </w:divBdr>
    </w:div>
    <w:div w:id="1832796483">
      <w:bodyDiv w:val="1"/>
      <w:marLeft w:val="0"/>
      <w:marRight w:val="0"/>
      <w:marTop w:val="0"/>
      <w:marBottom w:val="0"/>
      <w:divBdr>
        <w:top w:val="none" w:sz="0" w:space="0" w:color="auto"/>
        <w:left w:val="none" w:sz="0" w:space="0" w:color="auto"/>
        <w:bottom w:val="none" w:sz="0" w:space="0" w:color="auto"/>
        <w:right w:val="none" w:sz="0" w:space="0" w:color="auto"/>
      </w:divBdr>
    </w:div>
    <w:div w:id="1839536463">
      <w:bodyDiv w:val="1"/>
      <w:marLeft w:val="0"/>
      <w:marRight w:val="0"/>
      <w:marTop w:val="0"/>
      <w:marBottom w:val="0"/>
      <w:divBdr>
        <w:top w:val="none" w:sz="0" w:space="0" w:color="auto"/>
        <w:left w:val="none" w:sz="0" w:space="0" w:color="auto"/>
        <w:bottom w:val="none" w:sz="0" w:space="0" w:color="auto"/>
        <w:right w:val="none" w:sz="0" w:space="0" w:color="auto"/>
      </w:divBdr>
    </w:div>
    <w:div w:id="1841501971">
      <w:bodyDiv w:val="1"/>
      <w:marLeft w:val="0"/>
      <w:marRight w:val="0"/>
      <w:marTop w:val="0"/>
      <w:marBottom w:val="0"/>
      <w:divBdr>
        <w:top w:val="none" w:sz="0" w:space="0" w:color="auto"/>
        <w:left w:val="none" w:sz="0" w:space="0" w:color="auto"/>
        <w:bottom w:val="none" w:sz="0" w:space="0" w:color="auto"/>
        <w:right w:val="none" w:sz="0" w:space="0" w:color="auto"/>
      </w:divBdr>
    </w:div>
    <w:div w:id="1854881995">
      <w:bodyDiv w:val="1"/>
      <w:marLeft w:val="0"/>
      <w:marRight w:val="0"/>
      <w:marTop w:val="0"/>
      <w:marBottom w:val="0"/>
      <w:divBdr>
        <w:top w:val="none" w:sz="0" w:space="0" w:color="auto"/>
        <w:left w:val="none" w:sz="0" w:space="0" w:color="auto"/>
        <w:bottom w:val="none" w:sz="0" w:space="0" w:color="auto"/>
        <w:right w:val="none" w:sz="0" w:space="0" w:color="auto"/>
      </w:divBdr>
    </w:div>
    <w:div w:id="1884321474">
      <w:bodyDiv w:val="1"/>
      <w:marLeft w:val="0"/>
      <w:marRight w:val="0"/>
      <w:marTop w:val="0"/>
      <w:marBottom w:val="0"/>
      <w:divBdr>
        <w:top w:val="none" w:sz="0" w:space="0" w:color="auto"/>
        <w:left w:val="none" w:sz="0" w:space="0" w:color="auto"/>
        <w:bottom w:val="none" w:sz="0" w:space="0" w:color="auto"/>
        <w:right w:val="none" w:sz="0" w:space="0" w:color="auto"/>
      </w:divBdr>
    </w:div>
    <w:div w:id="1890610269">
      <w:bodyDiv w:val="1"/>
      <w:marLeft w:val="0"/>
      <w:marRight w:val="0"/>
      <w:marTop w:val="0"/>
      <w:marBottom w:val="0"/>
      <w:divBdr>
        <w:top w:val="none" w:sz="0" w:space="0" w:color="auto"/>
        <w:left w:val="none" w:sz="0" w:space="0" w:color="auto"/>
        <w:bottom w:val="none" w:sz="0" w:space="0" w:color="auto"/>
        <w:right w:val="none" w:sz="0" w:space="0" w:color="auto"/>
      </w:divBdr>
    </w:div>
    <w:div w:id="1922596235">
      <w:bodyDiv w:val="1"/>
      <w:marLeft w:val="0"/>
      <w:marRight w:val="0"/>
      <w:marTop w:val="0"/>
      <w:marBottom w:val="0"/>
      <w:divBdr>
        <w:top w:val="none" w:sz="0" w:space="0" w:color="auto"/>
        <w:left w:val="none" w:sz="0" w:space="0" w:color="auto"/>
        <w:bottom w:val="none" w:sz="0" w:space="0" w:color="auto"/>
        <w:right w:val="none" w:sz="0" w:space="0" w:color="auto"/>
      </w:divBdr>
      <w:divsChild>
        <w:div w:id="553347266">
          <w:marLeft w:val="547"/>
          <w:marRight w:val="0"/>
          <w:marTop w:val="67"/>
          <w:marBottom w:val="0"/>
          <w:divBdr>
            <w:top w:val="none" w:sz="0" w:space="0" w:color="auto"/>
            <w:left w:val="none" w:sz="0" w:space="0" w:color="auto"/>
            <w:bottom w:val="none" w:sz="0" w:space="0" w:color="auto"/>
            <w:right w:val="none" w:sz="0" w:space="0" w:color="auto"/>
          </w:divBdr>
        </w:div>
      </w:divsChild>
    </w:div>
    <w:div w:id="1923830240">
      <w:bodyDiv w:val="1"/>
      <w:marLeft w:val="0"/>
      <w:marRight w:val="0"/>
      <w:marTop w:val="0"/>
      <w:marBottom w:val="0"/>
      <w:divBdr>
        <w:top w:val="none" w:sz="0" w:space="0" w:color="auto"/>
        <w:left w:val="none" w:sz="0" w:space="0" w:color="auto"/>
        <w:bottom w:val="none" w:sz="0" w:space="0" w:color="auto"/>
        <w:right w:val="none" w:sz="0" w:space="0" w:color="auto"/>
      </w:divBdr>
    </w:div>
    <w:div w:id="1932157737">
      <w:bodyDiv w:val="1"/>
      <w:marLeft w:val="0"/>
      <w:marRight w:val="0"/>
      <w:marTop w:val="0"/>
      <w:marBottom w:val="0"/>
      <w:divBdr>
        <w:top w:val="none" w:sz="0" w:space="0" w:color="auto"/>
        <w:left w:val="none" w:sz="0" w:space="0" w:color="auto"/>
        <w:bottom w:val="none" w:sz="0" w:space="0" w:color="auto"/>
        <w:right w:val="none" w:sz="0" w:space="0" w:color="auto"/>
      </w:divBdr>
    </w:div>
    <w:div w:id="1947737164">
      <w:bodyDiv w:val="1"/>
      <w:marLeft w:val="0"/>
      <w:marRight w:val="0"/>
      <w:marTop w:val="0"/>
      <w:marBottom w:val="0"/>
      <w:divBdr>
        <w:top w:val="none" w:sz="0" w:space="0" w:color="auto"/>
        <w:left w:val="none" w:sz="0" w:space="0" w:color="auto"/>
        <w:bottom w:val="none" w:sz="0" w:space="0" w:color="auto"/>
        <w:right w:val="none" w:sz="0" w:space="0" w:color="auto"/>
      </w:divBdr>
    </w:div>
    <w:div w:id="1974362825">
      <w:bodyDiv w:val="1"/>
      <w:marLeft w:val="0"/>
      <w:marRight w:val="0"/>
      <w:marTop w:val="0"/>
      <w:marBottom w:val="0"/>
      <w:divBdr>
        <w:top w:val="none" w:sz="0" w:space="0" w:color="auto"/>
        <w:left w:val="none" w:sz="0" w:space="0" w:color="auto"/>
        <w:bottom w:val="none" w:sz="0" w:space="0" w:color="auto"/>
        <w:right w:val="none" w:sz="0" w:space="0" w:color="auto"/>
      </w:divBdr>
    </w:div>
    <w:div w:id="1998655501">
      <w:bodyDiv w:val="1"/>
      <w:marLeft w:val="0"/>
      <w:marRight w:val="0"/>
      <w:marTop w:val="0"/>
      <w:marBottom w:val="0"/>
      <w:divBdr>
        <w:top w:val="none" w:sz="0" w:space="0" w:color="auto"/>
        <w:left w:val="none" w:sz="0" w:space="0" w:color="auto"/>
        <w:bottom w:val="none" w:sz="0" w:space="0" w:color="auto"/>
        <w:right w:val="none" w:sz="0" w:space="0" w:color="auto"/>
      </w:divBdr>
      <w:divsChild>
        <w:div w:id="1504779806">
          <w:marLeft w:val="1166"/>
          <w:marRight w:val="0"/>
          <w:marTop w:val="82"/>
          <w:marBottom w:val="0"/>
          <w:divBdr>
            <w:top w:val="none" w:sz="0" w:space="0" w:color="auto"/>
            <w:left w:val="none" w:sz="0" w:space="0" w:color="auto"/>
            <w:bottom w:val="none" w:sz="0" w:space="0" w:color="auto"/>
            <w:right w:val="none" w:sz="0" w:space="0" w:color="auto"/>
          </w:divBdr>
        </w:div>
      </w:divsChild>
    </w:div>
    <w:div w:id="1999994354">
      <w:bodyDiv w:val="1"/>
      <w:marLeft w:val="0"/>
      <w:marRight w:val="0"/>
      <w:marTop w:val="0"/>
      <w:marBottom w:val="0"/>
      <w:divBdr>
        <w:top w:val="none" w:sz="0" w:space="0" w:color="auto"/>
        <w:left w:val="none" w:sz="0" w:space="0" w:color="auto"/>
        <w:bottom w:val="none" w:sz="0" w:space="0" w:color="auto"/>
        <w:right w:val="none" w:sz="0" w:space="0" w:color="auto"/>
      </w:divBdr>
    </w:div>
    <w:div w:id="2023359769">
      <w:bodyDiv w:val="1"/>
      <w:marLeft w:val="0"/>
      <w:marRight w:val="0"/>
      <w:marTop w:val="0"/>
      <w:marBottom w:val="0"/>
      <w:divBdr>
        <w:top w:val="none" w:sz="0" w:space="0" w:color="auto"/>
        <w:left w:val="none" w:sz="0" w:space="0" w:color="auto"/>
        <w:bottom w:val="none" w:sz="0" w:space="0" w:color="auto"/>
        <w:right w:val="none" w:sz="0" w:space="0" w:color="auto"/>
      </w:divBdr>
    </w:div>
    <w:div w:id="2036928409">
      <w:bodyDiv w:val="1"/>
      <w:marLeft w:val="0"/>
      <w:marRight w:val="0"/>
      <w:marTop w:val="0"/>
      <w:marBottom w:val="0"/>
      <w:divBdr>
        <w:top w:val="none" w:sz="0" w:space="0" w:color="auto"/>
        <w:left w:val="none" w:sz="0" w:space="0" w:color="auto"/>
        <w:bottom w:val="none" w:sz="0" w:space="0" w:color="auto"/>
        <w:right w:val="none" w:sz="0" w:space="0" w:color="auto"/>
      </w:divBdr>
    </w:div>
    <w:div w:id="2084449258">
      <w:bodyDiv w:val="1"/>
      <w:marLeft w:val="0"/>
      <w:marRight w:val="0"/>
      <w:marTop w:val="0"/>
      <w:marBottom w:val="0"/>
      <w:divBdr>
        <w:top w:val="none" w:sz="0" w:space="0" w:color="auto"/>
        <w:left w:val="none" w:sz="0" w:space="0" w:color="auto"/>
        <w:bottom w:val="none" w:sz="0" w:space="0" w:color="auto"/>
        <w:right w:val="none" w:sz="0" w:space="0" w:color="auto"/>
      </w:divBdr>
    </w:div>
    <w:div w:id="2102486898">
      <w:bodyDiv w:val="1"/>
      <w:marLeft w:val="0"/>
      <w:marRight w:val="0"/>
      <w:marTop w:val="0"/>
      <w:marBottom w:val="0"/>
      <w:divBdr>
        <w:top w:val="none" w:sz="0" w:space="0" w:color="auto"/>
        <w:left w:val="none" w:sz="0" w:space="0" w:color="auto"/>
        <w:bottom w:val="none" w:sz="0" w:space="0" w:color="auto"/>
        <w:right w:val="none" w:sz="0" w:space="0" w:color="auto"/>
      </w:divBdr>
    </w:div>
    <w:div w:id="2106227717">
      <w:bodyDiv w:val="1"/>
      <w:marLeft w:val="0"/>
      <w:marRight w:val="0"/>
      <w:marTop w:val="0"/>
      <w:marBottom w:val="0"/>
      <w:divBdr>
        <w:top w:val="none" w:sz="0" w:space="0" w:color="auto"/>
        <w:left w:val="none" w:sz="0" w:space="0" w:color="auto"/>
        <w:bottom w:val="none" w:sz="0" w:space="0" w:color="auto"/>
        <w:right w:val="none" w:sz="0" w:space="0" w:color="auto"/>
      </w:divBdr>
    </w:div>
    <w:div w:id="2123988151">
      <w:bodyDiv w:val="1"/>
      <w:marLeft w:val="0"/>
      <w:marRight w:val="0"/>
      <w:marTop w:val="0"/>
      <w:marBottom w:val="0"/>
      <w:divBdr>
        <w:top w:val="none" w:sz="0" w:space="0" w:color="auto"/>
        <w:left w:val="none" w:sz="0" w:space="0" w:color="auto"/>
        <w:bottom w:val="none" w:sz="0" w:space="0" w:color="auto"/>
        <w:right w:val="none" w:sz="0" w:space="0" w:color="auto"/>
      </w:divBdr>
    </w:div>
    <w:div w:id="2138140071">
      <w:bodyDiv w:val="1"/>
      <w:marLeft w:val="0"/>
      <w:marRight w:val="0"/>
      <w:marTop w:val="0"/>
      <w:marBottom w:val="0"/>
      <w:divBdr>
        <w:top w:val="none" w:sz="0" w:space="0" w:color="auto"/>
        <w:left w:val="none" w:sz="0" w:space="0" w:color="auto"/>
        <w:bottom w:val="none" w:sz="0" w:space="0" w:color="auto"/>
        <w:right w:val="none" w:sz="0" w:space="0" w:color="auto"/>
      </w:divBdr>
    </w:div>
    <w:div w:id="2142578194">
      <w:bodyDiv w:val="1"/>
      <w:marLeft w:val="0"/>
      <w:marRight w:val="0"/>
      <w:marTop w:val="0"/>
      <w:marBottom w:val="0"/>
      <w:divBdr>
        <w:top w:val="none" w:sz="0" w:space="0" w:color="auto"/>
        <w:left w:val="none" w:sz="0" w:space="0" w:color="auto"/>
        <w:bottom w:val="none" w:sz="0" w:space="0" w:color="auto"/>
        <w:right w:val="none" w:sz="0" w:space="0" w:color="auto"/>
      </w:divBdr>
      <w:divsChild>
        <w:div w:id="1898667918">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emf"/><Relationship Id="rId18" Type="http://schemas.openxmlformats.org/officeDocument/2006/relationships/image" Target="media/image5.emf"/><Relationship Id="rId26" Type="http://schemas.openxmlformats.org/officeDocument/2006/relationships/image" Target="media/image11.wmf"/><Relationship Id="rId39" Type="http://schemas.openxmlformats.org/officeDocument/2006/relationships/image" Target="media/image21.emf"/><Relationship Id="rId3" Type="http://schemas.openxmlformats.org/officeDocument/2006/relationships/customXml" Target="../customXml/item2.xml"/><Relationship Id="rId21" Type="http://schemas.openxmlformats.org/officeDocument/2006/relationships/image" Target="media/image8.emf"/><Relationship Id="rId34" Type="http://schemas.openxmlformats.org/officeDocument/2006/relationships/image" Target="media/image16.png"/><Relationship Id="rId42" Type="http://schemas.openxmlformats.org/officeDocument/2006/relationships/image" Target="media/image24.emf"/><Relationship Id="rId47" Type="http://schemas.openxmlformats.org/officeDocument/2006/relationships/footer" Target="footer2.xml"/><Relationship Id="rId50" Type="http://schemas.openxmlformats.org/officeDocument/2006/relationships/fontTable" Target="fontTable.xml"/><Relationship Id="rId7" Type="http://schemas.openxmlformats.org/officeDocument/2006/relationships/styles" Target="styles.xml"/><Relationship Id="rId12" Type="http://schemas.openxmlformats.org/officeDocument/2006/relationships/image" Target="media/image1.png"/><Relationship Id="rId17" Type="http://schemas.openxmlformats.org/officeDocument/2006/relationships/image" Target="media/image4.emf"/><Relationship Id="rId25" Type="http://schemas.openxmlformats.org/officeDocument/2006/relationships/oleObject" Target="embeddings/oleObject2.bin"/><Relationship Id="rId33" Type="http://schemas.openxmlformats.org/officeDocument/2006/relationships/image" Target="media/image15.emf"/><Relationship Id="rId38" Type="http://schemas.openxmlformats.org/officeDocument/2006/relationships/image" Target="media/image20.emf"/><Relationship Id="rId46" Type="http://schemas.openxmlformats.org/officeDocument/2006/relationships/footer" Target="footer1.xml"/><Relationship Id="rId2" Type="http://schemas.openxmlformats.org/officeDocument/2006/relationships/customXml" Target="../customXml/item1.xml"/><Relationship Id="rId16" Type="http://schemas.openxmlformats.org/officeDocument/2006/relationships/package" Target="embeddings/Microsoft_Visio_Drawing1.vsdx"/><Relationship Id="rId20" Type="http://schemas.openxmlformats.org/officeDocument/2006/relationships/image" Target="media/image7.emf"/><Relationship Id="rId29" Type="http://schemas.openxmlformats.org/officeDocument/2006/relationships/oleObject" Target="embeddings/oleObject4.bin"/><Relationship Id="rId41" Type="http://schemas.openxmlformats.org/officeDocument/2006/relationships/image" Target="media/image23.emf"/><Relationship Id="rId1" Type="http://schemas.microsoft.com/office/2006/relationships/keyMapCustomizations" Target="customizations.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10.wmf"/><Relationship Id="rId32" Type="http://schemas.openxmlformats.org/officeDocument/2006/relationships/image" Target="media/image14.emf"/><Relationship Id="rId37" Type="http://schemas.openxmlformats.org/officeDocument/2006/relationships/image" Target="media/image19.emf"/><Relationship Id="rId40" Type="http://schemas.openxmlformats.org/officeDocument/2006/relationships/image" Target="media/image22.emf"/><Relationship Id="rId45" Type="http://schemas.openxmlformats.org/officeDocument/2006/relationships/header" Target="header2.xml"/><Relationship Id="rId5" Type="http://schemas.openxmlformats.org/officeDocument/2006/relationships/customXml" Target="../customXml/item4.xml"/><Relationship Id="rId15" Type="http://schemas.openxmlformats.org/officeDocument/2006/relationships/image" Target="media/image3.emf"/><Relationship Id="rId23" Type="http://schemas.openxmlformats.org/officeDocument/2006/relationships/oleObject" Target="embeddings/oleObject1.bin"/><Relationship Id="rId28" Type="http://schemas.openxmlformats.org/officeDocument/2006/relationships/image" Target="media/image12.wmf"/><Relationship Id="rId36" Type="http://schemas.openxmlformats.org/officeDocument/2006/relationships/image" Target="media/image18.emf"/><Relationship Id="rId49" Type="http://schemas.openxmlformats.org/officeDocument/2006/relationships/footer" Target="footer3.xml"/><Relationship Id="rId10" Type="http://schemas.openxmlformats.org/officeDocument/2006/relationships/footnotes" Target="footnotes.xml"/><Relationship Id="rId19" Type="http://schemas.openxmlformats.org/officeDocument/2006/relationships/image" Target="media/image6.emf"/><Relationship Id="rId31" Type="http://schemas.openxmlformats.org/officeDocument/2006/relationships/oleObject" Target="embeddings/oleObject5.bin"/><Relationship Id="rId44" Type="http://schemas.openxmlformats.org/officeDocument/2006/relationships/header" Target="header1.xml"/><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package" Target="embeddings/Microsoft_Visio_Drawing.vsdx"/><Relationship Id="rId22" Type="http://schemas.openxmlformats.org/officeDocument/2006/relationships/image" Target="media/image9.wmf"/><Relationship Id="rId27" Type="http://schemas.openxmlformats.org/officeDocument/2006/relationships/oleObject" Target="embeddings/oleObject3.bin"/><Relationship Id="rId30" Type="http://schemas.openxmlformats.org/officeDocument/2006/relationships/image" Target="media/image13.wmf"/><Relationship Id="rId35" Type="http://schemas.openxmlformats.org/officeDocument/2006/relationships/image" Target="media/image17.png"/><Relationship Id="rId43" Type="http://schemas.openxmlformats.org/officeDocument/2006/relationships/hyperlink" Target="http://www.ist-winner.org/deliverables.html" TargetMode="External"/><Relationship Id="rId48" Type="http://schemas.openxmlformats.org/officeDocument/2006/relationships/header" Target="header3.xml"/><Relationship Id="rId8" Type="http://schemas.openxmlformats.org/officeDocument/2006/relationships/settings" Target="settings.xml"/><Relationship Id="rId51"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F2552158F8185D44A8848B98AEA319AF" ma:contentTypeVersion="11" ma:contentTypeDescription="Create a new document." ma:contentTypeScope="" ma:versionID="67ac2de2715fe82d7906efdc2a2b4794">
  <xsd:schema xmlns:xsd="http://www.w3.org/2001/XMLSchema" xmlns:xs="http://www.w3.org/2001/XMLSchema" xmlns:p="http://schemas.microsoft.com/office/2006/metadata/properties" xmlns:ns3="a915fe38-2618-47b6-8303-829fb71466d5" xmlns:ns4="23d77754-4ccc-4c57-9291-cab09e81894a" targetNamespace="http://schemas.microsoft.com/office/2006/metadata/properties" ma:root="true" ma:fieldsID="f2c58f9831b242d232f284c9ca1bf745" ns3:_="" ns4:_="">
    <xsd:import namespace="a915fe38-2618-47b6-8303-829fb71466d5"/>
    <xsd:import namespace="23d77754-4ccc-4c57-9291-cab09e81894a"/>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GenerationTime" minOccurs="0"/>
                <xsd:element ref="ns3:MediaServiceEventHashCode" minOccurs="0"/>
                <xsd:element ref="ns3:MediaServiceAutoKeyPoints" minOccurs="0"/>
                <xsd:element ref="ns3:MediaServiceKeyPoints" minOccurs="0"/>
                <xsd:element ref="ns4:SharedWithUsers" minOccurs="0"/>
                <xsd:element ref="ns4:SharedWithDetails" minOccurs="0"/>
                <xsd:element ref="ns4:SharingHintHash"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915fe38-2618-47b6-8303-829fb71466d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AutoKeyPoints" ma:index="14" nillable="true" ma:displayName="MediaServiceAutoKeyPoints" ma:hidden="true" ma:internalName="MediaServiceAutoKeyPoints" ma:readOnly="true">
      <xsd:simpleType>
        <xsd:restriction base="dms:Note"/>
      </xsd:simpleType>
    </xsd:element>
    <xsd:element name="MediaServiceKeyPoints" ma:index="15"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23d77754-4ccc-4c57-9291-cab09e81894a"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element name="SharingHintHash" ma:index="18"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991E8622-8E4D-4283-BBDD-FF979582E83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915fe38-2618-47b6-8303-829fb71466d5"/>
    <ds:schemaRef ds:uri="23d77754-4ccc-4c57-9291-cab09e81894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48C68166-C180-49CB-A381-8179DBA8263D}">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2D48B248-861E-4E1B-9A2F-77BF93D7AF59}">
  <ds:schemaRefs>
    <ds:schemaRef ds:uri="http://schemas.microsoft.com/sharepoint/v3/contenttype/forms"/>
  </ds:schemaRefs>
</ds:datastoreItem>
</file>

<file path=customXml/itemProps4.xml><?xml version="1.0" encoding="utf-8"?>
<ds:datastoreItem xmlns:ds="http://schemas.openxmlformats.org/officeDocument/2006/customXml" ds:itemID="{4ABC10B2-9169-4797-B066-A604C426FE7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1704</TotalTime>
  <Pages>21</Pages>
  <Words>9956</Words>
  <Characters>51598</Characters>
  <Application>Microsoft Office Word</Application>
  <DocSecurity>0</DocSecurity>
  <Lines>429</Lines>
  <Paragraphs>122</Paragraphs>
  <ScaleCrop>false</ScaleCrop>
  <HeadingPairs>
    <vt:vector size="2" baseType="variant">
      <vt:variant>
        <vt:lpstr>Title</vt:lpstr>
      </vt:variant>
      <vt:variant>
        <vt:i4>1</vt:i4>
      </vt:variant>
    </vt:vector>
  </HeadingPairs>
  <TitlesOfParts>
    <vt:vector size="1" baseType="lpstr">
      <vt:lpstr>3GPP TSG-RAN WG1</vt:lpstr>
    </vt:vector>
  </TitlesOfParts>
  <Company>Intel</Company>
  <LinksUpToDate>false</LinksUpToDate>
  <CharactersWithSpaces>61432</CharactersWithSpaces>
  <SharedDoc>false</SharedDoc>
  <HLinks>
    <vt:vector size="12" baseType="variant">
      <vt:variant>
        <vt:i4>1704010</vt:i4>
      </vt:variant>
      <vt:variant>
        <vt:i4>27</vt:i4>
      </vt:variant>
      <vt:variant>
        <vt:i4>0</vt:i4>
      </vt:variant>
      <vt:variant>
        <vt:i4>5</vt:i4>
      </vt:variant>
      <vt:variant>
        <vt:lpwstr>http://www.5gworkshops.com/5GCM.html</vt:lpwstr>
      </vt:variant>
      <vt:variant>
        <vt:lpwstr/>
      </vt:variant>
      <vt:variant>
        <vt:i4>1704010</vt:i4>
      </vt:variant>
      <vt:variant>
        <vt:i4>24</vt:i4>
      </vt:variant>
      <vt:variant>
        <vt:i4>0</vt:i4>
      </vt:variant>
      <vt:variant>
        <vt:i4>5</vt:i4>
      </vt:variant>
      <vt:variant>
        <vt:lpwstr>http://www.5gworkshops.com/5GCM.html</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TSG-RAN WG1</dc:title>
  <dc:subject/>
  <dc:creator>Intel</dc:creator>
  <cp:keywords>CTPClassification=CTP_IC:VisualMarkings=, CTPClassification=CTP_IC, CTPClassification=CTP_NT</cp:keywords>
  <cp:lastModifiedBy>Intel</cp:lastModifiedBy>
  <cp:revision>853</cp:revision>
  <cp:lastPrinted>2011-11-09T07:49:00Z</cp:lastPrinted>
  <dcterms:created xsi:type="dcterms:W3CDTF">2020-08-08T16:18:00Z</dcterms:created>
  <dcterms:modified xsi:type="dcterms:W3CDTF">2021-08-07T00:03:00Z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y fmtid="{D5CDD505-2E9C-101B-9397-08002B2CF9AE}" pid="3" name="PublishingExpirationDate">
    <vt:lpwstr/>
  </property>
  <property fmtid="{D5CDD505-2E9C-101B-9397-08002B2CF9AE}" pid="4" name="PublishingStartDate">
    <vt:lpwstr/>
  </property>
  <property fmtid="{D5CDD505-2E9C-101B-9397-08002B2CF9AE}" pid="5" name="ReportStatus">
    <vt:lpwstr/>
  </property>
  <property fmtid="{D5CDD505-2E9C-101B-9397-08002B2CF9AE}" pid="6" name="ParentId">
    <vt:lpwstr/>
  </property>
  <property fmtid="{D5CDD505-2E9C-101B-9397-08002B2CF9AE}" pid="7" name="ReportDescription">
    <vt:lpwstr/>
  </property>
  <property fmtid="{D5CDD505-2E9C-101B-9397-08002B2CF9AE}" pid="8" name="ReportOwner">
    <vt:lpwstr/>
  </property>
  <property fmtid="{D5CDD505-2E9C-101B-9397-08002B2CF9AE}" pid="9" name="TitusGUID">
    <vt:lpwstr>d72681e5-656f-4549-841a-e38bec7a1084</vt:lpwstr>
  </property>
  <property fmtid="{D5CDD505-2E9C-101B-9397-08002B2CF9AE}" pid="10" name="CTP_BU">
    <vt:lpwstr>NA</vt:lpwstr>
  </property>
  <property fmtid="{D5CDD505-2E9C-101B-9397-08002B2CF9AE}" pid="11" name="CTP_TimeStamp">
    <vt:lpwstr>2020-08-08 17:03:45Z</vt:lpwstr>
  </property>
  <property fmtid="{D5CDD505-2E9C-101B-9397-08002B2CF9AE}" pid="12" name="ContentTypeId">
    <vt:lpwstr>0x010100F2552158F8185D44A8848B98AEA319AF</vt:lpwstr>
  </property>
  <property fmtid="{D5CDD505-2E9C-101B-9397-08002B2CF9AE}" pid="13" name="CTP_IDSID">
    <vt:lpwstr>NA</vt:lpwstr>
  </property>
  <property fmtid="{D5CDD505-2E9C-101B-9397-08002B2CF9AE}" pid="14" name="CTP_WWID">
    <vt:lpwstr>NA</vt:lpwstr>
  </property>
  <property fmtid="{D5CDD505-2E9C-101B-9397-08002B2CF9AE}" pid="15" name="CTPClassification">
    <vt:lpwstr>CTP_NT</vt:lpwstr>
  </property>
</Properties>
</file>