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917799E" w:rsidR="009C0564" w:rsidRPr="0053647E" w:rsidRDefault="00E50A11" w:rsidP="003E0282">
      <w:pPr>
        <w:tabs>
          <w:tab w:val="right" w:pos="9216"/>
        </w:tabs>
        <w:spacing w:after="0"/>
        <w:jc w:val="left"/>
        <w:rPr>
          <w:rFonts w:ascii="Arial" w:hAnsi="Arial" w:cs="Arial"/>
          <w:b/>
          <w:kern w:val="2"/>
          <w:lang w:eastAsia="zh-CN"/>
        </w:rPr>
      </w:pPr>
      <w:r w:rsidRPr="0053647E">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1838A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53647E">
        <w:rPr>
          <w:rFonts w:ascii="Arial" w:hAnsi="Arial" w:cs="Arial"/>
          <w:b/>
          <w:kern w:val="2"/>
          <w:lang w:eastAsia="zh-CN"/>
        </w:rPr>
        <w:t>3GPP TSG RAN WG1 #10</w:t>
      </w:r>
      <w:r w:rsidR="007F4F11">
        <w:rPr>
          <w:rFonts w:ascii="Arial" w:hAnsi="Arial" w:cs="Arial"/>
          <w:b/>
          <w:kern w:val="2"/>
          <w:lang w:eastAsia="zh-CN"/>
        </w:rPr>
        <w:t>6</w:t>
      </w:r>
      <w:r w:rsidR="00A259AC" w:rsidRPr="0053647E">
        <w:rPr>
          <w:rFonts w:ascii="Arial" w:hAnsi="Arial" w:cs="Arial"/>
          <w:b/>
          <w:kern w:val="2"/>
          <w:lang w:eastAsia="zh-CN"/>
        </w:rPr>
        <w:t>-e</w:t>
      </w:r>
      <w:r w:rsidR="00972929" w:rsidRPr="0053647E">
        <w:rPr>
          <w:rFonts w:ascii="Arial" w:hAnsi="Arial" w:cs="Arial"/>
          <w:b/>
          <w:kern w:val="2"/>
          <w:lang w:eastAsia="zh-CN"/>
        </w:rPr>
        <w:tab/>
      </w:r>
      <w:r w:rsidR="00316149" w:rsidRPr="00316149">
        <w:rPr>
          <w:rFonts w:ascii="Arial" w:hAnsi="Arial" w:cs="Arial"/>
          <w:b/>
          <w:kern w:val="2"/>
          <w:lang w:eastAsia="zh-CN"/>
        </w:rPr>
        <w:t>R1-2107089</w:t>
      </w:r>
    </w:p>
    <w:p w14:paraId="2A9D85E6" w14:textId="38922FB1" w:rsidR="009C0564" w:rsidRPr="0053647E" w:rsidRDefault="000F75A1" w:rsidP="00DA0712">
      <w:pPr>
        <w:jc w:val="left"/>
        <w:rPr>
          <w:rFonts w:ascii="Arial" w:hAnsi="Arial" w:cs="Arial"/>
          <w:b/>
          <w:kern w:val="2"/>
          <w:lang w:eastAsia="zh-CN"/>
        </w:rPr>
      </w:pPr>
      <w:r w:rsidRPr="0053647E">
        <w:rPr>
          <w:rFonts w:ascii="Arial" w:hAnsi="Arial" w:cs="Arial"/>
          <w:b/>
          <w:kern w:val="2"/>
          <w:lang w:eastAsia="zh-CN"/>
        </w:rPr>
        <w:t xml:space="preserve">e-Meeting, </w:t>
      </w:r>
      <w:r w:rsidR="008C09C2">
        <w:rPr>
          <w:rFonts w:ascii="Arial" w:hAnsi="Arial" w:cs="Arial"/>
          <w:b/>
          <w:kern w:val="2"/>
          <w:lang w:eastAsia="zh-CN"/>
        </w:rPr>
        <w:t>August</w:t>
      </w:r>
      <w:r w:rsidRPr="0053647E">
        <w:rPr>
          <w:rFonts w:ascii="Arial" w:hAnsi="Arial" w:cs="Arial"/>
          <w:b/>
          <w:kern w:val="2"/>
          <w:lang w:eastAsia="zh-CN"/>
        </w:rPr>
        <w:t xml:space="preserve"> </w:t>
      </w:r>
      <w:r w:rsidR="00AD6141" w:rsidRPr="0053647E">
        <w:rPr>
          <w:rFonts w:ascii="Arial" w:hAnsi="Arial" w:cs="Arial"/>
          <w:b/>
          <w:kern w:val="2"/>
          <w:lang w:eastAsia="zh-CN"/>
        </w:rPr>
        <w:t>1</w:t>
      </w:r>
      <w:r w:rsidR="008C09C2">
        <w:rPr>
          <w:rFonts w:ascii="Arial" w:hAnsi="Arial" w:cs="Arial"/>
          <w:b/>
          <w:kern w:val="2"/>
          <w:lang w:eastAsia="zh-CN"/>
        </w:rPr>
        <w:t>6</w:t>
      </w:r>
      <w:r w:rsidRPr="0053647E">
        <w:rPr>
          <w:rFonts w:ascii="Arial" w:hAnsi="Arial" w:cs="Arial"/>
          <w:b/>
          <w:kern w:val="2"/>
          <w:lang w:eastAsia="zh-CN"/>
        </w:rPr>
        <w:t xml:space="preserve"> – </w:t>
      </w:r>
      <w:r w:rsidR="00AD6141" w:rsidRPr="0053647E">
        <w:rPr>
          <w:rFonts w:ascii="Arial" w:hAnsi="Arial" w:cs="Arial"/>
          <w:b/>
          <w:kern w:val="2"/>
          <w:lang w:eastAsia="zh-CN"/>
        </w:rPr>
        <w:t>2</w:t>
      </w:r>
      <w:r w:rsidR="008C09C2">
        <w:rPr>
          <w:rFonts w:ascii="Arial" w:hAnsi="Arial" w:cs="Arial"/>
          <w:b/>
          <w:kern w:val="2"/>
          <w:lang w:eastAsia="zh-CN"/>
        </w:rPr>
        <w:t>7</w:t>
      </w:r>
      <w:r w:rsidRPr="0053647E">
        <w:rPr>
          <w:rFonts w:ascii="Arial" w:hAnsi="Arial" w:cs="Arial"/>
          <w:b/>
          <w:kern w:val="2"/>
          <w:lang w:eastAsia="zh-CN"/>
        </w:rPr>
        <w:t>, 202</w:t>
      </w:r>
      <w:r w:rsidR="00C90627" w:rsidRPr="0053647E">
        <w:rPr>
          <w:rFonts w:ascii="Arial" w:hAnsi="Arial" w:cs="Arial"/>
          <w:b/>
          <w:kern w:val="2"/>
          <w:lang w:eastAsia="zh-CN"/>
        </w:rPr>
        <w:t>1</w:t>
      </w:r>
    </w:p>
    <w:p w14:paraId="7826937B" w14:textId="3BE2BB46"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B64AEF" w:rsidRPr="0053647E">
        <w:rPr>
          <w:rFonts w:ascii="Arial" w:hAnsi="Arial" w:cs="Arial"/>
          <w:b/>
          <w:lang w:eastAsia="zh-CN"/>
        </w:rPr>
        <w:t>8.</w:t>
      </w:r>
      <w:r w:rsidR="000526D4" w:rsidRPr="0053647E">
        <w:rPr>
          <w:rFonts w:ascii="Arial" w:hAnsi="Arial" w:cs="Arial"/>
          <w:b/>
          <w:lang w:eastAsia="zh-CN"/>
        </w:rPr>
        <w:t>6</w:t>
      </w:r>
      <w:r w:rsidR="00B64AEF" w:rsidRPr="0053647E">
        <w:rPr>
          <w:rFonts w:ascii="Arial" w:hAnsi="Arial" w:cs="Arial"/>
          <w:b/>
          <w:lang w:eastAsia="zh-CN"/>
        </w:rPr>
        <w:t>.1</w:t>
      </w:r>
      <w:r w:rsidR="006D75A1" w:rsidRPr="0053647E">
        <w:rPr>
          <w:rFonts w:ascii="Arial" w:hAnsi="Arial" w:cs="Arial"/>
          <w:b/>
          <w:lang w:eastAsia="zh-CN"/>
        </w:rPr>
        <w:t>.</w:t>
      </w:r>
      <w:r w:rsidR="008824D9" w:rsidRPr="0053647E">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53647E">
        <w:rPr>
          <w:rFonts w:ascii="Arial" w:hAnsi="Arial" w:cs="Arial"/>
          <w:b/>
          <w:bCs/>
          <w:caps/>
          <w:szCs w:val="24"/>
          <w:shd w:val="clear" w:color="auto" w:fill="FFFFFF"/>
        </w:rPr>
        <w:t>Futurewei</w:t>
      </w:r>
    </w:p>
    <w:p w14:paraId="592199C5" w14:textId="2DE0E3A9"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4C4B1E" w:rsidRPr="0053647E">
        <w:rPr>
          <w:rFonts w:ascii="Arial" w:hAnsi="Arial" w:cs="Arial"/>
          <w:b/>
          <w:lang w:eastAsia="zh-CN"/>
        </w:rPr>
        <w:t>Discussion on Bandwidth Reduction for RedCap UEs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32823E81" w14:textId="71155850" w:rsidR="007A7CF5" w:rsidRPr="0053647E" w:rsidRDefault="008C09C2" w:rsidP="002F718C">
      <w:pPr>
        <w:rPr>
          <w:rFonts w:eastAsia="Yu Mincho"/>
          <w:bCs/>
          <w:iCs/>
          <w:lang w:eastAsia="ja-JP"/>
        </w:rPr>
      </w:pPr>
      <w:r>
        <w:t>Much of the RAN1 work for t</w:t>
      </w:r>
      <w:r w:rsidR="00D619D4" w:rsidRPr="0053647E">
        <w:t xml:space="preserve">he </w:t>
      </w:r>
      <w:r w:rsidR="007B44D9" w:rsidRPr="0053647E">
        <w:t xml:space="preserve">3GPP </w:t>
      </w:r>
      <w:r w:rsidR="004D6BA8" w:rsidRPr="0053647E">
        <w:t xml:space="preserve">Rel-17 work item for </w:t>
      </w:r>
      <w:r w:rsidR="00276D8B" w:rsidRPr="0053647E">
        <w:t>reduced capability (</w:t>
      </w:r>
      <w:r w:rsidR="009B262F" w:rsidRPr="0053647E">
        <w:t>RedCap</w:t>
      </w:r>
      <w:r w:rsidR="00276D8B" w:rsidRPr="0053647E">
        <w:t>) devices</w:t>
      </w:r>
      <w:r w:rsidR="004D6BA8" w:rsidRPr="0053647E">
        <w:t xml:space="preserve"> </w:t>
      </w:r>
      <w:r w:rsidRPr="0053647E">
        <w:fldChar w:fldCharType="begin"/>
      </w:r>
      <w:r w:rsidRPr="0053647E">
        <w:instrText xml:space="preserve"> REF _Ref60902124 \r \h </w:instrText>
      </w:r>
      <w:r w:rsidRPr="0053647E">
        <w:fldChar w:fldCharType="separate"/>
      </w:r>
      <w:r w:rsidR="00D40F5E">
        <w:t>[1]</w:t>
      </w:r>
      <w:r w:rsidRPr="0053647E">
        <w:fldChar w:fldCharType="end"/>
      </w:r>
      <w:r>
        <w:t xml:space="preserve"> is to address</w:t>
      </w:r>
      <w:r w:rsidR="004D6BA8" w:rsidRPr="0053647E">
        <w:t xml:space="preserve"> </w:t>
      </w:r>
      <w:r>
        <w:t xml:space="preserve">the </w:t>
      </w:r>
      <w:r w:rsidR="00276D8B" w:rsidRPr="0053647E">
        <w:rPr>
          <w:rFonts w:eastAsia="Yu Mincho"/>
          <w:bCs/>
          <w:iCs/>
          <w:lang w:eastAsia="ja-JP"/>
        </w:rPr>
        <w:t xml:space="preserve">UE complexity reduction feature </w:t>
      </w:r>
      <w:r>
        <w:rPr>
          <w:rFonts w:eastAsia="Yu Mincho"/>
          <w:bCs/>
          <w:iCs/>
          <w:lang w:eastAsia="ja-JP"/>
        </w:rPr>
        <w:t xml:space="preserve">of </w:t>
      </w:r>
      <w:r w:rsidR="00276D8B" w:rsidRPr="0053647E">
        <w:rPr>
          <w:rFonts w:eastAsia="Yu Mincho"/>
          <w:bCs/>
          <w:iCs/>
          <w:lang w:eastAsia="ja-JP"/>
        </w:rPr>
        <w:t>reduced maximum bandwidth</w:t>
      </w:r>
      <w:r w:rsidR="004D6BA8" w:rsidRPr="0053647E">
        <w:rPr>
          <w:rFonts w:eastAsia="Yu Mincho"/>
          <w:bCs/>
          <w:iCs/>
          <w:lang w:eastAsia="ja-JP"/>
        </w:rPr>
        <w:t>.</w:t>
      </w:r>
      <w:r w:rsidR="0021634C" w:rsidRPr="0053647E">
        <w:rPr>
          <w:rFonts w:eastAsia="Yu Mincho"/>
          <w:bCs/>
          <w:iCs/>
          <w:lang w:eastAsia="ja-JP"/>
        </w:rPr>
        <w:t xml:space="preserve"> </w:t>
      </w:r>
      <w:r>
        <w:rPr>
          <w:rFonts w:eastAsia="Yu Mincho"/>
          <w:bCs/>
          <w:iCs/>
          <w:lang w:eastAsia="ja-JP"/>
        </w:rPr>
        <w:t xml:space="preserve">Over the past meetings, several agreements and working assumptions were made to address the reduced maximum bandwidth. </w:t>
      </w:r>
      <w:r w:rsidR="007A7CF5">
        <w:rPr>
          <w:rFonts w:eastAsia="Yu Mincho"/>
          <w:bCs/>
          <w:iCs/>
          <w:lang w:eastAsia="ja-JP"/>
        </w:rPr>
        <w:t>One point of discussion is the operation of the RedCap UE in the initial UL BWP.</w:t>
      </w:r>
      <w:r w:rsidR="002525D7">
        <w:rPr>
          <w:rFonts w:eastAsia="Yu Mincho"/>
          <w:bCs/>
          <w:iCs/>
          <w:lang w:eastAsia="ja-JP"/>
        </w:rPr>
        <w:t xml:space="preserve"> </w:t>
      </w:r>
      <w:r w:rsidR="007A7CF5">
        <w:rPr>
          <w:rFonts w:eastAsia="Yu Mincho"/>
          <w:bCs/>
          <w:iCs/>
          <w:lang w:eastAsia="ja-JP"/>
        </w:rPr>
        <w:t xml:space="preserve">This contribution </w:t>
      </w:r>
      <w:r w:rsidR="002525D7">
        <w:rPr>
          <w:rFonts w:eastAsia="Yu Mincho"/>
          <w:bCs/>
          <w:iCs/>
          <w:lang w:eastAsia="ja-JP"/>
        </w:rPr>
        <w:t>provides proposals based on</w:t>
      </w:r>
      <w:r w:rsidR="007A7CF5">
        <w:rPr>
          <w:rFonts w:eastAsia="Yu Mincho"/>
          <w:bCs/>
          <w:iCs/>
          <w:lang w:eastAsia="ja-JP"/>
        </w:rPr>
        <w:t xml:space="preserve"> the working assumptions / agreements made in both RAN1#104b and 105</w:t>
      </w:r>
      <w:r w:rsidR="002525D7">
        <w:rPr>
          <w:rFonts w:eastAsia="Yu Mincho"/>
          <w:bCs/>
          <w:iCs/>
          <w:lang w:eastAsia="ja-JP"/>
        </w:rPr>
        <w:t xml:space="preserve">. </w:t>
      </w:r>
    </w:p>
    <w:p w14:paraId="6069EE56" w14:textId="5AE939C0" w:rsidR="00D71552" w:rsidRDefault="00D71552" w:rsidP="002F718C">
      <w:pPr>
        <w:rPr>
          <w:rFonts w:eastAsia="Yu Mincho"/>
          <w:bCs/>
          <w:iCs/>
          <w:lang w:eastAsia="ja-JP"/>
        </w:rPr>
      </w:pPr>
    </w:p>
    <w:p w14:paraId="2DA130E3" w14:textId="0E7189AA" w:rsidR="002525D7" w:rsidRPr="0053647E" w:rsidRDefault="002525D7" w:rsidP="002525D7">
      <w:pPr>
        <w:pStyle w:val="Heading1"/>
        <w:rPr>
          <w:rFonts w:cs="Arial"/>
        </w:rPr>
      </w:pPr>
      <w:r>
        <w:rPr>
          <w:rFonts w:cs="Arial"/>
        </w:rPr>
        <w:t>Discussion</w:t>
      </w:r>
    </w:p>
    <w:p w14:paraId="733EB47A" w14:textId="77777777" w:rsidR="00AC38BF" w:rsidRDefault="00AC38BF" w:rsidP="00AC38BF">
      <w:pPr>
        <w:pStyle w:val="Heading2"/>
        <w:rPr>
          <w:lang w:eastAsia="ja-JP"/>
        </w:rPr>
      </w:pPr>
      <w:r>
        <w:rPr>
          <w:lang w:eastAsia="ja-JP"/>
        </w:rPr>
        <w:t>Background</w:t>
      </w:r>
    </w:p>
    <w:p w14:paraId="479E9FB6" w14:textId="77777777" w:rsidR="00AC38BF" w:rsidRDefault="00AC38BF" w:rsidP="00AC38BF">
      <w:pPr>
        <w:rPr>
          <w:lang w:eastAsia="ja-JP"/>
        </w:rPr>
      </w:pPr>
      <w:r>
        <w:rPr>
          <w:lang w:eastAsia="ja-JP"/>
        </w:rPr>
        <w:t>The following table lists how the initial BWP configurations for UL and DL are obtained. In addition, when the initial BWP configuration is provided in the SIB, there are two cases to consider based on the size of the BWP.</w:t>
      </w:r>
    </w:p>
    <w:p w14:paraId="2B61D878" w14:textId="021ACD64" w:rsidR="00AC38BF" w:rsidRDefault="00AC38BF" w:rsidP="00AC38BF">
      <w:pPr>
        <w:pStyle w:val="Caption"/>
        <w:keepNext/>
      </w:pPr>
      <w:bookmarkStart w:id="2" w:name="_Ref78743905"/>
      <w:r>
        <w:t xml:space="preserve">Table </w:t>
      </w:r>
      <w:fldSimple w:instr=" SEQ Table \* ARABIC ">
        <w:r w:rsidR="00D40F5E">
          <w:rPr>
            <w:noProof/>
          </w:rPr>
          <w:t>1</w:t>
        </w:r>
      </w:fldSimple>
      <w:bookmarkEnd w:id="2"/>
      <w:r>
        <w:t>. BWP#0 configurations</w:t>
      </w:r>
    </w:p>
    <w:tbl>
      <w:tblPr>
        <w:tblStyle w:val="TableGrid"/>
        <w:tblW w:w="5000" w:type="pct"/>
        <w:tblLook w:val="04A0" w:firstRow="1" w:lastRow="0" w:firstColumn="1" w:lastColumn="0" w:noHBand="0" w:noVBand="1"/>
      </w:tblPr>
      <w:tblGrid>
        <w:gridCol w:w="650"/>
        <w:gridCol w:w="2224"/>
        <w:gridCol w:w="6433"/>
      </w:tblGrid>
      <w:tr w:rsidR="00AC38BF" w14:paraId="1EB9640F" w14:textId="77777777" w:rsidTr="00497642">
        <w:tc>
          <w:tcPr>
            <w:tcW w:w="349" w:type="pct"/>
          </w:tcPr>
          <w:p w14:paraId="63BA34C8" w14:textId="77777777" w:rsidR="00AC38BF" w:rsidRDefault="00AC38BF" w:rsidP="00497642">
            <w:pPr>
              <w:pStyle w:val="TableCell0"/>
              <w:rPr>
                <w:lang w:eastAsia="ja-JP"/>
              </w:rPr>
            </w:pPr>
            <w:r>
              <w:rPr>
                <w:lang w:eastAsia="ja-JP"/>
              </w:rPr>
              <w:t>BWP</w:t>
            </w:r>
          </w:p>
        </w:tc>
        <w:tc>
          <w:tcPr>
            <w:tcW w:w="1195" w:type="pct"/>
          </w:tcPr>
          <w:p w14:paraId="7987B78B" w14:textId="77777777" w:rsidR="00AC38BF" w:rsidRDefault="00AC38BF" w:rsidP="00497642">
            <w:pPr>
              <w:pStyle w:val="TableCell0"/>
              <w:rPr>
                <w:lang w:eastAsia="ja-JP"/>
              </w:rPr>
            </w:pPr>
            <w:r>
              <w:rPr>
                <w:lang w:eastAsia="ja-JP"/>
              </w:rPr>
              <w:t>No SIB signaling</w:t>
            </w:r>
          </w:p>
        </w:tc>
        <w:tc>
          <w:tcPr>
            <w:tcW w:w="3456" w:type="pct"/>
          </w:tcPr>
          <w:p w14:paraId="669935FF" w14:textId="77777777" w:rsidR="00AC38BF" w:rsidRDefault="00AC38BF" w:rsidP="00497642">
            <w:pPr>
              <w:pStyle w:val="TableCell0"/>
              <w:rPr>
                <w:lang w:eastAsia="ja-JP"/>
              </w:rPr>
            </w:pPr>
            <w:r>
              <w:rPr>
                <w:lang w:eastAsia="ja-JP"/>
              </w:rPr>
              <w:t>SIB signaling</w:t>
            </w:r>
          </w:p>
        </w:tc>
      </w:tr>
      <w:tr w:rsidR="00AC38BF" w14:paraId="64BECBBF" w14:textId="77777777" w:rsidTr="00497642">
        <w:tc>
          <w:tcPr>
            <w:tcW w:w="349" w:type="pct"/>
          </w:tcPr>
          <w:p w14:paraId="494066EB" w14:textId="77777777" w:rsidR="00AC38BF" w:rsidRDefault="00AC38BF" w:rsidP="00497642">
            <w:pPr>
              <w:pStyle w:val="TableCell0"/>
              <w:rPr>
                <w:lang w:eastAsia="ja-JP"/>
              </w:rPr>
            </w:pPr>
            <w:r>
              <w:rPr>
                <w:lang w:eastAsia="ja-JP"/>
              </w:rPr>
              <w:t>DL</w:t>
            </w:r>
          </w:p>
        </w:tc>
        <w:tc>
          <w:tcPr>
            <w:tcW w:w="1195" w:type="pct"/>
          </w:tcPr>
          <w:p w14:paraId="46B92C8C" w14:textId="77777777" w:rsidR="00AC38BF" w:rsidRDefault="00AC38BF" w:rsidP="00497642">
            <w:pPr>
              <w:pStyle w:val="TableCell0"/>
              <w:rPr>
                <w:lang w:eastAsia="ja-JP"/>
              </w:rPr>
            </w:pPr>
            <w:r>
              <w:rPr>
                <w:lang w:eastAsia="ja-JP"/>
              </w:rPr>
              <w:t xml:space="preserve">BWP </w:t>
            </w:r>
            <w:r>
              <w:rPr>
                <w:lang w:eastAsia="ja-JP"/>
              </w:rPr>
              <w:sym w:font="Symbol" w:char="F0A3"/>
            </w:r>
            <w:r>
              <w:rPr>
                <w:lang w:eastAsia="ja-JP"/>
              </w:rPr>
              <w:t xml:space="preserve"> max RedCap BW; BWP determined by CORESET#0</w:t>
            </w:r>
          </w:p>
        </w:tc>
        <w:tc>
          <w:tcPr>
            <w:tcW w:w="3456" w:type="pct"/>
          </w:tcPr>
          <w:p w14:paraId="48EED545" w14:textId="167A86B3" w:rsidR="00AC38BF" w:rsidRDefault="00AC38BF" w:rsidP="005E6EE7">
            <w:pPr>
              <w:pStyle w:val="TableCell0"/>
              <w:numPr>
                <w:ilvl w:val="0"/>
                <w:numId w:val="27"/>
              </w:numPr>
              <w:ind w:left="345"/>
              <w:rPr>
                <w:lang w:eastAsia="ja-JP"/>
              </w:rPr>
            </w:pPr>
            <w:r>
              <w:rPr>
                <w:lang w:eastAsia="ja-JP"/>
              </w:rPr>
              <w:t xml:space="preserve">Case d1: BWP in DL SIB configuration </w:t>
            </w:r>
            <w:r w:rsidR="00ED535E">
              <w:rPr>
                <w:lang w:eastAsia="ja-JP"/>
              </w:rPr>
              <w:t xml:space="preserve">for non-RedCap UE </w:t>
            </w:r>
            <w:r>
              <w:rPr>
                <w:lang w:eastAsia="ja-JP"/>
              </w:rPr>
              <w:sym w:font="Symbol" w:char="F0A3"/>
            </w:r>
            <w:r>
              <w:rPr>
                <w:lang w:eastAsia="ja-JP"/>
              </w:rPr>
              <w:t xml:space="preserve"> max RedCap BW </w:t>
            </w:r>
            <w:r>
              <w:rPr>
                <w:lang w:eastAsia="ja-JP"/>
              </w:rPr>
              <w:sym w:font="Symbol" w:char="F0AE"/>
            </w:r>
            <w:r>
              <w:rPr>
                <w:lang w:eastAsia="ja-JP"/>
              </w:rPr>
              <w:t xml:space="preserve"> initial DL BWP </w:t>
            </w:r>
            <w:r>
              <w:rPr>
                <w:lang w:eastAsia="ja-JP"/>
              </w:rPr>
              <w:sym w:font="Symbol" w:char="F0A3"/>
            </w:r>
            <w:r>
              <w:rPr>
                <w:lang w:eastAsia="ja-JP"/>
              </w:rPr>
              <w:t xml:space="preserve"> max RedCap BW</w:t>
            </w:r>
            <w:r w:rsidR="00EA4E95">
              <w:rPr>
                <w:lang w:eastAsia="ja-JP"/>
              </w:rPr>
              <w:t xml:space="preserve"> [if provided]</w:t>
            </w:r>
          </w:p>
          <w:p w14:paraId="0D788CD0" w14:textId="6A58F7DA" w:rsidR="00AC38BF" w:rsidRDefault="00AC38BF" w:rsidP="005E6EE7">
            <w:pPr>
              <w:pStyle w:val="TableCell0"/>
              <w:numPr>
                <w:ilvl w:val="0"/>
                <w:numId w:val="27"/>
              </w:numPr>
              <w:ind w:left="345"/>
              <w:rPr>
                <w:lang w:eastAsia="ja-JP"/>
              </w:rPr>
            </w:pPr>
            <w:r>
              <w:rPr>
                <w:lang w:eastAsia="ja-JP"/>
              </w:rPr>
              <w:t>Case d2: BWP in DL SIB configuration</w:t>
            </w:r>
            <w:r w:rsidR="00ED535E">
              <w:rPr>
                <w:lang w:eastAsia="ja-JP"/>
              </w:rPr>
              <w:t xml:space="preserve"> for non-RedCap UE</w:t>
            </w:r>
            <w:r>
              <w:rPr>
                <w:lang w:eastAsia="ja-JP"/>
              </w:rPr>
              <w:t xml:space="preserve"> &gt; max RedCap BW </w:t>
            </w:r>
            <w:r>
              <w:rPr>
                <w:lang w:eastAsia="ja-JP"/>
              </w:rPr>
              <w:sym w:font="Symbol" w:char="F0AE"/>
            </w:r>
            <w:r>
              <w:rPr>
                <w:lang w:eastAsia="ja-JP"/>
              </w:rPr>
              <w:t xml:space="preserve"> how to ensure initial BWP used by RedCap UEs </w:t>
            </w:r>
            <w:r>
              <w:rPr>
                <w:lang w:eastAsia="ja-JP"/>
              </w:rPr>
              <w:sym w:font="Symbol" w:char="F0A3"/>
            </w:r>
            <w:r>
              <w:rPr>
                <w:lang w:eastAsia="ja-JP"/>
              </w:rPr>
              <w:t xml:space="preserve"> max RedCap BW?</w:t>
            </w:r>
          </w:p>
        </w:tc>
      </w:tr>
      <w:tr w:rsidR="00AC38BF" w14:paraId="6F2ABD65" w14:textId="77777777" w:rsidTr="00497642">
        <w:tc>
          <w:tcPr>
            <w:tcW w:w="349" w:type="pct"/>
          </w:tcPr>
          <w:p w14:paraId="069B4378" w14:textId="77777777" w:rsidR="00AC38BF" w:rsidRDefault="00AC38BF" w:rsidP="00497642">
            <w:pPr>
              <w:pStyle w:val="TableCell0"/>
              <w:rPr>
                <w:lang w:eastAsia="ja-JP"/>
              </w:rPr>
            </w:pPr>
            <w:r>
              <w:rPr>
                <w:lang w:eastAsia="ja-JP"/>
              </w:rPr>
              <w:t>UL</w:t>
            </w:r>
          </w:p>
        </w:tc>
        <w:tc>
          <w:tcPr>
            <w:tcW w:w="1195" w:type="pct"/>
          </w:tcPr>
          <w:p w14:paraId="0D780759" w14:textId="77777777" w:rsidR="00AC38BF" w:rsidRDefault="00AC38BF" w:rsidP="00497642">
            <w:pPr>
              <w:pStyle w:val="TableCell0"/>
              <w:rPr>
                <w:lang w:eastAsia="ja-JP"/>
              </w:rPr>
            </w:pPr>
            <w:r>
              <w:rPr>
                <w:lang w:eastAsia="ja-JP"/>
              </w:rPr>
              <w:t>Not applicable</w:t>
            </w:r>
          </w:p>
        </w:tc>
        <w:tc>
          <w:tcPr>
            <w:tcW w:w="3456" w:type="pct"/>
          </w:tcPr>
          <w:p w14:paraId="50BE9003" w14:textId="7229687E" w:rsidR="00AC38BF" w:rsidRDefault="00AC38BF" w:rsidP="005E6EE7">
            <w:pPr>
              <w:pStyle w:val="TableCell0"/>
              <w:numPr>
                <w:ilvl w:val="0"/>
                <w:numId w:val="27"/>
              </w:numPr>
              <w:ind w:left="345"/>
              <w:rPr>
                <w:lang w:eastAsia="ja-JP"/>
              </w:rPr>
            </w:pPr>
            <w:r>
              <w:rPr>
                <w:lang w:eastAsia="ja-JP"/>
              </w:rPr>
              <w:t>Case u1: BWP in UL SIB configuration</w:t>
            </w:r>
            <w:r w:rsidR="00ED535E">
              <w:rPr>
                <w:lang w:eastAsia="ja-JP"/>
              </w:rPr>
              <w:t xml:space="preserve"> for non-RedCap UE</w:t>
            </w:r>
            <w:r>
              <w:rPr>
                <w:lang w:eastAsia="ja-JP"/>
              </w:rPr>
              <w:t xml:space="preserve"> </w:t>
            </w:r>
            <w:r>
              <w:rPr>
                <w:lang w:eastAsia="ja-JP"/>
              </w:rPr>
              <w:sym w:font="Symbol" w:char="F0A3"/>
            </w:r>
            <w:r>
              <w:rPr>
                <w:lang w:eastAsia="ja-JP"/>
              </w:rPr>
              <w:t xml:space="preserve"> max RedCap BW </w:t>
            </w:r>
            <w:r>
              <w:rPr>
                <w:lang w:eastAsia="ja-JP"/>
              </w:rPr>
              <w:sym w:font="Symbol" w:char="F0AE"/>
            </w:r>
            <w:r>
              <w:rPr>
                <w:lang w:eastAsia="ja-JP"/>
              </w:rPr>
              <w:t xml:space="preserve"> initial UL BWP </w:t>
            </w:r>
            <w:r>
              <w:rPr>
                <w:lang w:eastAsia="ja-JP"/>
              </w:rPr>
              <w:sym w:font="Symbol" w:char="F0A3"/>
            </w:r>
            <w:r>
              <w:rPr>
                <w:lang w:eastAsia="ja-JP"/>
              </w:rPr>
              <w:t xml:space="preserve"> max RedCap BW</w:t>
            </w:r>
          </w:p>
          <w:p w14:paraId="39A7A326" w14:textId="399AA51B" w:rsidR="00AC38BF" w:rsidRDefault="00AC38BF" w:rsidP="005E6EE7">
            <w:pPr>
              <w:pStyle w:val="TableCell0"/>
              <w:numPr>
                <w:ilvl w:val="0"/>
                <w:numId w:val="27"/>
              </w:numPr>
              <w:ind w:left="345"/>
              <w:rPr>
                <w:lang w:eastAsia="ja-JP"/>
              </w:rPr>
            </w:pPr>
            <w:r>
              <w:rPr>
                <w:lang w:eastAsia="ja-JP"/>
              </w:rPr>
              <w:t>Case u2: BWP in UL SIB configuration</w:t>
            </w:r>
            <w:r w:rsidR="00ED535E">
              <w:rPr>
                <w:lang w:eastAsia="ja-JP"/>
              </w:rPr>
              <w:t xml:space="preserve"> for non-RedCap UE</w:t>
            </w:r>
            <w:r>
              <w:rPr>
                <w:lang w:eastAsia="ja-JP"/>
              </w:rPr>
              <w:t xml:space="preserve"> &gt; max RedCap BW </w:t>
            </w:r>
            <w:r>
              <w:rPr>
                <w:lang w:eastAsia="ja-JP"/>
              </w:rPr>
              <w:sym w:font="Symbol" w:char="F0AE"/>
            </w:r>
            <w:r>
              <w:rPr>
                <w:lang w:eastAsia="ja-JP"/>
              </w:rPr>
              <w:t xml:space="preserve"> how to ensure initial BWP used by RedCap UEs </w:t>
            </w:r>
            <w:r>
              <w:rPr>
                <w:lang w:eastAsia="ja-JP"/>
              </w:rPr>
              <w:sym w:font="Symbol" w:char="F0A3"/>
            </w:r>
            <w:r>
              <w:rPr>
                <w:lang w:eastAsia="ja-JP"/>
              </w:rPr>
              <w:t xml:space="preserve"> max RedCap BW?</w:t>
            </w:r>
          </w:p>
        </w:tc>
      </w:tr>
    </w:tbl>
    <w:p w14:paraId="32C3D002" w14:textId="46399C7E" w:rsidR="00AC38BF" w:rsidRDefault="00AC38BF" w:rsidP="00AC38BF">
      <w:pPr>
        <w:rPr>
          <w:lang w:eastAsia="ja-JP"/>
        </w:rPr>
      </w:pPr>
    </w:p>
    <w:p w14:paraId="65243A00" w14:textId="44A19616" w:rsidR="0009428E" w:rsidRDefault="004F4A4B" w:rsidP="00AC38BF">
      <w:pPr>
        <w:rPr>
          <w:lang w:eastAsia="ja-JP"/>
        </w:rPr>
      </w:pPr>
      <w:r>
        <w:rPr>
          <w:lang w:eastAsia="ja-JP"/>
        </w:rPr>
        <w:t>Several agreements and working assumptions were made over the span of RAN1#104, RAN1#104b, and RAN1#105. The appendix captures the agreements and working assumptions made during RAN1#104 and RAN1#104b. This contribution discusses the outcome from RAN1#105.</w:t>
      </w:r>
    </w:p>
    <w:p w14:paraId="5CE4C980" w14:textId="7B5391DF" w:rsidR="00FC04A8" w:rsidRDefault="002B73B9" w:rsidP="0087334A">
      <w:pPr>
        <w:pStyle w:val="Heading2"/>
      </w:pPr>
      <w:r>
        <w:t>DL BWP</w:t>
      </w:r>
    </w:p>
    <w:p w14:paraId="4FFA7FC8" w14:textId="69C15F1C" w:rsidR="0087334A" w:rsidRPr="00E91746" w:rsidRDefault="0087334A" w:rsidP="0087334A">
      <w:pPr>
        <w:rPr>
          <w:lang w:eastAsia="ja-JP"/>
        </w:rPr>
      </w:pPr>
      <w:r>
        <w:rPr>
          <w:lang w:eastAsia="ja-JP"/>
        </w:rPr>
        <w:t xml:space="preserve">One working assumption from RAN1#105 </w:t>
      </w:r>
      <w:r w:rsidR="006A247A">
        <w:rPr>
          <w:lang w:eastAsia="ja-JP"/>
        </w:rPr>
        <w:fldChar w:fldCharType="begin"/>
      </w:r>
      <w:r w:rsidR="006A247A">
        <w:rPr>
          <w:lang w:eastAsia="ja-JP"/>
        </w:rPr>
        <w:instrText xml:space="preserve"> REF _Ref67908436 \r \h </w:instrText>
      </w:r>
      <w:r w:rsidR="006A247A">
        <w:rPr>
          <w:lang w:eastAsia="ja-JP"/>
        </w:rPr>
      </w:r>
      <w:r w:rsidR="006A247A">
        <w:rPr>
          <w:lang w:eastAsia="ja-JP"/>
        </w:rPr>
        <w:fldChar w:fldCharType="separate"/>
      </w:r>
      <w:r w:rsidR="00D40F5E">
        <w:rPr>
          <w:lang w:eastAsia="ja-JP"/>
        </w:rPr>
        <w:t>[4]</w:t>
      </w:r>
      <w:r w:rsidR="006A247A">
        <w:rPr>
          <w:lang w:eastAsia="ja-JP"/>
        </w:rPr>
        <w:fldChar w:fldCharType="end"/>
      </w:r>
      <w:r w:rsidR="006A247A">
        <w:rPr>
          <w:lang w:eastAsia="ja-JP"/>
        </w:rPr>
        <w:t xml:space="preserve"> </w:t>
      </w:r>
      <w:r>
        <w:rPr>
          <w:lang w:eastAsia="ja-JP"/>
        </w:rPr>
        <w:t>spans many topics, including TDD, initial DL BWP after initial access, and separate DL BWP configurations/definitions.</w:t>
      </w:r>
    </w:p>
    <w:tbl>
      <w:tblPr>
        <w:tblStyle w:val="TableGrid"/>
        <w:tblW w:w="0" w:type="auto"/>
        <w:tblLook w:val="04A0" w:firstRow="1" w:lastRow="0" w:firstColumn="1" w:lastColumn="0" w:noHBand="0" w:noVBand="1"/>
      </w:tblPr>
      <w:tblGrid>
        <w:gridCol w:w="9307"/>
      </w:tblGrid>
      <w:tr w:rsidR="0087334A" w14:paraId="2CE2FA95" w14:textId="77777777" w:rsidTr="00497642">
        <w:tc>
          <w:tcPr>
            <w:tcW w:w="9307" w:type="dxa"/>
          </w:tcPr>
          <w:p w14:paraId="5805005C" w14:textId="77777777" w:rsidR="0087334A" w:rsidRPr="002C47EA" w:rsidRDefault="0087334A" w:rsidP="00497642">
            <w:pPr>
              <w:rPr>
                <w:rFonts w:eastAsia="Batang"/>
                <w:sz w:val="20"/>
              </w:rPr>
            </w:pPr>
            <w:r w:rsidRPr="002C47EA">
              <w:rPr>
                <w:sz w:val="20"/>
                <w:szCs w:val="20"/>
                <w:highlight w:val="darkYellow"/>
              </w:rPr>
              <w:t>Working assumption</w:t>
            </w:r>
            <w:r w:rsidRPr="002C47EA">
              <w:rPr>
                <w:sz w:val="20"/>
                <w:szCs w:val="20"/>
              </w:rPr>
              <w:t>: At least for TDD, an initial DL BWP for RedCap UEs (which is not expected to exceed the maximum RedCap UE bandwidth) can be optionally configured/defined separately from the initial DL BWP for non-RedCap UEs at least after initial access</w:t>
            </w:r>
          </w:p>
          <w:p w14:paraId="52EBA80E" w14:textId="77777777" w:rsidR="0087334A" w:rsidRPr="002C47EA" w:rsidRDefault="0087334A" w:rsidP="00497642">
            <w:pPr>
              <w:pStyle w:val="ListParagraph"/>
              <w:numPr>
                <w:ilvl w:val="0"/>
                <w:numId w:val="13"/>
              </w:numPr>
              <w:autoSpaceDN w:val="0"/>
              <w:spacing w:after="0" w:line="240" w:lineRule="auto"/>
              <w:jc w:val="left"/>
              <w:rPr>
                <w:sz w:val="20"/>
                <w:szCs w:val="20"/>
              </w:rPr>
            </w:pPr>
            <w:r w:rsidRPr="002C47EA">
              <w:rPr>
                <w:sz w:val="20"/>
                <w:szCs w:val="20"/>
              </w:rPr>
              <w:t>FFS the details of the configuration/definition</w:t>
            </w:r>
          </w:p>
          <w:p w14:paraId="359B0ABC" w14:textId="77777777" w:rsidR="0087334A" w:rsidRPr="002C47EA" w:rsidRDefault="0087334A" w:rsidP="00497642">
            <w:pPr>
              <w:pStyle w:val="ListParagraph"/>
              <w:numPr>
                <w:ilvl w:val="1"/>
                <w:numId w:val="13"/>
              </w:numPr>
              <w:autoSpaceDN w:val="0"/>
              <w:spacing w:after="0" w:line="240" w:lineRule="auto"/>
              <w:jc w:val="left"/>
              <w:rPr>
                <w:sz w:val="20"/>
                <w:szCs w:val="20"/>
              </w:rPr>
            </w:pPr>
            <w:r w:rsidRPr="002C47EA">
              <w:rPr>
                <w:sz w:val="20"/>
                <w:szCs w:val="20"/>
              </w:rPr>
              <w:t>The configuration for a separately configured initial DL BWP for RedCap UEs is signaled in SIB.</w:t>
            </w:r>
          </w:p>
          <w:p w14:paraId="17F7AC7C" w14:textId="77777777" w:rsidR="0087334A" w:rsidRPr="002C47EA" w:rsidRDefault="0087334A" w:rsidP="00497642">
            <w:pPr>
              <w:pStyle w:val="ListParagraph"/>
              <w:numPr>
                <w:ilvl w:val="1"/>
                <w:numId w:val="13"/>
              </w:numPr>
              <w:autoSpaceDN w:val="0"/>
              <w:spacing w:after="0" w:line="240" w:lineRule="auto"/>
              <w:jc w:val="left"/>
              <w:rPr>
                <w:sz w:val="20"/>
                <w:szCs w:val="20"/>
              </w:rPr>
            </w:pPr>
            <w:r w:rsidRPr="002C47EA">
              <w:rPr>
                <w:sz w:val="20"/>
                <w:szCs w:val="20"/>
              </w:rPr>
              <w:t xml:space="preserve">whether to support that separate initial DL BWP for RedCap UEs can include a configuration of CORESET and CSS(s) </w:t>
            </w:r>
          </w:p>
          <w:p w14:paraId="13A0D0E4" w14:textId="77777777" w:rsidR="0087334A" w:rsidRPr="002C47EA" w:rsidRDefault="0087334A" w:rsidP="00497642">
            <w:pPr>
              <w:pStyle w:val="ListParagraph"/>
              <w:numPr>
                <w:ilvl w:val="1"/>
                <w:numId w:val="13"/>
              </w:numPr>
              <w:autoSpaceDN w:val="0"/>
              <w:spacing w:after="0" w:line="240" w:lineRule="auto"/>
              <w:jc w:val="left"/>
              <w:rPr>
                <w:sz w:val="20"/>
                <w:szCs w:val="20"/>
              </w:rPr>
            </w:pPr>
            <w:r w:rsidRPr="002C47EA">
              <w:rPr>
                <w:sz w:val="20"/>
                <w:szCs w:val="20"/>
              </w:rPr>
              <w:lastRenderedPageBreak/>
              <w:t>whether part of the configuration can be defined instead of signaled</w:t>
            </w:r>
          </w:p>
          <w:p w14:paraId="1B7A6504" w14:textId="77777777" w:rsidR="0087334A" w:rsidRPr="002C47EA" w:rsidRDefault="0087334A" w:rsidP="00497642">
            <w:pPr>
              <w:pStyle w:val="ListParagraph"/>
              <w:numPr>
                <w:ilvl w:val="0"/>
                <w:numId w:val="13"/>
              </w:numPr>
              <w:autoSpaceDN w:val="0"/>
              <w:spacing w:after="0" w:line="240" w:lineRule="auto"/>
              <w:jc w:val="left"/>
              <w:rPr>
                <w:sz w:val="20"/>
                <w:szCs w:val="20"/>
              </w:rPr>
            </w:pPr>
            <w:r w:rsidRPr="002C47EA">
              <w:rPr>
                <w:sz w:val="20"/>
                <w:szCs w:val="20"/>
              </w:rPr>
              <w:t>If a separate initial DL BWP for RedCap UEs is configured/defined, this separate initial DL BWP for RedCap UEs can be used at least after initial access (i.e., at least after RRC Setup, RRC Resume, or RRC Reestablishment).</w:t>
            </w:r>
          </w:p>
          <w:p w14:paraId="4182080B" w14:textId="77777777" w:rsidR="0087334A" w:rsidRPr="002C47EA" w:rsidRDefault="0087334A" w:rsidP="00497642">
            <w:pPr>
              <w:pStyle w:val="ListParagraph"/>
              <w:numPr>
                <w:ilvl w:val="1"/>
                <w:numId w:val="13"/>
              </w:numPr>
              <w:autoSpaceDN w:val="0"/>
              <w:spacing w:after="0" w:line="240" w:lineRule="auto"/>
              <w:jc w:val="left"/>
              <w:rPr>
                <w:sz w:val="20"/>
                <w:szCs w:val="20"/>
              </w:rPr>
            </w:pPr>
            <w:r w:rsidRPr="002C47EA">
              <w:rPr>
                <w:sz w:val="20"/>
                <w:szCs w:val="20"/>
              </w:rPr>
              <w:t>FFS during the initial access</w:t>
            </w:r>
          </w:p>
          <w:p w14:paraId="347B73AD" w14:textId="77777777" w:rsidR="0087334A" w:rsidRPr="002C47EA" w:rsidRDefault="0087334A" w:rsidP="00497642">
            <w:pPr>
              <w:pStyle w:val="ListParagraph"/>
              <w:numPr>
                <w:ilvl w:val="0"/>
                <w:numId w:val="13"/>
              </w:numPr>
              <w:autoSpaceDN w:val="0"/>
              <w:spacing w:after="0" w:line="240" w:lineRule="auto"/>
              <w:jc w:val="left"/>
              <w:rPr>
                <w:sz w:val="20"/>
                <w:szCs w:val="20"/>
              </w:rPr>
            </w:pPr>
            <w:r w:rsidRPr="002C47EA">
              <w:rPr>
                <w:sz w:val="20"/>
                <w:szCs w:val="20"/>
              </w:rPr>
              <w:t>FFS: whether a separately configured initial DL BWP for RedCap UEs needs to contain the entire CORESET #0, and, if not, the Redcap UE behaviour for CORESET #0 monitoring</w:t>
            </w:r>
          </w:p>
          <w:p w14:paraId="7F1179FA" w14:textId="77777777" w:rsidR="0087334A" w:rsidRPr="002C47EA" w:rsidRDefault="0087334A" w:rsidP="00497642">
            <w:pPr>
              <w:pStyle w:val="ListParagraph"/>
              <w:numPr>
                <w:ilvl w:val="0"/>
                <w:numId w:val="13"/>
              </w:numPr>
              <w:autoSpaceDN w:val="0"/>
              <w:spacing w:after="0" w:line="240" w:lineRule="auto"/>
              <w:jc w:val="left"/>
              <w:rPr>
                <w:sz w:val="20"/>
                <w:szCs w:val="20"/>
              </w:rPr>
            </w:pPr>
            <w:bookmarkStart w:id="3" w:name="_Hlk78788358"/>
            <w:r w:rsidRPr="002C47EA">
              <w:rPr>
                <w:sz w:val="20"/>
                <w:szCs w:val="20"/>
              </w:rPr>
              <w:t>FFS: supported bandwidths in the separate initial DL BWP</w:t>
            </w:r>
          </w:p>
          <w:bookmarkEnd w:id="3"/>
          <w:p w14:paraId="5C816C9F" w14:textId="77777777" w:rsidR="0087334A" w:rsidRPr="002C47EA" w:rsidRDefault="0087334A" w:rsidP="00497642">
            <w:pPr>
              <w:pStyle w:val="ListParagraph"/>
              <w:numPr>
                <w:ilvl w:val="0"/>
                <w:numId w:val="13"/>
              </w:numPr>
              <w:autoSpaceDN w:val="0"/>
              <w:spacing w:after="0" w:line="240" w:lineRule="auto"/>
              <w:jc w:val="left"/>
              <w:rPr>
                <w:sz w:val="20"/>
                <w:szCs w:val="20"/>
              </w:rPr>
            </w:pPr>
            <w:r w:rsidRPr="002C47EA">
              <w:rPr>
                <w:sz w:val="20"/>
                <w:szCs w:val="20"/>
              </w:rPr>
              <w:t>FFS: whether additional SSB is transmitted in the separately configured initial DL BWP for RedCap UEs</w:t>
            </w:r>
          </w:p>
          <w:p w14:paraId="6C30F2E4" w14:textId="77777777" w:rsidR="0087334A" w:rsidRPr="00C270BA" w:rsidRDefault="0087334A" w:rsidP="00497642">
            <w:pPr>
              <w:pStyle w:val="ListParagraph"/>
              <w:numPr>
                <w:ilvl w:val="0"/>
                <w:numId w:val="13"/>
              </w:numPr>
              <w:autoSpaceDN w:val="0"/>
              <w:spacing w:after="0" w:line="240" w:lineRule="auto"/>
              <w:jc w:val="left"/>
              <w:rPr>
                <w:lang w:val="sv-SE"/>
              </w:rPr>
            </w:pPr>
            <w:r w:rsidRPr="002C47EA">
              <w:rPr>
                <w:sz w:val="20"/>
                <w:szCs w:val="20"/>
                <w:lang w:val="sv-SE"/>
              </w:rPr>
              <w:t>FFS: FDD case</w:t>
            </w:r>
          </w:p>
        </w:tc>
      </w:tr>
    </w:tbl>
    <w:p w14:paraId="1AB3F362" w14:textId="60D110A7" w:rsidR="0087334A" w:rsidRDefault="0087334A" w:rsidP="0087334A">
      <w:pPr>
        <w:rPr>
          <w:lang w:eastAsia="ja-JP"/>
        </w:rPr>
      </w:pPr>
    </w:p>
    <w:p w14:paraId="076C1282" w14:textId="5A99B5E0" w:rsidR="0072677F" w:rsidRDefault="007F3124" w:rsidP="0087334A">
      <w:pPr>
        <w:rPr>
          <w:lang w:eastAsia="ja-JP"/>
        </w:rPr>
      </w:pPr>
      <w:r>
        <w:rPr>
          <w:lang w:eastAsia="ja-JP"/>
        </w:rPr>
        <w:t>Parts of working assumption are addressed individually.</w:t>
      </w:r>
    </w:p>
    <w:p w14:paraId="55E343E4" w14:textId="410486AE" w:rsidR="00C03770" w:rsidRDefault="00C03770" w:rsidP="0087334A">
      <w:pPr>
        <w:pStyle w:val="Heading3"/>
        <w:rPr>
          <w:lang w:eastAsia="ja-JP"/>
        </w:rPr>
      </w:pPr>
      <w:bookmarkStart w:id="4" w:name="_Ref78810453"/>
      <w:r>
        <w:rPr>
          <w:lang w:eastAsia="ja-JP"/>
        </w:rPr>
        <w:t>BWP after initial access</w:t>
      </w:r>
      <w:bookmarkEnd w:id="4"/>
    </w:p>
    <w:tbl>
      <w:tblPr>
        <w:tblStyle w:val="TableGrid"/>
        <w:tblW w:w="0" w:type="auto"/>
        <w:tblLook w:val="04A0" w:firstRow="1" w:lastRow="0" w:firstColumn="1" w:lastColumn="0" w:noHBand="0" w:noVBand="1"/>
      </w:tblPr>
      <w:tblGrid>
        <w:gridCol w:w="9307"/>
      </w:tblGrid>
      <w:tr w:rsidR="0072677F" w14:paraId="6D4F1921" w14:textId="77777777" w:rsidTr="0072677F">
        <w:tc>
          <w:tcPr>
            <w:tcW w:w="9307" w:type="dxa"/>
          </w:tcPr>
          <w:p w14:paraId="2949E9E5" w14:textId="77777777" w:rsidR="0072677F" w:rsidRPr="007F3124" w:rsidRDefault="0072677F" w:rsidP="0072677F">
            <w:pPr>
              <w:pStyle w:val="ListParagraph"/>
              <w:numPr>
                <w:ilvl w:val="0"/>
                <w:numId w:val="13"/>
              </w:numPr>
              <w:autoSpaceDN w:val="0"/>
              <w:spacing w:after="0" w:line="240" w:lineRule="auto"/>
              <w:jc w:val="left"/>
              <w:rPr>
                <w:i/>
                <w:iCs/>
                <w:sz w:val="20"/>
                <w:szCs w:val="20"/>
              </w:rPr>
            </w:pPr>
            <w:r w:rsidRPr="007F3124">
              <w:rPr>
                <w:i/>
                <w:iCs/>
                <w:sz w:val="20"/>
                <w:szCs w:val="20"/>
              </w:rPr>
              <w:t>If a separate initial DL BWP for RedCap UEs is configured/defined, this separate initial DL BWP for RedCap UEs can be used at least after initial access (i.e., at least after RRC Setup, RRC Resume, or RRC Reestablishment).</w:t>
            </w:r>
          </w:p>
          <w:p w14:paraId="2F08526E" w14:textId="424477ED" w:rsidR="0072677F" w:rsidRPr="0072677F" w:rsidRDefault="0072677F" w:rsidP="0087334A">
            <w:pPr>
              <w:pStyle w:val="ListParagraph"/>
              <w:numPr>
                <w:ilvl w:val="1"/>
                <w:numId w:val="13"/>
              </w:numPr>
              <w:autoSpaceDN w:val="0"/>
              <w:spacing w:line="240" w:lineRule="auto"/>
              <w:jc w:val="left"/>
              <w:rPr>
                <w:i/>
                <w:iCs/>
                <w:sz w:val="20"/>
                <w:szCs w:val="20"/>
              </w:rPr>
            </w:pPr>
            <w:r w:rsidRPr="007F3124">
              <w:rPr>
                <w:i/>
                <w:iCs/>
                <w:sz w:val="20"/>
                <w:szCs w:val="20"/>
              </w:rPr>
              <w:t>FFS during the initial access</w:t>
            </w:r>
          </w:p>
        </w:tc>
      </w:tr>
    </w:tbl>
    <w:p w14:paraId="509C0C99" w14:textId="77777777" w:rsidR="0072677F" w:rsidRDefault="0072677F" w:rsidP="0087334A">
      <w:pPr>
        <w:rPr>
          <w:lang w:eastAsia="ja-JP"/>
        </w:rPr>
      </w:pPr>
    </w:p>
    <w:p w14:paraId="02F76550" w14:textId="0A8366C0" w:rsidR="00B83758" w:rsidRDefault="0039196E" w:rsidP="00B83758">
      <w:pPr>
        <w:rPr>
          <w:lang w:eastAsia="ja-JP"/>
        </w:rPr>
      </w:pPr>
      <w:r>
        <w:rPr>
          <w:lang w:eastAsia="ja-JP"/>
        </w:rPr>
        <w:t xml:space="preserve">In Appendix B2 in 38.331 </w:t>
      </w:r>
      <w:r w:rsidR="006A247A">
        <w:rPr>
          <w:lang w:eastAsia="ja-JP"/>
        </w:rPr>
        <w:fldChar w:fldCharType="begin"/>
      </w:r>
      <w:r w:rsidR="006A247A">
        <w:rPr>
          <w:lang w:eastAsia="ja-JP"/>
        </w:rPr>
        <w:instrText xml:space="preserve"> REF _Ref70591093 \r \h </w:instrText>
      </w:r>
      <w:r w:rsidR="006A247A">
        <w:rPr>
          <w:lang w:eastAsia="ja-JP"/>
        </w:rPr>
      </w:r>
      <w:r w:rsidR="006A247A">
        <w:rPr>
          <w:lang w:eastAsia="ja-JP"/>
        </w:rPr>
        <w:fldChar w:fldCharType="separate"/>
      </w:r>
      <w:r w:rsidR="00D40F5E">
        <w:rPr>
          <w:lang w:eastAsia="ja-JP"/>
        </w:rPr>
        <w:t>[6]</w:t>
      </w:r>
      <w:r w:rsidR="006A247A">
        <w:rPr>
          <w:lang w:eastAsia="ja-JP"/>
        </w:rPr>
        <w:fldChar w:fldCharType="end"/>
      </w:r>
      <w:r w:rsidR="006A247A">
        <w:rPr>
          <w:lang w:eastAsia="ja-JP"/>
        </w:rPr>
        <w:t xml:space="preserve"> </w:t>
      </w:r>
      <w:r>
        <w:rPr>
          <w:lang w:eastAsia="ja-JP"/>
        </w:rPr>
        <w:t xml:space="preserve">where BWP#0 option 1 and option 2 are described, there </w:t>
      </w:r>
      <w:r w:rsidR="005E6EE7">
        <w:rPr>
          <w:lang w:eastAsia="ja-JP"/>
        </w:rPr>
        <w:t>is note</w:t>
      </w:r>
      <w:r>
        <w:rPr>
          <w:lang w:eastAsia="ja-JP"/>
        </w:rPr>
        <w:t xml:space="preserve"> stating that </w:t>
      </w:r>
      <w:r w:rsidR="00B83758">
        <w:rPr>
          <w:lang w:eastAsia="ja-JP"/>
        </w:rPr>
        <w:t>“</w:t>
      </w:r>
      <w:r w:rsidR="00B83758" w:rsidRPr="000D31B0">
        <w:rPr>
          <w:highlight w:val="lightGray"/>
          <w:lang w:eastAsia="ja-JP"/>
        </w:rPr>
        <w:t xml:space="preserve">For BWP#0, the </w:t>
      </w:r>
      <w:r w:rsidR="00B83758" w:rsidRPr="000D31B0">
        <w:rPr>
          <w:i/>
          <w:iCs/>
          <w:highlight w:val="lightGray"/>
          <w:lang w:eastAsia="ja-JP"/>
        </w:rPr>
        <w:t>BWP-DownlinkCommon</w:t>
      </w:r>
      <w:r w:rsidR="00B83758" w:rsidRPr="000D31B0">
        <w:rPr>
          <w:highlight w:val="lightGray"/>
          <w:lang w:eastAsia="ja-JP"/>
        </w:rPr>
        <w:t xml:space="preserve"> and </w:t>
      </w:r>
      <w:r w:rsidR="00B83758" w:rsidRPr="000D31B0">
        <w:rPr>
          <w:i/>
          <w:iCs/>
          <w:highlight w:val="lightGray"/>
          <w:lang w:eastAsia="ja-JP"/>
        </w:rPr>
        <w:t>BWP-UplinkCommon</w:t>
      </w:r>
      <w:r w:rsidR="00B83758" w:rsidRPr="000D31B0">
        <w:rPr>
          <w:highlight w:val="lightGray"/>
          <w:lang w:eastAsia="ja-JP"/>
        </w:rPr>
        <w:t xml:space="preserve"> in </w:t>
      </w:r>
      <w:r w:rsidR="00B83758" w:rsidRPr="000D31B0">
        <w:rPr>
          <w:i/>
          <w:iCs/>
          <w:highlight w:val="lightGray"/>
          <w:lang w:eastAsia="ja-JP"/>
        </w:rPr>
        <w:t>ServingCellConfigCommon</w:t>
      </w:r>
      <w:r w:rsidR="00B83758" w:rsidRPr="000D31B0">
        <w:rPr>
          <w:highlight w:val="lightGray"/>
          <w:lang w:eastAsia="ja-JP"/>
        </w:rPr>
        <w:t xml:space="preserve"> should match the parameters configured by MIB and SIB1 (if provided) in the corresponding serving cell.</w:t>
      </w:r>
      <w:r w:rsidR="00B83758">
        <w:rPr>
          <w:lang w:eastAsia="ja-JP"/>
        </w:rPr>
        <w:t xml:space="preserve">” </w:t>
      </w:r>
      <w:r w:rsidR="005E6EE7">
        <w:rPr>
          <w:lang w:eastAsia="ja-JP"/>
        </w:rPr>
        <w:t xml:space="preserve">One implication of this text </w:t>
      </w:r>
      <w:r w:rsidR="00B83758">
        <w:rPr>
          <w:lang w:eastAsia="ja-JP"/>
        </w:rPr>
        <w:t xml:space="preserve">is </w:t>
      </w:r>
      <w:r w:rsidR="005E6EE7">
        <w:rPr>
          <w:lang w:eastAsia="ja-JP"/>
        </w:rPr>
        <w:t>that whatever the parameters are defined/configured for RedCap UEs for the initial DL and UL BWP</w:t>
      </w:r>
      <w:r w:rsidR="00A3381D">
        <w:rPr>
          <w:lang w:eastAsia="ja-JP"/>
        </w:rPr>
        <w:t>s</w:t>
      </w:r>
      <w:r w:rsidR="005E6EE7">
        <w:rPr>
          <w:lang w:eastAsia="ja-JP"/>
        </w:rPr>
        <w:t xml:space="preserve">, </w:t>
      </w:r>
      <w:r w:rsidR="00A3381D">
        <w:rPr>
          <w:lang w:eastAsia="ja-JP"/>
        </w:rPr>
        <w:t>t</w:t>
      </w:r>
      <w:r w:rsidR="00B83758">
        <w:rPr>
          <w:lang w:eastAsia="ja-JP"/>
        </w:rPr>
        <w:t>here should be no difference in the parameters for BWP#0 after initial access.</w:t>
      </w:r>
      <w:r w:rsidR="005E6EE7">
        <w:rPr>
          <w:lang w:eastAsia="ja-JP"/>
        </w:rPr>
        <w:t xml:space="preserve"> </w:t>
      </w:r>
      <w:r w:rsidR="00A3381D">
        <w:rPr>
          <w:lang w:eastAsia="ja-JP"/>
        </w:rPr>
        <w:t>As a result, it may be sufficient to focus on parameters during initial access</w:t>
      </w:r>
      <w:r w:rsidR="009F2A8B">
        <w:rPr>
          <w:lang w:eastAsia="ja-JP"/>
        </w:rPr>
        <w:t xml:space="preserve"> (not treat the “after initial access” </w:t>
      </w:r>
      <w:r>
        <w:rPr>
          <w:lang w:eastAsia="ja-JP"/>
        </w:rPr>
        <w:t xml:space="preserve">as a separate </w:t>
      </w:r>
      <w:r w:rsidR="009F2A8B">
        <w:rPr>
          <w:lang w:eastAsia="ja-JP"/>
        </w:rPr>
        <w:t>case)</w:t>
      </w:r>
      <w:r w:rsidR="007F3124">
        <w:rPr>
          <w:lang w:eastAsia="ja-JP"/>
        </w:rPr>
        <w:t xml:space="preserve"> and those parameters are applicable for “after initial access” according to the 38.331 clause. The FFS “during the initial access” can be removed.</w:t>
      </w:r>
    </w:p>
    <w:p w14:paraId="778BB99D" w14:textId="33AC604E" w:rsidR="007F3124" w:rsidRPr="007F3124" w:rsidRDefault="007F3124" w:rsidP="00B83758">
      <w:pPr>
        <w:rPr>
          <w:b/>
          <w:bCs/>
          <w:i/>
          <w:iCs/>
          <w:lang w:eastAsia="ja-JP"/>
        </w:rPr>
      </w:pPr>
      <w:bookmarkStart w:id="5" w:name="_Hlk79093974"/>
      <w:r w:rsidRPr="007F3124">
        <w:rPr>
          <w:b/>
          <w:bCs/>
          <w:i/>
          <w:iCs/>
          <w:lang w:eastAsia="ja-JP"/>
        </w:rPr>
        <w:t>Observation 1: Appendix B.2 in 38.331 effectively states that the parameters for BWP#0 should match the parameters during initial access.</w:t>
      </w:r>
    </w:p>
    <w:bookmarkEnd w:id="5"/>
    <w:p w14:paraId="4CC99418" w14:textId="44F7FD8E" w:rsidR="00CC7852" w:rsidRDefault="003C12B0" w:rsidP="00CC7852">
      <w:pPr>
        <w:rPr>
          <w:lang w:eastAsia="ja-JP"/>
        </w:rPr>
      </w:pPr>
      <w:r>
        <w:rPr>
          <w:lang w:eastAsia="ja-JP"/>
        </w:rPr>
        <w:t>Another comment about 38.331</w:t>
      </w:r>
      <w:r w:rsidR="006A247A">
        <w:rPr>
          <w:lang w:eastAsia="ja-JP"/>
        </w:rPr>
        <w:t xml:space="preserve"> </w:t>
      </w:r>
      <w:r w:rsidR="006A247A">
        <w:rPr>
          <w:lang w:eastAsia="ja-JP"/>
        </w:rPr>
        <w:fldChar w:fldCharType="begin"/>
      </w:r>
      <w:r w:rsidR="006A247A">
        <w:rPr>
          <w:lang w:eastAsia="ja-JP"/>
        </w:rPr>
        <w:instrText xml:space="preserve"> REF _Ref70591093 \r \h </w:instrText>
      </w:r>
      <w:r w:rsidR="006A247A">
        <w:rPr>
          <w:lang w:eastAsia="ja-JP"/>
        </w:rPr>
      </w:r>
      <w:r w:rsidR="006A247A">
        <w:rPr>
          <w:lang w:eastAsia="ja-JP"/>
        </w:rPr>
        <w:fldChar w:fldCharType="separate"/>
      </w:r>
      <w:r w:rsidR="00D40F5E">
        <w:rPr>
          <w:lang w:eastAsia="ja-JP"/>
        </w:rPr>
        <w:t>[6]</w:t>
      </w:r>
      <w:r w:rsidR="006A247A">
        <w:rPr>
          <w:lang w:eastAsia="ja-JP"/>
        </w:rPr>
        <w:fldChar w:fldCharType="end"/>
      </w:r>
      <w:r>
        <w:rPr>
          <w:lang w:eastAsia="ja-JP"/>
        </w:rPr>
        <w:t>. The description</w:t>
      </w:r>
      <w:r w:rsidR="00CC7852">
        <w:rPr>
          <w:lang w:eastAsia="ja-JP"/>
        </w:rPr>
        <w:t>s</w:t>
      </w:r>
      <w:r>
        <w:rPr>
          <w:lang w:eastAsia="ja-JP"/>
        </w:rPr>
        <w:t xml:space="preserve"> of the BWP inc</w:t>
      </w:r>
      <w:r w:rsidR="00CC7852">
        <w:rPr>
          <w:lang w:eastAsia="ja-JP"/>
        </w:rPr>
        <w:t>lude some comments regarding TDD and CORESET#0.</w:t>
      </w:r>
    </w:p>
    <w:p w14:paraId="6C434C49" w14:textId="77777777" w:rsidR="00CC7852" w:rsidRDefault="00CC7852" w:rsidP="00CC7852">
      <w:pPr>
        <w:pStyle w:val="ListParagraph"/>
        <w:numPr>
          <w:ilvl w:val="0"/>
          <w:numId w:val="15"/>
        </w:numPr>
        <w:rPr>
          <w:lang w:eastAsia="ja-JP"/>
        </w:rPr>
      </w:pPr>
      <w:r w:rsidRPr="00FC56F8">
        <w:rPr>
          <w:lang w:eastAsia="ja-JP"/>
        </w:rPr>
        <w:t xml:space="preserve">In case of TDD, a BWP-pair (UL BWP and DL BWP with the same </w:t>
      </w:r>
      <w:r w:rsidRPr="00FC56F8">
        <w:rPr>
          <w:i/>
          <w:iCs/>
          <w:lang w:eastAsia="ja-JP"/>
        </w:rPr>
        <w:t>bwp-Id</w:t>
      </w:r>
      <w:r w:rsidRPr="00FC56F8">
        <w:rPr>
          <w:lang w:eastAsia="ja-JP"/>
        </w:rPr>
        <w:t>) must have the same center frequency (see TS 38.213 [13], clause 12)</w:t>
      </w:r>
      <w:r>
        <w:rPr>
          <w:lang w:eastAsia="ja-JP"/>
        </w:rPr>
        <w:t xml:space="preserve">. </w:t>
      </w:r>
    </w:p>
    <w:p w14:paraId="6CD2781D" w14:textId="05984C19" w:rsidR="00CC7852" w:rsidRDefault="00CC7852" w:rsidP="00CC7852">
      <w:pPr>
        <w:pStyle w:val="ListParagraph"/>
        <w:numPr>
          <w:ilvl w:val="0"/>
          <w:numId w:val="15"/>
        </w:numPr>
        <w:rPr>
          <w:lang w:eastAsia="ja-JP"/>
        </w:rPr>
      </w:pPr>
      <w:r>
        <w:rPr>
          <w:lang w:eastAsia="sv-SE"/>
        </w:rPr>
        <w:t>T</w:t>
      </w:r>
      <w:r w:rsidRPr="00DE5341">
        <w:rPr>
          <w:lang w:eastAsia="sv-SE"/>
        </w:rPr>
        <w:t>he initial downlink BWP contains the entire CORESET#0 of this serving cell in the frequency domain.</w:t>
      </w:r>
    </w:p>
    <w:p w14:paraId="3EAC10F5" w14:textId="68B6373F" w:rsidR="00D44C34" w:rsidRPr="00D44C34" w:rsidRDefault="00D44C34" w:rsidP="00D44C34">
      <w:pPr>
        <w:rPr>
          <w:lang w:eastAsia="ja-JP"/>
        </w:rPr>
      </w:pPr>
      <w:r>
        <w:rPr>
          <w:lang w:eastAsia="ja-JP"/>
        </w:rPr>
        <w:t>One implication about</w:t>
      </w:r>
      <w:r w:rsidRPr="00D44C34">
        <w:rPr>
          <w:lang w:eastAsia="ja-JP"/>
        </w:rPr>
        <w:t xml:space="preserve"> </w:t>
      </w:r>
      <w:r>
        <w:rPr>
          <w:lang w:eastAsia="ja-JP"/>
        </w:rPr>
        <w:t>the TDD requirement is i</w:t>
      </w:r>
      <w:r w:rsidRPr="00D44C34">
        <w:rPr>
          <w:lang w:eastAsia="ja-JP"/>
        </w:rPr>
        <w:t xml:space="preserve">f the UL BWP and DL BWP do not have </w:t>
      </w:r>
      <w:r>
        <w:rPr>
          <w:lang w:eastAsia="ja-JP"/>
        </w:rPr>
        <w:t xml:space="preserve">same </w:t>
      </w:r>
      <w:r w:rsidRPr="00D44C34">
        <w:rPr>
          <w:i/>
          <w:iCs/>
          <w:lang w:eastAsia="ja-JP"/>
        </w:rPr>
        <w:t>bwp-Id</w:t>
      </w:r>
      <w:r>
        <w:rPr>
          <w:lang w:eastAsia="ja-JP"/>
        </w:rPr>
        <w:t xml:space="preserve">, the center frequencies of the BWPs can be different. </w:t>
      </w:r>
      <w:r w:rsidR="00ED5BCA">
        <w:rPr>
          <w:lang w:eastAsia="ja-JP"/>
        </w:rPr>
        <w:t xml:space="preserve">An example where this TDD requirement is not applicable is when there is BWP switch, e.g., </w:t>
      </w:r>
      <w:r w:rsidR="006A247A">
        <w:rPr>
          <w:lang w:eastAsia="ja-JP"/>
        </w:rPr>
        <w:t>U</w:t>
      </w:r>
      <w:r w:rsidR="00ED5BCA">
        <w:rPr>
          <w:lang w:eastAsia="ja-JP"/>
        </w:rPr>
        <w:t xml:space="preserve">L BWP#2 </w:t>
      </w:r>
      <w:r w:rsidR="00ED5BCA" w:rsidRPr="00ED5BCA">
        <w:rPr>
          <w:sz w:val="18"/>
          <w:lang w:eastAsia="ja-JP"/>
        </w:rPr>
        <w:sym w:font="Symbol" w:char="F0AE"/>
      </w:r>
      <w:r w:rsidR="00ED5BCA" w:rsidRPr="00037545">
        <w:rPr>
          <w:sz w:val="20"/>
          <w:szCs w:val="24"/>
          <w:lang w:eastAsia="ja-JP"/>
        </w:rPr>
        <w:t xml:space="preserve"> </w:t>
      </w:r>
      <w:r w:rsidR="006A247A">
        <w:rPr>
          <w:sz w:val="20"/>
          <w:szCs w:val="24"/>
          <w:lang w:eastAsia="ja-JP"/>
        </w:rPr>
        <w:t>U</w:t>
      </w:r>
      <w:r w:rsidR="00ED5BCA">
        <w:rPr>
          <w:sz w:val="20"/>
          <w:szCs w:val="24"/>
          <w:lang w:eastAsia="ja-JP"/>
        </w:rPr>
        <w:t xml:space="preserve">L BWP#3 while </w:t>
      </w:r>
      <w:r w:rsidR="006A247A">
        <w:rPr>
          <w:sz w:val="20"/>
          <w:szCs w:val="24"/>
          <w:lang w:eastAsia="ja-JP"/>
        </w:rPr>
        <w:t>D</w:t>
      </w:r>
      <w:r w:rsidR="00ED5BCA">
        <w:rPr>
          <w:sz w:val="20"/>
          <w:szCs w:val="24"/>
          <w:lang w:eastAsia="ja-JP"/>
        </w:rPr>
        <w:t>L BWP#2 is unchanged</w:t>
      </w:r>
      <w:r w:rsidR="00ED5BCA">
        <w:rPr>
          <w:lang w:eastAsia="ja-JP"/>
        </w:rPr>
        <w:t>.</w:t>
      </w:r>
    </w:p>
    <w:p w14:paraId="1E744108" w14:textId="2EB081BC" w:rsidR="00C03770" w:rsidRDefault="00C03770" w:rsidP="00C03770">
      <w:pPr>
        <w:pStyle w:val="Heading3"/>
        <w:rPr>
          <w:lang w:eastAsia="ja-JP"/>
        </w:rPr>
      </w:pPr>
      <w:r>
        <w:rPr>
          <w:lang w:eastAsia="ja-JP"/>
        </w:rPr>
        <w:t>Separate initial BWP</w:t>
      </w:r>
    </w:p>
    <w:p w14:paraId="4FCCAFC3" w14:textId="00320D6D" w:rsidR="00B83758" w:rsidRDefault="00A3381D" w:rsidP="00142820">
      <w:pPr>
        <w:rPr>
          <w:lang w:eastAsia="ja-JP"/>
        </w:rPr>
      </w:pPr>
      <w:r>
        <w:rPr>
          <w:lang w:eastAsia="ja-JP"/>
        </w:rPr>
        <w:t>The FFS in the working assumption focuses on separately configured initial DL BWP for RedCap UEs</w:t>
      </w:r>
      <w:r w:rsidR="00037545">
        <w:rPr>
          <w:lang w:eastAsia="ja-JP"/>
        </w:rPr>
        <w:t xml:space="preserve"> (which has a bandwidth less than or equal to the maximum BW of a RedCap UE)</w:t>
      </w:r>
      <w:r>
        <w:rPr>
          <w:lang w:eastAsia="ja-JP"/>
        </w:rPr>
        <w:t>.</w:t>
      </w:r>
      <w:r w:rsidR="00FC3913">
        <w:rPr>
          <w:lang w:eastAsia="ja-JP"/>
        </w:rPr>
        <w:t xml:space="preserve"> </w:t>
      </w:r>
      <w:r w:rsidR="00F03505">
        <w:rPr>
          <w:lang w:eastAsia="ja-JP"/>
        </w:rPr>
        <w:t>If</w:t>
      </w:r>
      <w:r w:rsidR="00037545">
        <w:rPr>
          <w:lang w:eastAsia="ja-JP"/>
        </w:rPr>
        <w:t xml:space="preserve"> no SIB configuration for the initial DL BWP is provided,</w:t>
      </w:r>
      <w:r w:rsidR="00037545" w:rsidDel="00037545">
        <w:rPr>
          <w:lang w:eastAsia="ja-JP"/>
        </w:rPr>
        <w:t xml:space="preserve"> </w:t>
      </w:r>
      <w:r w:rsidR="00FC3913">
        <w:rPr>
          <w:lang w:eastAsia="ja-JP"/>
        </w:rPr>
        <w:t>the initial DL BWP derived from the MIB is sufficient for RedCap UEs</w:t>
      </w:r>
      <w:r w:rsidR="00037545" w:rsidRPr="00037545">
        <w:rPr>
          <w:lang w:eastAsia="ja-JP"/>
        </w:rPr>
        <w:t xml:space="preserve"> </w:t>
      </w:r>
      <w:r w:rsidR="00037545">
        <w:rPr>
          <w:lang w:eastAsia="ja-JP"/>
        </w:rPr>
        <w:t>since this initial DL BWP is less than or equal to the maximum RedCap BW</w:t>
      </w:r>
      <w:r w:rsidR="00BD4798">
        <w:rPr>
          <w:lang w:eastAsia="ja-JP"/>
        </w:rPr>
        <w:t>.</w:t>
      </w:r>
    </w:p>
    <w:p w14:paraId="1E0A1AC7" w14:textId="13C58E56" w:rsidR="00561399" w:rsidRDefault="00561399" w:rsidP="00142820">
      <w:pPr>
        <w:rPr>
          <w:lang w:eastAsia="ja-JP"/>
        </w:rPr>
      </w:pPr>
      <w:r>
        <w:rPr>
          <w:lang w:eastAsia="ja-JP"/>
        </w:rPr>
        <w:t>There can be several interpretations of separately configured initial DL BWP</w:t>
      </w:r>
      <w:r w:rsidR="00CF6EB8">
        <w:rPr>
          <w:lang w:eastAsia="ja-JP"/>
        </w:rPr>
        <w:t>.</w:t>
      </w:r>
    </w:p>
    <w:p w14:paraId="0503E3C3" w14:textId="2DB8F882" w:rsidR="00BD4798" w:rsidRDefault="00342AD0" w:rsidP="00BD4798">
      <w:pPr>
        <w:pStyle w:val="ListParagraph"/>
        <w:numPr>
          <w:ilvl w:val="0"/>
          <w:numId w:val="28"/>
        </w:numPr>
        <w:rPr>
          <w:lang w:eastAsia="ja-JP"/>
        </w:rPr>
      </w:pPr>
      <w:r>
        <w:rPr>
          <w:lang w:eastAsia="ja-JP"/>
        </w:rPr>
        <w:t>(opt</w:t>
      </w:r>
      <w:r w:rsidR="00666EF5">
        <w:rPr>
          <w:lang w:eastAsia="ja-JP"/>
        </w:rPr>
        <w:t>.</w:t>
      </w:r>
      <w:r>
        <w:rPr>
          <w:lang w:eastAsia="ja-JP"/>
        </w:rPr>
        <w:t xml:space="preserve"> a) </w:t>
      </w:r>
      <w:r w:rsidR="00BD4798">
        <w:rPr>
          <w:lang w:eastAsia="ja-JP"/>
        </w:rPr>
        <w:t>Th</w:t>
      </w:r>
      <w:r w:rsidR="00561399">
        <w:rPr>
          <w:lang w:eastAsia="ja-JP"/>
        </w:rPr>
        <w:t>is initial BWP contains CORESET#0</w:t>
      </w:r>
      <w:r w:rsidR="00BD4798">
        <w:rPr>
          <w:lang w:eastAsia="ja-JP"/>
        </w:rPr>
        <w:t xml:space="preserve"> (derived from the MIB)</w:t>
      </w:r>
      <w:r w:rsidR="00EC236D">
        <w:rPr>
          <w:lang w:eastAsia="ja-JP"/>
        </w:rPr>
        <w:t>.</w:t>
      </w:r>
    </w:p>
    <w:p w14:paraId="39C7B2FB" w14:textId="493DDDD9" w:rsidR="00561399" w:rsidRDefault="00EC236D" w:rsidP="00BD4798">
      <w:pPr>
        <w:pStyle w:val="ListParagraph"/>
        <w:numPr>
          <w:ilvl w:val="1"/>
          <w:numId w:val="28"/>
        </w:numPr>
        <w:rPr>
          <w:lang w:eastAsia="ja-JP"/>
        </w:rPr>
      </w:pPr>
      <w:r>
        <w:rPr>
          <w:lang w:eastAsia="ja-JP"/>
        </w:rPr>
        <w:t xml:space="preserve">It can be </w:t>
      </w:r>
      <w:r w:rsidRPr="00BD4798">
        <w:rPr>
          <w:lang w:eastAsia="ja-JP"/>
        </w:rPr>
        <w:t xml:space="preserve">just a requirement in the standards </w:t>
      </w:r>
      <w:r w:rsidR="00BD4798" w:rsidRPr="00BD4798">
        <w:rPr>
          <w:lang w:eastAsia="ja-JP"/>
        </w:rPr>
        <w:t>to restrict a RedCap UE to use the MIB-derived initial BWP</w:t>
      </w:r>
      <w:r w:rsidR="00BD4798">
        <w:rPr>
          <w:lang w:eastAsia="ja-JP"/>
        </w:rPr>
        <w:t xml:space="preserve"> and CORESET#0</w:t>
      </w:r>
      <w:r w:rsidR="00BD4798" w:rsidRPr="00BD4798">
        <w:rPr>
          <w:lang w:eastAsia="ja-JP"/>
        </w:rPr>
        <w:t>.</w:t>
      </w:r>
    </w:p>
    <w:p w14:paraId="4DC4E969" w14:textId="2C22582A" w:rsidR="00BD4798" w:rsidRDefault="00BD4798" w:rsidP="00BD4798">
      <w:pPr>
        <w:pStyle w:val="ListParagraph"/>
        <w:numPr>
          <w:ilvl w:val="1"/>
          <w:numId w:val="28"/>
        </w:numPr>
        <w:rPr>
          <w:lang w:eastAsia="ja-JP"/>
        </w:rPr>
      </w:pPr>
      <w:r>
        <w:rPr>
          <w:lang w:eastAsia="ja-JP"/>
        </w:rPr>
        <w:lastRenderedPageBreak/>
        <w:t xml:space="preserve">Alternatively, a search space configuration for RedCap UEs is provided / defined so that on some time instances, only a RedCap UE monitors CORESET#0. At other times, both RedCap and non-RedCap UEs </w:t>
      </w:r>
      <w:r w:rsidR="00EC236D">
        <w:rPr>
          <w:lang w:eastAsia="ja-JP"/>
        </w:rPr>
        <w:t xml:space="preserve">monitor CORESET#0. </w:t>
      </w:r>
      <w:r>
        <w:rPr>
          <w:lang w:eastAsia="ja-JP"/>
        </w:rPr>
        <w:t xml:space="preserve">Also note that because the PDSCH and scheduling PDCCH </w:t>
      </w:r>
      <w:r w:rsidR="00EC236D">
        <w:rPr>
          <w:lang w:eastAsia="ja-JP"/>
        </w:rPr>
        <w:t>can be located in different</w:t>
      </w:r>
      <w:r>
        <w:rPr>
          <w:lang w:eastAsia="ja-JP"/>
        </w:rPr>
        <w:t xml:space="preserve"> slot</w:t>
      </w:r>
      <w:r w:rsidR="00EC236D">
        <w:rPr>
          <w:lang w:eastAsia="ja-JP"/>
        </w:rPr>
        <w:t>s</w:t>
      </w:r>
      <w:r>
        <w:rPr>
          <w:lang w:eastAsia="ja-JP"/>
        </w:rPr>
        <w:t>, it is possible to share the PDSCH (such as one containing a SIB message) between RedCap and non-RedCap UEs.</w:t>
      </w:r>
    </w:p>
    <w:p w14:paraId="0B8D27AC" w14:textId="4CB67E21" w:rsidR="00EC236D" w:rsidRDefault="00EC236D" w:rsidP="00A157AD">
      <w:pPr>
        <w:pStyle w:val="ListParagraph"/>
        <w:numPr>
          <w:ilvl w:val="1"/>
          <w:numId w:val="28"/>
        </w:numPr>
        <w:rPr>
          <w:lang w:eastAsia="ja-JP"/>
        </w:rPr>
      </w:pPr>
      <w:r>
        <w:rPr>
          <w:lang w:eastAsia="ja-JP"/>
        </w:rPr>
        <w:t>The SIB provides a CORESET configuration for RedCap UEs, where this CORESET is location within the initial BWP derived from the MIB. A RedCap UE is expected to monitor this CORESET in addition to CORESET#0.</w:t>
      </w:r>
    </w:p>
    <w:p w14:paraId="102293E6" w14:textId="3C9D066E" w:rsidR="00561399" w:rsidRDefault="00342AD0" w:rsidP="00142820">
      <w:pPr>
        <w:pStyle w:val="ListParagraph"/>
        <w:numPr>
          <w:ilvl w:val="0"/>
          <w:numId w:val="28"/>
        </w:numPr>
        <w:rPr>
          <w:lang w:eastAsia="ja-JP"/>
        </w:rPr>
      </w:pPr>
      <w:r>
        <w:rPr>
          <w:lang w:eastAsia="ja-JP"/>
        </w:rPr>
        <w:t>(opt</w:t>
      </w:r>
      <w:r w:rsidR="00666EF5">
        <w:rPr>
          <w:lang w:eastAsia="ja-JP"/>
        </w:rPr>
        <w:t>.</w:t>
      </w:r>
      <w:r>
        <w:rPr>
          <w:lang w:eastAsia="ja-JP"/>
        </w:rPr>
        <w:t xml:space="preserve"> b) </w:t>
      </w:r>
      <w:r w:rsidR="00561399">
        <w:rPr>
          <w:lang w:eastAsia="ja-JP"/>
        </w:rPr>
        <w:t xml:space="preserve">This initial BWP </w:t>
      </w:r>
      <w:r w:rsidR="00037545">
        <w:rPr>
          <w:lang w:eastAsia="ja-JP"/>
        </w:rPr>
        <w:t xml:space="preserve">for a RedCap UE </w:t>
      </w:r>
      <w:r w:rsidR="00EC236D">
        <w:rPr>
          <w:lang w:eastAsia="ja-JP"/>
        </w:rPr>
        <w:t xml:space="preserve">is located outside the initial BWP derived from the MIB and </w:t>
      </w:r>
      <w:r w:rsidR="00561399">
        <w:rPr>
          <w:lang w:eastAsia="ja-JP"/>
        </w:rPr>
        <w:t>excludes CORESET#0</w:t>
      </w:r>
      <w:r w:rsidR="003C12B0">
        <w:rPr>
          <w:lang w:eastAsia="ja-JP"/>
        </w:rPr>
        <w:t xml:space="preserve">. </w:t>
      </w:r>
      <w:r w:rsidR="00EC236D">
        <w:rPr>
          <w:lang w:eastAsia="ja-JP"/>
        </w:rPr>
        <w:t xml:space="preserve">Effectively, </w:t>
      </w:r>
      <w:r w:rsidR="00EC236D" w:rsidRPr="00EC236D">
        <w:rPr>
          <w:lang w:eastAsia="ja-JP"/>
        </w:rPr>
        <w:t xml:space="preserve">a RedCap UE operates in a different BWP </w:t>
      </w:r>
      <w:r w:rsidR="00EC236D">
        <w:rPr>
          <w:lang w:eastAsia="ja-JP"/>
        </w:rPr>
        <w:t xml:space="preserve">from a non-RedCap UE but shares </w:t>
      </w:r>
      <w:r w:rsidR="00F03505">
        <w:rPr>
          <w:lang w:eastAsia="ja-JP"/>
        </w:rPr>
        <w:t>CORESET#0 with non-RedCap UEs</w:t>
      </w:r>
      <w:r w:rsidR="00EC236D" w:rsidRPr="00EC236D">
        <w:rPr>
          <w:lang w:eastAsia="ja-JP"/>
        </w:rPr>
        <w:t xml:space="preserve">. </w:t>
      </w:r>
      <w:r w:rsidR="00F03505">
        <w:rPr>
          <w:lang w:eastAsia="ja-JP"/>
        </w:rPr>
        <w:t xml:space="preserve">This also implies that the BWP has a CORESET. </w:t>
      </w:r>
      <w:r w:rsidR="00EC236D" w:rsidRPr="00EC236D">
        <w:rPr>
          <w:lang w:eastAsia="ja-JP"/>
        </w:rPr>
        <w:t>When indicated (by a search space rule for example), a RedCap UE performs a BWP switch to the MIB-derived initial DL BWP</w:t>
      </w:r>
      <w:r w:rsidR="00F03505">
        <w:rPr>
          <w:lang w:eastAsia="ja-JP"/>
        </w:rPr>
        <w:t>. A</w:t>
      </w:r>
      <w:r w:rsidR="00F03505" w:rsidRPr="00F03505">
        <w:rPr>
          <w:lang w:eastAsia="ja-JP"/>
        </w:rPr>
        <w:t xml:space="preserve">fter a time duration sufficient for </w:t>
      </w:r>
      <w:r w:rsidR="00F03505">
        <w:rPr>
          <w:lang w:eastAsia="ja-JP"/>
        </w:rPr>
        <w:t xml:space="preserve">the </w:t>
      </w:r>
      <w:r w:rsidR="00F03505" w:rsidRPr="00F03505">
        <w:rPr>
          <w:lang w:eastAsia="ja-JP"/>
        </w:rPr>
        <w:t>reception of a PDSCH, the RedCap UE performs a BWP switch back.</w:t>
      </w:r>
      <w:r w:rsidR="00C453E6">
        <w:rPr>
          <w:lang w:eastAsia="ja-JP"/>
        </w:rPr>
        <w:t xml:space="preserve"> The network cannot schedule PDSCH during the transition</w:t>
      </w:r>
      <w:r w:rsidR="00E65A09">
        <w:rPr>
          <w:lang w:eastAsia="ja-JP"/>
        </w:rPr>
        <w:t>s</w:t>
      </w:r>
      <w:r w:rsidR="00C453E6">
        <w:rPr>
          <w:lang w:eastAsia="ja-JP"/>
        </w:rPr>
        <w:t>.</w:t>
      </w:r>
    </w:p>
    <w:p w14:paraId="034966FE" w14:textId="10F81D76" w:rsidR="00561399" w:rsidRDefault="00342AD0" w:rsidP="00142820">
      <w:pPr>
        <w:pStyle w:val="ListParagraph"/>
        <w:numPr>
          <w:ilvl w:val="0"/>
          <w:numId w:val="28"/>
        </w:numPr>
        <w:rPr>
          <w:lang w:eastAsia="ja-JP"/>
        </w:rPr>
      </w:pPr>
      <w:r>
        <w:rPr>
          <w:lang w:eastAsia="ja-JP"/>
        </w:rPr>
        <w:t>(opt</w:t>
      </w:r>
      <w:r w:rsidR="00666EF5">
        <w:rPr>
          <w:lang w:eastAsia="ja-JP"/>
        </w:rPr>
        <w:t>.</w:t>
      </w:r>
      <w:r>
        <w:rPr>
          <w:lang w:eastAsia="ja-JP"/>
        </w:rPr>
        <w:t xml:space="preserve"> c) </w:t>
      </w:r>
      <w:r w:rsidR="00561399">
        <w:rPr>
          <w:lang w:eastAsia="ja-JP"/>
        </w:rPr>
        <w:t>Th</w:t>
      </w:r>
      <w:r w:rsidR="00F03505">
        <w:rPr>
          <w:lang w:eastAsia="ja-JP"/>
        </w:rPr>
        <w:t>e</w:t>
      </w:r>
      <w:r w:rsidR="00561399">
        <w:rPr>
          <w:lang w:eastAsia="ja-JP"/>
        </w:rPr>
        <w:t xml:space="preserve"> initial BWP </w:t>
      </w:r>
      <w:r w:rsidR="00C453E6">
        <w:rPr>
          <w:lang w:eastAsia="ja-JP"/>
        </w:rPr>
        <w:t>is located outside the initial BWP derived from the MIB and includes a CORESET#0. When indicated, a</w:t>
      </w:r>
      <w:r w:rsidR="00F03505">
        <w:rPr>
          <w:lang w:eastAsia="ja-JP"/>
        </w:rPr>
        <w:t xml:space="preserve"> BWP switch is performed to monitor the SSB</w:t>
      </w:r>
      <w:r w:rsidR="00E65A09">
        <w:rPr>
          <w:lang w:eastAsia="ja-JP"/>
        </w:rPr>
        <w:t xml:space="preserve">. </w:t>
      </w:r>
      <w:r w:rsidR="00F03505" w:rsidRPr="00F03505">
        <w:rPr>
          <w:lang w:eastAsia="ja-JP"/>
        </w:rPr>
        <w:t>After a time duration sufficient for reception of a SSB, the RedCap UE performs a BWP switch back</w:t>
      </w:r>
      <w:r w:rsidR="00C453E6">
        <w:rPr>
          <w:lang w:eastAsia="ja-JP"/>
        </w:rPr>
        <w:t>.</w:t>
      </w:r>
      <w:r w:rsidR="00F03505" w:rsidRPr="00F03505">
        <w:rPr>
          <w:lang w:eastAsia="ja-JP"/>
        </w:rPr>
        <w:t xml:space="preserve"> The network cannot schedule PDSCH for RedCap UEs during the </w:t>
      </w:r>
      <w:r w:rsidR="00E65A09">
        <w:rPr>
          <w:lang w:eastAsia="ja-JP"/>
        </w:rPr>
        <w:t>transitions</w:t>
      </w:r>
      <w:r w:rsidR="00C453E6">
        <w:rPr>
          <w:lang w:eastAsia="ja-JP"/>
        </w:rPr>
        <w:t xml:space="preserve"> or monitoring of the SSB.</w:t>
      </w:r>
    </w:p>
    <w:p w14:paraId="67D6A4A2" w14:textId="408A47D2" w:rsidR="00C453E6" w:rsidRDefault="00342AD0" w:rsidP="00C453E6">
      <w:pPr>
        <w:pStyle w:val="ListParagraph"/>
        <w:numPr>
          <w:ilvl w:val="0"/>
          <w:numId w:val="28"/>
        </w:numPr>
        <w:rPr>
          <w:lang w:eastAsia="ja-JP"/>
        </w:rPr>
      </w:pPr>
      <w:r>
        <w:rPr>
          <w:lang w:eastAsia="ja-JP"/>
        </w:rPr>
        <w:t>(opt</w:t>
      </w:r>
      <w:r w:rsidR="00666EF5">
        <w:rPr>
          <w:lang w:eastAsia="ja-JP"/>
        </w:rPr>
        <w:t>.</w:t>
      </w:r>
      <w:r>
        <w:rPr>
          <w:lang w:eastAsia="ja-JP"/>
        </w:rPr>
        <w:t xml:space="preserve"> d) </w:t>
      </w:r>
      <w:r w:rsidR="00C453E6">
        <w:rPr>
          <w:lang w:eastAsia="ja-JP"/>
        </w:rPr>
        <w:t xml:space="preserve">The initial BWP is located outside the initial BWP derived from the MIB and includes a CORESET#0 and SSB. </w:t>
      </w:r>
    </w:p>
    <w:p w14:paraId="04B6C7F0" w14:textId="0561E4FD" w:rsidR="00AC1CEC" w:rsidRPr="003C12B0" w:rsidRDefault="00C453E6" w:rsidP="00AC1CEC">
      <w:pPr>
        <w:rPr>
          <w:lang w:eastAsia="ja-JP"/>
        </w:rPr>
      </w:pPr>
      <w:r>
        <w:rPr>
          <w:lang w:eastAsia="ja-JP"/>
        </w:rPr>
        <w:t xml:space="preserve">With these possible types of initial DL BWP, it is unclear what the </w:t>
      </w:r>
      <w:r w:rsidR="00342AD0">
        <w:rPr>
          <w:lang w:eastAsia="ja-JP"/>
        </w:rPr>
        <w:t>separate DL BWP is in the working assumption. T</w:t>
      </w:r>
      <w:r>
        <w:rPr>
          <w:lang w:eastAsia="ja-JP"/>
        </w:rPr>
        <w:t xml:space="preserve">he </w:t>
      </w:r>
      <w:r w:rsidR="00AC1CEC">
        <w:rPr>
          <w:lang w:eastAsia="ja-JP"/>
        </w:rPr>
        <w:t>attributes</w:t>
      </w:r>
      <w:r w:rsidR="00342AD0">
        <w:rPr>
          <w:lang w:eastAsia="ja-JP"/>
        </w:rPr>
        <w:t xml:space="preserve"> of the separate BWP</w:t>
      </w:r>
      <w:r w:rsidR="00AC1CEC">
        <w:rPr>
          <w:lang w:eastAsia="ja-JP"/>
        </w:rPr>
        <w:t xml:space="preserve"> should be agreed first before attempting to agree to the working assumption.</w:t>
      </w:r>
    </w:p>
    <w:p w14:paraId="7320E28E" w14:textId="69D04C75" w:rsidR="00AC1CEC" w:rsidRDefault="00E65A09" w:rsidP="00AC1CEC">
      <w:pPr>
        <w:rPr>
          <w:b/>
          <w:bCs/>
          <w:i/>
          <w:iCs/>
          <w:lang w:eastAsia="ja-JP"/>
        </w:rPr>
      </w:pPr>
      <w:r>
        <w:rPr>
          <w:b/>
          <w:bCs/>
          <w:i/>
          <w:iCs/>
          <w:lang w:eastAsia="ja-JP"/>
        </w:rPr>
        <w:t>Proposal 1</w:t>
      </w:r>
      <w:r w:rsidR="00AC1CEC" w:rsidRPr="003C12B0">
        <w:rPr>
          <w:b/>
          <w:bCs/>
          <w:i/>
          <w:iCs/>
          <w:lang w:eastAsia="ja-JP"/>
        </w:rPr>
        <w:t xml:space="preserve">: </w:t>
      </w:r>
      <w:r w:rsidR="00AC1CEC">
        <w:rPr>
          <w:b/>
          <w:bCs/>
          <w:i/>
          <w:iCs/>
          <w:lang w:eastAsia="ja-JP"/>
        </w:rPr>
        <w:t>A description of a separate DL BWP is needed before any agreements are made</w:t>
      </w:r>
      <w:r w:rsidR="00AC1CEC" w:rsidRPr="003C12B0">
        <w:rPr>
          <w:b/>
          <w:bCs/>
          <w:i/>
          <w:iCs/>
          <w:lang w:eastAsia="ja-JP"/>
        </w:rPr>
        <w:t>.</w:t>
      </w:r>
    </w:p>
    <w:p w14:paraId="027683FC" w14:textId="7A61ED29" w:rsidR="00C03770" w:rsidRDefault="00C03770" w:rsidP="00AC1CEC">
      <w:pPr>
        <w:rPr>
          <w:lang w:eastAsia="ja-JP"/>
        </w:rPr>
      </w:pPr>
    </w:p>
    <w:p w14:paraId="19D43B41" w14:textId="5F0BC47E" w:rsidR="00C03770" w:rsidRPr="00C03770" w:rsidRDefault="00C03770" w:rsidP="00AC1CEC">
      <w:pPr>
        <w:rPr>
          <w:lang w:eastAsia="ja-JP"/>
        </w:rPr>
      </w:pPr>
      <w:r>
        <w:rPr>
          <w:lang w:eastAsia="ja-JP"/>
        </w:rPr>
        <w:t>The following FFS</w:t>
      </w:r>
      <w:r w:rsidR="00003FD2">
        <w:rPr>
          <w:lang w:eastAsia="ja-JP"/>
        </w:rPr>
        <w:t xml:space="preserve"> discuss the attributes of the separately configured initial DL BWP for RedCap UEs.</w:t>
      </w:r>
    </w:p>
    <w:tbl>
      <w:tblPr>
        <w:tblStyle w:val="TableGrid"/>
        <w:tblW w:w="0" w:type="auto"/>
        <w:tblLook w:val="04A0" w:firstRow="1" w:lastRow="0" w:firstColumn="1" w:lastColumn="0" w:noHBand="0" w:noVBand="1"/>
      </w:tblPr>
      <w:tblGrid>
        <w:gridCol w:w="9307"/>
      </w:tblGrid>
      <w:tr w:rsidR="00C03770" w14:paraId="2E057C6F" w14:textId="77777777" w:rsidTr="005E3A18">
        <w:tc>
          <w:tcPr>
            <w:tcW w:w="9307" w:type="dxa"/>
          </w:tcPr>
          <w:p w14:paraId="4209E631" w14:textId="77777777" w:rsidR="00C03770" w:rsidRPr="00C03770" w:rsidRDefault="00C03770" w:rsidP="005E3A18">
            <w:pPr>
              <w:pStyle w:val="ListParagraph"/>
              <w:numPr>
                <w:ilvl w:val="0"/>
                <w:numId w:val="13"/>
              </w:numPr>
              <w:autoSpaceDN w:val="0"/>
              <w:spacing w:after="0" w:line="240" w:lineRule="auto"/>
              <w:jc w:val="left"/>
              <w:rPr>
                <w:i/>
                <w:iCs/>
                <w:sz w:val="20"/>
                <w:szCs w:val="20"/>
              </w:rPr>
            </w:pPr>
            <w:r w:rsidRPr="00C03770">
              <w:rPr>
                <w:i/>
                <w:iCs/>
                <w:sz w:val="20"/>
                <w:szCs w:val="20"/>
              </w:rPr>
              <w:t>FFS: whether a separately configured initial DL BWP for RedCap UEs needs to contain the entire CORESET #0, and, if not, the Redcap UE behaviour for CORESET #0 monitoring</w:t>
            </w:r>
          </w:p>
          <w:p w14:paraId="74F31F52" w14:textId="4258F5E0" w:rsidR="00C03770" w:rsidRPr="00003FD2" w:rsidRDefault="00C03770" w:rsidP="00003FD2">
            <w:pPr>
              <w:pStyle w:val="ListParagraph"/>
              <w:numPr>
                <w:ilvl w:val="0"/>
                <w:numId w:val="13"/>
              </w:numPr>
              <w:autoSpaceDN w:val="0"/>
              <w:spacing w:after="0" w:line="240" w:lineRule="auto"/>
              <w:jc w:val="left"/>
              <w:rPr>
                <w:sz w:val="20"/>
                <w:szCs w:val="20"/>
              </w:rPr>
            </w:pPr>
            <w:r w:rsidRPr="0072677F">
              <w:rPr>
                <w:i/>
                <w:iCs/>
                <w:sz w:val="20"/>
                <w:szCs w:val="20"/>
              </w:rPr>
              <w:t>FFS: whether additional SSB is transmitted in the separately configured initial DL BWP for RedCap UEs</w:t>
            </w:r>
          </w:p>
        </w:tc>
      </w:tr>
    </w:tbl>
    <w:p w14:paraId="049793A8" w14:textId="77429816" w:rsidR="00C03770" w:rsidRDefault="00C03770" w:rsidP="00C03770">
      <w:pPr>
        <w:rPr>
          <w:lang w:eastAsia="ja-JP"/>
        </w:rPr>
      </w:pPr>
    </w:p>
    <w:p w14:paraId="50D17E46" w14:textId="73226482" w:rsidR="00003FD2" w:rsidRDefault="00003FD2" w:rsidP="00C03770">
      <w:pPr>
        <w:rPr>
          <w:lang w:eastAsia="ja-JP"/>
        </w:rPr>
      </w:pPr>
      <w:r>
        <w:rPr>
          <w:lang w:eastAsia="ja-JP"/>
        </w:rPr>
        <w:t xml:space="preserve">In comparing the </w:t>
      </w:r>
      <w:r w:rsidR="00342AD0">
        <w:rPr>
          <w:lang w:eastAsia="ja-JP"/>
        </w:rPr>
        <w:t>above descriptions</w:t>
      </w:r>
      <w:r>
        <w:rPr>
          <w:lang w:eastAsia="ja-JP"/>
        </w:rPr>
        <w:t xml:space="preserve"> for </w:t>
      </w:r>
      <w:r w:rsidR="00342AD0">
        <w:rPr>
          <w:lang w:eastAsia="ja-JP"/>
        </w:rPr>
        <w:t xml:space="preserve">possible </w:t>
      </w:r>
      <w:r>
        <w:rPr>
          <w:lang w:eastAsia="ja-JP"/>
        </w:rPr>
        <w:t xml:space="preserve">separate BWP, </w:t>
      </w:r>
      <w:r w:rsidR="00342AD0">
        <w:rPr>
          <w:lang w:eastAsia="ja-JP"/>
        </w:rPr>
        <w:t>opt</w:t>
      </w:r>
      <w:r w:rsidR="00666EF5">
        <w:rPr>
          <w:lang w:eastAsia="ja-JP"/>
        </w:rPr>
        <w:t>.</w:t>
      </w:r>
      <w:r w:rsidR="00342AD0">
        <w:rPr>
          <w:lang w:eastAsia="ja-JP"/>
        </w:rPr>
        <w:t xml:space="preserve"> a </w:t>
      </w:r>
      <w:r>
        <w:rPr>
          <w:lang w:eastAsia="ja-JP"/>
        </w:rPr>
        <w:t xml:space="preserve">is preferred for its simplicity and significant resource sharing. </w:t>
      </w:r>
      <w:r w:rsidR="00691F01">
        <w:rPr>
          <w:lang w:eastAsia="ja-JP"/>
        </w:rPr>
        <w:t>O</w:t>
      </w:r>
      <w:r w:rsidR="00342AD0">
        <w:rPr>
          <w:lang w:eastAsia="ja-JP"/>
        </w:rPr>
        <w:t>pt</w:t>
      </w:r>
      <w:r w:rsidR="00666EF5">
        <w:rPr>
          <w:lang w:eastAsia="ja-JP"/>
        </w:rPr>
        <w:t>.</w:t>
      </w:r>
      <w:r w:rsidR="00342AD0">
        <w:rPr>
          <w:lang w:eastAsia="ja-JP"/>
        </w:rPr>
        <w:t xml:space="preserve"> b allows resource sharing of CORESET#0</w:t>
      </w:r>
      <w:r w:rsidR="00691F01">
        <w:rPr>
          <w:lang w:eastAsia="ja-JP"/>
        </w:rPr>
        <w:t xml:space="preserve"> and is a form of</w:t>
      </w:r>
      <w:r w:rsidR="00A10486">
        <w:rPr>
          <w:lang w:eastAsia="ja-JP"/>
        </w:rPr>
        <w:t xml:space="preserve"> BWP switching.</w:t>
      </w:r>
      <w:r w:rsidR="00A10486" w:rsidRPr="00A10486">
        <w:rPr>
          <w:lang w:eastAsia="ja-JP"/>
        </w:rPr>
        <w:t xml:space="preserve"> </w:t>
      </w:r>
      <w:r w:rsidR="00691F01">
        <w:rPr>
          <w:lang w:eastAsia="ja-JP"/>
        </w:rPr>
        <w:t>In addition, there</w:t>
      </w:r>
      <w:r w:rsidR="00A10486">
        <w:rPr>
          <w:lang w:eastAsia="ja-JP"/>
        </w:rPr>
        <w:t xml:space="preserve"> </w:t>
      </w:r>
      <w:r w:rsidR="00691F01">
        <w:rPr>
          <w:lang w:eastAsia="ja-JP"/>
        </w:rPr>
        <w:t xml:space="preserve">is an </w:t>
      </w:r>
      <w:r w:rsidR="003F2241">
        <w:rPr>
          <w:lang w:eastAsia="ja-JP"/>
        </w:rPr>
        <w:t xml:space="preserve">increase in system overhead because the PDSCH </w:t>
      </w:r>
      <w:r w:rsidR="00D343D9">
        <w:rPr>
          <w:lang w:eastAsia="ja-JP"/>
        </w:rPr>
        <w:t>(</w:t>
      </w:r>
      <w:r w:rsidR="00933E32">
        <w:rPr>
          <w:lang w:eastAsia="ja-JP"/>
        </w:rPr>
        <w:t>e.g.,</w:t>
      </w:r>
      <w:r w:rsidR="00D343D9">
        <w:rPr>
          <w:lang w:eastAsia="ja-JP"/>
        </w:rPr>
        <w:t xml:space="preserve"> SIB) cannot be shared across the BWPs, in general</w:t>
      </w:r>
      <w:r w:rsidR="003F2241">
        <w:rPr>
          <w:lang w:eastAsia="ja-JP"/>
        </w:rPr>
        <w:t xml:space="preserve">. </w:t>
      </w:r>
      <w:r w:rsidR="00691F01">
        <w:rPr>
          <w:lang w:eastAsia="ja-JP"/>
        </w:rPr>
        <w:t>But</w:t>
      </w:r>
      <w:r w:rsidR="003F2241">
        <w:rPr>
          <w:lang w:eastAsia="ja-JP"/>
        </w:rPr>
        <w:t xml:space="preserve"> if there is RB overlap between </w:t>
      </w:r>
      <w:r w:rsidR="00691F01">
        <w:rPr>
          <w:lang w:eastAsia="ja-JP"/>
        </w:rPr>
        <w:t>the two BWPs</w:t>
      </w:r>
      <w:r w:rsidR="000B7A65">
        <w:rPr>
          <w:lang w:eastAsia="ja-JP"/>
        </w:rPr>
        <w:t xml:space="preserve">, it is possible to share PDSCH where there is overlap. </w:t>
      </w:r>
      <w:r w:rsidR="00691F01">
        <w:rPr>
          <w:lang w:eastAsia="ja-JP"/>
        </w:rPr>
        <w:t>While opt</w:t>
      </w:r>
      <w:r w:rsidR="00666EF5">
        <w:rPr>
          <w:lang w:eastAsia="ja-JP"/>
        </w:rPr>
        <w:t>.</w:t>
      </w:r>
      <w:r w:rsidR="00691F01">
        <w:rPr>
          <w:lang w:eastAsia="ja-JP"/>
        </w:rPr>
        <w:t xml:space="preserve"> c has a larger overhead compared to opt</w:t>
      </w:r>
      <w:r w:rsidR="00666EF5">
        <w:rPr>
          <w:lang w:eastAsia="ja-JP"/>
        </w:rPr>
        <w:t>.</w:t>
      </w:r>
      <w:r w:rsidR="00691F01">
        <w:rPr>
          <w:lang w:eastAsia="ja-JP"/>
        </w:rPr>
        <w:t xml:space="preserve"> b, opt</w:t>
      </w:r>
      <w:r w:rsidR="00666EF5">
        <w:rPr>
          <w:lang w:eastAsia="ja-JP"/>
        </w:rPr>
        <w:t>.</w:t>
      </w:r>
      <w:r w:rsidR="00691F01">
        <w:rPr>
          <w:lang w:eastAsia="ja-JP"/>
        </w:rPr>
        <w:t xml:space="preserve"> c is </w:t>
      </w:r>
      <w:r w:rsidR="00666EF5">
        <w:rPr>
          <w:lang w:eastAsia="ja-JP"/>
        </w:rPr>
        <w:t xml:space="preserve">similar </w:t>
      </w:r>
      <w:r w:rsidR="006E1956">
        <w:rPr>
          <w:lang w:eastAsia="ja-JP"/>
        </w:rPr>
        <w:t>to the discussions regarding “</w:t>
      </w:r>
      <w:r w:rsidR="006E1956" w:rsidRPr="006E1956">
        <w:rPr>
          <w:lang w:eastAsia="ja-JP"/>
        </w:rPr>
        <w:t>Indicates support of BWP operation without bandwidth restriction</w:t>
      </w:r>
      <w:r w:rsidR="006E1956">
        <w:rPr>
          <w:lang w:eastAsia="ja-JP"/>
        </w:rPr>
        <w:t>” feature.</w:t>
      </w:r>
    </w:p>
    <w:p w14:paraId="4E328074" w14:textId="0D22B06C" w:rsidR="006E1956" w:rsidRDefault="006E1956" w:rsidP="006E1956">
      <w:pPr>
        <w:rPr>
          <w:b/>
          <w:bCs/>
          <w:i/>
          <w:iCs/>
          <w:lang w:eastAsia="ja-JP"/>
        </w:rPr>
      </w:pPr>
      <w:r w:rsidRPr="0072677F">
        <w:rPr>
          <w:b/>
          <w:bCs/>
          <w:i/>
          <w:iCs/>
          <w:lang w:eastAsia="ja-JP"/>
        </w:rPr>
        <w:t xml:space="preserve">Proposal </w:t>
      </w:r>
      <w:r w:rsidR="00E65A09">
        <w:rPr>
          <w:b/>
          <w:bCs/>
          <w:i/>
          <w:iCs/>
          <w:lang w:eastAsia="ja-JP"/>
        </w:rPr>
        <w:t>2</w:t>
      </w:r>
      <w:r w:rsidRPr="0072677F">
        <w:rPr>
          <w:b/>
          <w:bCs/>
          <w:i/>
          <w:iCs/>
          <w:lang w:eastAsia="ja-JP"/>
        </w:rPr>
        <w:t xml:space="preserve">: If a separately initial BWP is supported, </w:t>
      </w:r>
      <w:r>
        <w:rPr>
          <w:b/>
          <w:bCs/>
          <w:i/>
          <w:iCs/>
          <w:lang w:eastAsia="ja-JP"/>
        </w:rPr>
        <w:t>a sufficient time gap should be defined in order for a RedCap UE to monitor the SSB associated with CORESET#0 derived from the MIB.</w:t>
      </w:r>
    </w:p>
    <w:p w14:paraId="36276179" w14:textId="4F8EBADB" w:rsidR="006E1956" w:rsidRDefault="006E1956" w:rsidP="00A157AD">
      <w:pPr>
        <w:rPr>
          <w:lang w:eastAsia="ja-JP"/>
        </w:rPr>
      </w:pPr>
      <w:r>
        <w:rPr>
          <w:lang w:eastAsia="ja-JP"/>
        </w:rPr>
        <w:t>With opt</w:t>
      </w:r>
      <w:r w:rsidR="00666EF5">
        <w:rPr>
          <w:lang w:eastAsia="ja-JP"/>
        </w:rPr>
        <w:t>.</w:t>
      </w:r>
      <w:r>
        <w:rPr>
          <w:lang w:eastAsia="ja-JP"/>
        </w:rPr>
        <w:t xml:space="preserve"> d, it is unclear whether this SSB follows the sync raster location (and time patterns</w:t>
      </w:r>
      <w:r w:rsidR="00E65A09">
        <w:rPr>
          <w:lang w:eastAsia="ja-JP"/>
        </w:rPr>
        <w:t>),</w:t>
      </w:r>
      <w:r>
        <w:rPr>
          <w:lang w:eastAsia="ja-JP"/>
        </w:rPr>
        <w:t xml:space="preserve"> or it is defined with its own ARFCN. The network can include information regarding the location of the SSB if the SSB is not located on the sync raster.</w:t>
      </w:r>
      <w:r w:rsidRPr="006E1956">
        <w:rPr>
          <w:lang w:eastAsia="ja-JP"/>
        </w:rPr>
        <w:t xml:space="preserve"> </w:t>
      </w:r>
      <w:r>
        <w:rPr>
          <w:lang w:eastAsia="ja-JP"/>
        </w:rPr>
        <w:t>Having a second SSB increases system overhead and is not preferred</w:t>
      </w:r>
      <w:r w:rsidR="00666EF5">
        <w:rPr>
          <w:lang w:eastAsia="ja-JP"/>
        </w:rPr>
        <w:t>.</w:t>
      </w:r>
    </w:p>
    <w:p w14:paraId="37CB6C7D" w14:textId="3EDDC8BB" w:rsidR="00561399" w:rsidRPr="00561399" w:rsidRDefault="00C03770" w:rsidP="00C03770">
      <w:pPr>
        <w:pStyle w:val="Heading3"/>
        <w:rPr>
          <w:lang w:eastAsia="ja-JP"/>
        </w:rPr>
      </w:pPr>
      <w:r>
        <w:rPr>
          <w:lang w:eastAsia="ja-JP"/>
        </w:rPr>
        <w:t>Sizes of initial DL BWP</w:t>
      </w:r>
    </w:p>
    <w:tbl>
      <w:tblPr>
        <w:tblStyle w:val="TableGrid"/>
        <w:tblW w:w="0" w:type="auto"/>
        <w:tblLook w:val="04A0" w:firstRow="1" w:lastRow="0" w:firstColumn="1" w:lastColumn="0" w:noHBand="0" w:noVBand="1"/>
      </w:tblPr>
      <w:tblGrid>
        <w:gridCol w:w="9307"/>
      </w:tblGrid>
      <w:tr w:rsidR="0072677F" w14:paraId="7E8616EB" w14:textId="77777777" w:rsidTr="0072677F">
        <w:tc>
          <w:tcPr>
            <w:tcW w:w="9307" w:type="dxa"/>
          </w:tcPr>
          <w:p w14:paraId="4627C38F" w14:textId="530A435F" w:rsidR="00164229" w:rsidRPr="00C03770" w:rsidRDefault="0072677F" w:rsidP="00C03770">
            <w:pPr>
              <w:pStyle w:val="ListParagraph"/>
              <w:numPr>
                <w:ilvl w:val="0"/>
                <w:numId w:val="13"/>
              </w:numPr>
              <w:autoSpaceDN w:val="0"/>
              <w:spacing w:after="0" w:line="240" w:lineRule="auto"/>
              <w:jc w:val="left"/>
              <w:rPr>
                <w:i/>
                <w:iCs/>
                <w:lang w:eastAsia="ja-JP"/>
              </w:rPr>
            </w:pPr>
            <w:r w:rsidRPr="00C03770">
              <w:rPr>
                <w:i/>
                <w:iCs/>
                <w:sz w:val="20"/>
                <w:szCs w:val="20"/>
              </w:rPr>
              <w:t>FFS: supported bandwidths in the separate initial DL BWP</w:t>
            </w:r>
          </w:p>
        </w:tc>
      </w:tr>
    </w:tbl>
    <w:p w14:paraId="17D24312" w14:textId="77777777" w:rsidR="00FE6E04" w:rsidRDefault="00FE6E04" w:rsidP="00FE6E04">
      <w:pPr>
        <w:rPr>
          <w:lang w:eastAsia="ja-JP"/>
        </w:rPr>
      </w:pPr>
    </w:p>
    <w:p w14:paraId="043A7B32" w14:textId="263F2B66" w:rsidR="00561399" w:rsidRDefault="009A1B4A" w:rsidP="00FE6E04">
      <w:pPr>
        <w:rPr>
          <w:lang w:eastAsia="ja-JP"/>
        </w:rPr>
      </w:pPr>
      <w:r>
        <w:rPr>
          <w:lang w:eastAsia="ja-JP"/>
        </w:rPr>
        <w:lastRenderedPageBreak/>
        <w:t xml:space="preserve">In </w:t>
      </w:r>
      <w:r>
        <w:rPr>
          <w:lang w:eastAsia="ja-JP"/>
        </w:rPr>
        <w:fldChar w:fldCharType="begin"/>
      </w:r>
      <w:r>
        <w:rPr>
          <w:lang w:eastAsia="ja-JP"/>
        </w:rPr>
        <w:instrText xml:space="preserve"> REF _Ref78743914 \h </w:instrText>
      </w:r>
      <w:r>
        <w:rPr>
          <w:lang w:eastAsia="ja-JP"/>
        </w:rPr>
      </w:r>
      <w:r>
        <w:rPr>
          <w:lang w:eastAsia="ja-JP"/>
        </w:rPr>
        <w:fldChar w:fldCharType="separate"/>
      </w:r>
      <w:r w:rsidR="00D40F5E">
        <w:t xml:space="preserve">Table </w:t>
      </w:r>
      <w:r w:rsidR="00D40F5E">
        <w:rPr>
          <w:noProof/>
        </w:rPr>
        <w:t>2</w:t>
      </w:r>
      <w:r>
        <w:rPr>
          <w:lang w:eastAsia="ja-JP"/>
        </w:rPr>
        <w:fldChar w:fldCharType="end"/>
      </w:r>
      <w:r>
        <w:rPr>
          <w:lang w:eastAsia="ja-JP"/>
        </w:rPr>
        <w:t xml:space="preserve">, the possible sizes of supported CORESET within a channel bandwidth are shown. </w:t>
      </w:r>
      <w:r w:rsidR="005444EA">
        <w:rPr>
          <w:lang w:eastAsia="ja-JP"/>
        </w:rPr>
        <w:t xml:space="preserve">For FR1, only channel bandwidths </w:t>
      </w:r>
      <w:r w:rsidR="006E1956">
        <w:rPr>
          <w:lang w:eastAsia="ja-JP"/>
        </w:rPr>
        <w:sym w:font="Symbol" w:char="F0A3"/>
      </w:r>
      <w:r w:rsidR="005444EA">
        <w:rPr>
          <w:lang w:eastAsia="ja-JP"/>
        </w:rPr>
        <w:t xml:space="preserve"> maximum BW </w:t>
      </w:r>
      <w:r w:rsidR="006E1956">
        <w:rPr>
          <w:lang w:eastAsia="ja-JP"/>
        </w:rPr>
        <w:t xml:space="preserve">of a </w:t>
      </w:r>
      <w:r w:rsidR="005444EA">
        <w:rPr>
          <w:lang w:eastAsia="ja-JP"/>
        </w:rPr>
        <w:t xml:space="preserve">RedCap UE are 5, 10, 15, and 20 MHz. Note that a CORESET#0 for 15 MHz is not defined. For FR2, two channel bandwidths </w:t>
      </w:r>
      <w:r w:rsidR="006E1956">
        <w:rPr>
          <w:lang w:eastAsia="ja-JP"/>
        </w:rPr>
        <w:sym w:font="Symbol" w:char="F0A3"/>
      </w:r>
      <w:r w:rsidR="005444EA">
        <w:rPr>
          <w:lang w:eastAsia="ja-JP"/>
        </w:rPr>
        <w:t xml:space="preserve"> the max BW of a RedCap UE are 50 and 100 MHz</w:t>
      </w:r>
      <w:r w:rsidR="00C03770">
        <w:rPr>
          <w:lang w:eastAsia="ja-JP"/>
        </w:rPr>
        <w:t xml:space="preserve">. </w:t>
      </w:r>
    </w:p>
    <w:p w14:paraId="223DBAE5" w14:textId="3BFDB568" w:rsidR="00752192" w:rsidRDefault="00752192" w:rsidP="00752192">
      <w:pPr>
        <w:pStyle w:val="Caption"/>
        <w:keepNext/>
      </w:pPr>
      <w:bookmarkStart w:id="6" w:name="_Ref78743914"/>
      <w:r>
        <w:t xml:space="preserve">Table </w:t>
      </w:r>
      <w:fldSimple w:instr=" SEQ Table \* ARABIC ">
        <w:r w:rsidR="00D40F5E">
          <w:rPr>
            <w:noProof/>
          </w:rPr>
          <w:t>2</w:t>
        </w:r>
      </w:fldSimple>
      <w:bookmarkEnd w:id="6"/>
      <w:r>
        <w:t xml:space="preserve">. </w:t>
      </w:r>
      <w:r w:rsidR="005444EA">
        <w:t xml:space="preserve">Maximum </w:t>
      </w:r>
      <w:r>
        <w:t>CORESET sizes and channel bandwidths</w:t>
      </w:r>
      <w:r w:rsidR="005444EA">
        <w:t xml:space="preserve"> for both </w:t>
      </w:r>
      <w:r>
        <w:t>FR1</w:t>
      </w:r>
      <w:r w:rsidR="005444EA">
        <w:t xml:space="preserve"> and FR2</w:t>
      </w:r>
      <w:r w:rsidR="000F33A2">
        <w:t>. Possible channel BW sizes for RedCap UEs are 5, 10, 15, 20 MHz.</w:t>
      </w:r>
    </w:p>
    <w:tbl>
      <w:tblPr>
        <w:tblStyle w:val="TableGrid"/>
        <w:tblW w:w="5000" w:type="pct"/>
        <w:tblLook w:val="04A0" w:firstRow="1" w:lastRow="0" w:firstColumn="1" w:lastColumn="0" w:noHBand="0" w:noVBand="1"/>
      </w:tblPr>
      <w:tblGrid>
        <w:gridCol w:w="1330"/>
        <w:gridCol w:w="1330"/>
        <w:gridCol w:w="1330"/>
        <w:gridCol w:w="1330"/>
        <w:gridCol w:w="1329"/>
        <w:gridCol w:w="1329"/>
        <w:gridCol w:w="1329"/>
      </w:tblGrid>
      <w:tr w:rsidR="005444EA" w14:paraId="5D6AC60D" w14:textId="77777777" w:rsidTr="005444EA">
        <w:tc>
          <w:tcPr>
            <w:tcW w:w="714" w:type="pct"/>
          </w:tcPr>
          <w:p w14:paraId="0592E6C7" w14:textId="69C29E76" w:rsidR="005444EA" w:rsidRDefault="005444EA" w:rsidP="00EB607C">
            <w:pPr>
              <w:pStyle w:val="TableCell0"/>
            </w:pPr>
            <w:r>
              <w:t>SCS, kHz</w:t>
            </w:r>
          </w:p>
        </w:tc>
        <w:tc>
          <w:tcPr>
            <w:tcW w:w="714" w:type="pct"/>
          </w:tcPr>
          <w:p w14:paraId="6FAC0DB2" w14:textId="03BD759B" w:rsidR="005444EA" w:rsidRDefault="005444EA" w:rsidP="00EB607C">
            <w:pPr>
              <w:pStyle w:val="TableCell0"/>
            </w:pPr>
            <w:r>
              <w:t>5 MHz</w:t>
            </w:r>
          </w:p>
        </w:tc>
        <w:tc>
          <w:tcPr>
            <w:tcW w:w="714" w:type="pct"/>
          </w:tcPr>
          <w:p w14:paraId="369668B7" w14:textId="0724AD60" w:rsidR="005444EA" w:rsidRDefault="005444EA" w:rsidP="00EB607C">
            <w:pPr>
              <w:pStyle w:val="TableCell0"/>
            </w:pPr>
            <w:r>
              <w:t>10 MHz</w:t>
            </w:r>
          </w:p>
        </w:tc>
        <w:tc>
          <w:tcPr>
            <w:tcW w:w="714" w:type="pct"/>
          </w:tcPr>
          <w:p w14:paraId="433C027B" w14:textId="5665C3F0" w:rsidR="005444EA" w:rsidRDefault="005444EA" w:rsidP="00EB607C">
            <w:pPr>
              <w:pStyle w:val="TableCell0"/>
            </w:pPr>
            <w:r>
              <w:t>15 MHz</w:t>
            </w:r>
          </w:p>
        </w:tc>
        <w:tc>
          <w:tcPr>
            <w:tcW w:w="714" w:type="pct"/>
          </w:tcPr>
          <w:p w14:paraId="703805E4" w14:textId="46692984" w:rsidR="005444EA" w:rsidRDefault="005444EA" w:rsidP="00EB607C">
            <w:pPr>
              <w:pStyle w:val="TableCell0"/>
            </w:pPr>
            <w:r>
              <w:t>20 MHz</w:t>
            </w:r>
          </w:p>
        </w:tc>
        <w:tc>
          <w:tcPr>
            <w:tcW w:w="714" w:type="pct"/>
          </w:tcPr>
          <w:p w14:paraId="3046FA88" w14:textId="21A8F553" w:rsidR="005444EA" w:rsidRDefault="005444EA" w:rsidP="00EB607C">
            <w:pPr>
              <w:pStyle w:val="TableCell0"/>
            </w:pPr>
            <w:r>
              <w:t>50 MHz</w:t>
            </w:r>
          </w:p>
        </w:tc>
        <w:tc>
          <w:tcPr>
            <w:tcW w:w="714" w:type="pct"/>
          </w:tcPr>
          <w:p w14:paraId="2E06133E" w14:textId="17B47340" w:rsidR="005444EA" w:rsidRDefault="005444EA" w:rsidP="00EB607C">
            <w:pPr>
              <w:pStyle w:val="TableCell0"/>
            </w:pPr>
            <w:r>
              <w:t>100 MHz</w:t>
            </w:r>
          </w:p>
        </w:tc>
      </w:tr>
      <w:tr w:rsidR="005444EA" w14:paraId="58138D3D" w14:textId="77777777" w:rsidTr="005444EA">
        <w:tc>
          <w:tcPr>
            <w:tcW w:w="714" w:type="pct"/>
          </w:tcPr>
          <w:p w14:paraId="643CC5A6" w14:textId="1B364126" w:rsidR="005444EA" w:rsidRDefault="005444EA" w:rsidP="00EB607C">
            <w:pPr>
              <w:pStyle w:val="TableCell0"/>
            </w:pPr>
            <w:r>
              <w:t>15</w:t>
            </w:r>
          </w:p>
        </w:tc>
        <w:tc>
          <w:tcPr>
            <w:tcW w:w="714" w:type="pct"/>
          </w:tcPr>
          <w:p w14:paraId="0A7764D9" w14:textId="51429BB8" w:rsidR="005444EA" w:rsidRDefault="005444EA" w:rsidP="00EB607C">
            <w:pPr>
              <w:pStyle w:val="TableCell0"/>
            </w:pPr>
            <w:r>
              <w:t>24</w:t>
            </w:r>
          </w:p>
        </w:tc>
        <w:tc>
          <w:tcPr>
            <w:tcW w:w="714" w:type="pct"/>
          </w:tcPr>
          <w:p w14:paraId="21648FC2" w14:textId="6502863D" w:rsidR="005444EA" w:rsidRDefault="005444EA" w:rsidP="00EB607C">
            <w:pPr>
              <w:pStyle w:val="TableCell0"/>
            </w:pPr>
            <w:r>
              <w:t>48</w:t>
            </w:r>
          </w:p>
        </w:tc>
        <w:tc>
          <w:tcPr>
            <w:tcW w:w="714" w:type="pct"/>
          </w:tcPr>
          <w:p w14:paraId="29EBBE6C" w14:textId="77777777" w:rsidR="005444EA" w:rsidRDefault="005444EA" w:rsidP="00EB607C">
            <w:pPr>
              <w:pStyle w:val="TableCell0"/>
            </w:pPr>
          </w:p>
        </w:tc>
        <w:tc>
          <w:tcPr>
            <w:tcW w:w="714" w:type="pct"/>
          </w:tcPr>
          <w:p w14:paraId="53F510DF" w14:textId="6A742AAE" w:rsidR="005444EA" w:rsidRDefault="005444EA" w:rsidP="00EB607C">
            <w:pPr>
              <w:pStyle w:val="TableCell0"/>
            </w:pPr>
            <w:r>
              <w:t>96</w:t>
            </w:r>
          </w:p>
        </w:tc>
        <w:tc>
          <w:tcPr>
            <w:tcW w:w="714" w:type="pct"/>
          </w:tcPr>
          <w:p w14:paraId="7B951A78" w14:textId="77777777" w:rsidR="005444EA" w:rsidRDefault="005444EA" w:rsidP="00EB607C">
            <w:pPr>
              <w:pStyle w:val="TableCell0"/>
            </w:pPr>
          </w:p>
        </w:tc>
        <w:tc>
          <w:tcPr>
            <w:tcW w:w="714" w:type="pct"/>
          </w:tcPr>
          <w:p w14:paraId="2225572B" w14:textId="77777777" w:rsidR="005444EA" w:rsidRDefault="005444EA" w:rsidP="00EB607C">
            <w:pPr>
              <w:pStyle w:val="TableCell0"/>
            </w:pPr>
          </w:p>
        </w:tc>
      </w:tr>
      <w:tr w:rsidR="005444EA" w14:paraId="1BC63366" w14:textId="77777777" w:rsidTr="005444EA">
        <w:tc>
          <w:tcPr>
            <w:tcW w:w="714" w:type="pct"/>
          </w:tcPr>
          <w:p w14:paraId="24AAC7C7" w14:textId="4F0C3B22" w:rsidR="005444EA" w:rsidRDefault="005444EA" w:rsidP="00EB607C">
            <w:pPr>
              <w:pStyle w:val="TableCell0"/>
            </w:pPr>
            <w:r>
              <w:t>30</w:t>
            </w:r>
          </w:p>
        </w:tc>
        <w:tc>
          <w:tcPr>
            <w:tcW w:w="714" w:type="pct"/>
          </w:tcPr>
          <w:p w14:paraId="46BEEBE5" w14:textId="77777777" w:rsidR="005444EA" w:rsidRDefault="005444EA" w:rsidP="00EB607C">
            <w:pPr>
              <w:pStyle w:val="TableCell0"/>
            </w:pPr>
          </w:p>
        </w:tc>
        <w:tc>
          <w:tcPr>
            <w:tcW w:w="714" w:type="pct"/>
          </w:tcPr>
          <w:p w14:paraId="256C786D" w14:textId="37A5C6DD" w:rsidR="005444EA" w:rsidRDefault="005444EA" w:rsidP="00EB607C">
            <w:pPr>
              <w:pStyle w:val="TableCell0"/>
            </w:pPr>
            <w:r>
              <w:t>24</w:t>
            </w:r>
          </w:p>
        </w:tc>
        <w:tc>
          <w:tcPr>
            <w:tcW w:w="714" w:type="pct"/>
          </w:tcPr>
          <w:p w14:paraId="4D54A4F8" w14:textId="77777777" w:rsidR="005444EA" w:rsidRDefault="005444EA" w:rsidP="00EB607C">
            <w:pPr>
              <w:pStyle w:val="TableCell0"/>
            </w:pPr>
          </w:p>
        </w:tc>
        <w:tc>
          <w:tcPr>
            <w:tcW w:w="714" w:type="pct"/>
          </w:tcPr>
          <w:p w14:paraId="4349A0D9" w14:textId="17F478F4" w:rsidR="005444EA" w:rsidRDefault="005444EA" w:rsidP="00EB607C">
            <w:pPr>
              <w:pStyle w:val="TableCell0"/>
            </w:pPr>
            <w:r>
              <w:t>48</w:t>
            </w:r>
          </w:p>
        </w:tc>
        <w:tc>
          <w:tcPr>
            <w:tcW w:w="714" w:type="pct"/>
          </w:tcPr>
          <w:p w14:paraId="7AAC8E1A" w14:textId="77777777" w:rsidR="005444EA" w:rsidRDefault="005444EA" w:rsidP="00EB607C">
            <w:pPr>
              <w:pStyle w:val="TableCell0"/>
            </w:pPr>
          </w:p>
        </w:tc>
        <w:tc>
          <w:tcPr>
            <w:tcW w:w="714" w:type="pct"/>
          </w:tcPr>
          <w:p w14:paraId="48D48384" w14:textId="77777777" w:rsidR="005444EA" w:rsidRDefault="005444EA" w:rsidP="00EB607C">
            <w:pPr>
              <w:pStyle w:val="TableCell0"/>
            </w:pPr>
          </w:p>
        </w:tc>
      </w:tr>
      <w:tr w:rsidR="005444EA" w14:paraId="6409A597" w14:textId="77777777" w:rsidTr="005444EA">
        <w:tc>
          <w:tcPr>
            <w:tcW w:w="714" w:type="pct"/>
          </w:tcPr>
          <w:p w14:paraId="372E6B7B" w14:textId="00A9FBEB" w:rsidR="005444EA" w:rsidRDefault="005444EA" w:rsidP="00EB607C">
            <w:pPr>
              <w:pStyle w:val="TableCell0"/>
            </w:pPr>
            <w:r>
              <w:t>60</w:t>
            </w:r>
          </w:p>
        </w:tc>
        <w:tc>
          <w:tcPr>
            <w:tcW w:w="714" w:type="pct"/>
          </w:tcPr>
          <w:p w14:paraId="0ADE188A" w14:textId="77777777" w:rsidR="005444EA" w:rsidRDefault="005444EA" w:rsidP="00EB607C">
            <w:pPr>
              <w:pStyle w:val="TableCell0"/>
            </w:pPr>
          </w:p>
        </w:tc>
        <w:tc>
          <w:tcPr>
            <w:tcW w:w="714" w:type="pct"/>
          </w:tcPr>
          <w:p w14:paraId="05602B38" w14:textId="77777777" w:rsidR="005444EA" w:rsidRDefault="005444EA" w:rsidP="00EB607C">
            <w:pPr>
              <w:pStyle w:val="TableCell0"/>
            </w:pPr>
          </w:p>
        </w:tc>
        <w:tc>
          <w:tcPr>
            <w:tcW w:w="714" w:type="pct"/>
          </w:tcPr>
          <w:p w14:paraId="5566C8F3" w14:textId="77777777" w:rsidR="005444EA" w:rsidRDefault="005444EA" w:rsidP="00EB607C">
            <w:pPr>
              <w:pStyle w:val="TableCell0"/>
            </w:pPr>
          </w:p>
        </w:tc>
        <w:tc>
          <w:tcPr>
            <w:tcW w:w="714" w:type="pct"/>
          </w:tcPr>
          <w:p w14:paraId="633808AA" w14:textId="5FF9D84F" w:rsidR="005444EA" w:rsidRDefault="005444EA" w:rsidP="00EB607C">
            <w:pPr>
              <w:pStyle w:val="TableCell0"/>
            </w:pPr>
          </w:p>
        </w:tc>
        <w:tc>
          <w:tcPr>
            <w:tcW w:w="714" w:type="pct"/>
          </w:tcPr>
          <w:p w14:paraId="77B13B4B" w14:textId="52398A2F" w:rsidR="005444EA" w:rsidRDefault="005444EA" w:rsidP="00EB607C">
            <w:pPr>
              <w:pStyle w:val="TableCell0"/>
            </w:pPr>
            <w:r>
              <w:t>48</w:t>
            </w:r>
          </w:p>
        </w:tc>
        <w:tc>
          <w:tcPr>
            <w:tcW w:w="714" w:type="pct"/>
          </w:tcPr>
          <w:p w14:paraId="653CAEC5" w14:textId="2E79A6BF" w:rsidR="005444EA" w:rsidRDefault="005444EA" w:rsidP="00EB607C">
            <w:pPr>
              <w:pStyle w:val="TableCell0"/>
            </w:pPr>
            <w:r>
              <w:t>96</w:t>
            </w:r>
          </w:p>
        </w:tc>
      </w:tr>
      <w:tr w:rsidR="005444EA" w14:paraId="4A1943A9" w14:textId="77777777" w:rsidTr="005444EA">
        <w:tc>
          <w:tcPr>
            <w:tcW w:w="714" w:type="pct"/>
          </w:tcPr>
          <w:p w14:paraId="7D636DFC" w14:textId="065A7FC5" w:rsidR="005444EA" w:rsidRDefault="005444EA" w:rsidP="00EB607C">
            <w:pPr>
              <w:pStyle w:val="TableCell0"/>
            </w:pPr>
            <w:r>
              <w:t>120</w:t>
            </w:r>
          </w:p>
        </w:tc>
        <w:tc>
          <w:tcPr>
            <w:tcW w:w="714" w:type="pct"/>
          </w:tcPr>
          <w:p w14:paraId="6A7F51F5" w14:textId="77777777" w:rsidR="005444EA" w:rsidRDefault="005444EA" w:rsidP="00EB607C">
            <w:pPr>
              <w:pStyle w:val="TableCell0"/>
            </w:pPr>
          </w:p>
        </w:tc>
        <w:tc>
          <w:tcPr>
            <w:tcW w:w="714" w:type="pct"/>
          </w:tcPr>
          <w:p w14:paraId="3178161F" w14:textId="77777777" w:rsidR="005444EA" w:rsidRDefault="005444EA" w:rsidP="00EB607C">
            <w:pPr>
              <w:pStyle w:val="TableCell0"/>
            </w:pPr>
          </w:p>
        </w:tc>
        <w:tc>
          <w:tcPr>
            <w:tcW w:w="714" w:type="pct"/>
          </w:tcPr>
          <w:p w14:paraId="66F56F3D" w14:textId="77777777" w:rsidR="005444EA" w:rsidRDefault="005444EA" w:rsidP="00EB607C">
            <w:pPr>
              <w:pStyle w:val="TableCell0"/>
            </w:pPr>
          </w:p>
        </w:tc>
        <w:tc>
          <w:tcPr>
            <w:tcW w:w="714" w:type="pct"/>
          </w:tcPr>
          <w:p w14:paraId="70B9580A" w14:textId="77777777" w:rsidR="005444EA" w:rsidRDefault="005444EA" w:rsidP="00EB607C">
            <w:pPr>
              <w:pStyle w:val="TableCell0"/>
            </w:pPr>
          </w:p>
        </w:tc>
        <w:tc>
          <w:tcPr>
            <w:tcW w:w="714" w:type="pct"/>
          </w:tcPr>
          <w:p w14:paraId="11737285" w14:textId="4A0DF64A" w:rsidR="005444EA" w:rsidRDefault="005444EA" w:rsidP="00EB607C">
            <w:pPr>
              <w:pStyle w:val="TableCell0"/>
            </w:pPr>
            <w:r>
              <w:t>24</w:t>
            </w:r>
          </w:p>
        </w:tc>
        <w:tc>
          <w:tcPr>
            <w:tcW w:w="714" w:type="pct"/>
          </w:tcPr>
          <w:p w14:paraId="14FD0799" w14:textId="7D519CA9" w:rsidR="005444EA" w:rsidRDefault="005444EA" w:rsidP="00EB607C">
            <w:pPr>
              <w:pStyle w:val="TableCell0"/>
            </w:pPr>
            <w:r>
              <w:t>48</w:t>
            </w:r>
          </w:p>
        </w:tc>
      </w:tr>
    </w:tbl>
    <w:p w14:paraId="0679CEA6" w14:textId="77777777" w:rsidR="00EB607C" w:rsidRPr="00EB607C" w:rsidRDefault="00EB607C" w:rsidP="00EB607C"/>
    <w:p w14:paraId="476FCC25" w14:textId="61892CF0" w:rsidR="00FE6E04" w:rsidRDefault="00FE6E04" w:rsidP="0087334A">
      <w:pPr>
        <w:rPr>
          <w:lang w:eastAsia="ja-JP"/>
        </w:rPr>
      </w:pPr>
      <w:r>
        <w:rPr>
          <w:lang w:eastAsia="ja-JP"/>
        </w:rPr>
        <w:t xml:space="preserve">In general, if a separately initial BWP is supported, the supported BW should be among the BW for CORESET#0 derived from the MIB. It can simplify the design since a RedCap UE must support the BWs listed in </w:t>
      </w:r>
      <w:r>
        <w:rPr>
          <w:lang w:eastAsia="ja-JP"/>
        </w:rPr>
        <w:fldChar w:fldCharType="begin"/>
      </w:r>
      <w:r>
        <w:rPr>
          <w:lang w:eastAsia="ja-JP"/>
        </w:rPr>
        <w:instrText xml:space="preserve"> REF _Ref78743914 \h </w:instrText>
      </w:r>
      <w:r>
        <w:rPr>
          <w:lang w:eastAsia="ja-JP"/>
        </w:rPr>
      </w:r>
      <w:r>
        <w:rPr>
          <w:lang w:eastAsia="ja-JP"/>
        </w:rPr>
        <w:fldChar w:fldCharType="separate"/>
      </w:r>
      <w:r w:rsidR="00D40F5E">
        <w:t xml:space="preserve">Table </w:t>
      </w:r>
      <w:r w:rsidR="00D40F5E">
        <w:rPr>
          <w:noProof/>
        </w:rPr>
        <w:t>2</w:t>
      </w:r>
      <w:r>
        <w:rPr>
          <w:lang w:eastAsia="ja-JP"/>
        </w:rPr>
        <w:fldChar w:fldCharType="end"/>
      </w:r>
      <w:r>
        <w:rPr>
          <w:lang w:eastAsia="ja-JP"/>
        </w:rPr>
        <w:t>.</w:t>
      </w:r>
    </w:p>
    <w:p w14:paraId="00F8E299" w14:textId="7B1099C4" w:rsidR="00FE6E04" w:rsidRDefault="00FE6E04" w:rsidP="0087334A">
      <w:pPr>
        <w:rPr>
          <w:b/>
          <w:bCs/>
          <w:i/>
          <w:iCs/>
          <w:lang w:eastAsia="ja-JP"/>
        </w:rPr>
      </w:pPr>
      <w:r w:rsidRPr="0072677F">
        <w:rPr>
          <w:b/>
          <w:bCs/>
          <w:i/>
          <w:iCs/>
          <w:lang w:eastAsia="ja-JP"/>
        </w:rPr>
        <w:t xml:space="preserve">Proposal </w:t>
      </w:r>
      <w:r w:rsidR="00E65A09">
        <w:rPr>
          <w:b/>
          <w:bCs/>
          <w:i/>
          <w:iCs/>
          <w:lang w:eastAsia="ja-JP"/>
        </w:rPr>
        <w:t>3</w:t>
      </w:r>
      <w:r w:rsidRPr="0072677F">
        <w:rPr>
          <w:b/>
          <w:bCs/>
          <w:i/>
          <w:iCs/>
          <w:lang w:eastAsia="ja-JP"/>
        </w:rPr>
        <w:t xml:space="preserve">: If a separately initial BWP is supported, the </w:t>
      </w:r>
      <w:r w:rsidR="0072677F" w:rsidRPr="0072677F">
        <w:rPr>
          <w:b/>
          <w:bCs/>
          <w:i/>
          <w:iCs/>
          <w:lang w:eastAsia="ja-JP"/>
        </w:rPr>
        <w:t xml:space="preserve">possible </w:t>
      </w:r>
      <w:r w:rsidRPr="0072677F">
        <w:rPr>
          <w:b/>
          <w:bCs/>
          <w:i/>
          <w:iCs/>
          <w:lang w:eastAsia="ja-JP"/>
        </w:rPr>
        <w:t xml:space="preserve">bandwidths are among the bandwidths </w:t>
      </w:r>
      <w:r w:rsidR="0072677F" w:rsidRPr="0072677F">
        <w:rPr>
          <w:b/>
          <w:bCs/>
          <w:i/>
          <w:iCs/>
          <w:lang w:eastAsia="ja-JP"/>
        </w:rPr>
        <w:t>for CORESET#0 derived from the MIB.</w:t>
      </w:r>
    </w:p>
    <w:p w14:paraId="62BD778B" w14:textId="77777777" w:rsidR="00D80B5A" w:rsidRPr="00FC04A8" w:rsidRDefault="00D80B5A" w:rsidP="00D80B5A">
      <w:pPr>
        <w:pStyle w:val="Heading3"/>
      </w:pPr>
      <w:r>
        <w:t>BWP#0 options</w:t>
      </w:r>
    </w:p>
    <w:p w14:paraId="19A00A9B" w14:textId="77777777" w:rsidR="00D80B5A" w:rsidRPr="00E91746" w:rsidRDefault="00D80B5A" w:rsidP="00D80B5A">
      <w:pPr>
        <w:rPr>
          <w:lang w:eastAsia="ja-JP"/>
        </w:rPr>
      </w:pPr>
      <w:r>
        <w:rPr>
          <w:lang w:eastAsia="ja-JP"/>
        </w:rPr>
        <w:t>The following working assumptions indicate how the size of BWP#0 for a RedCap UE after initial access.</w:t>
      </w:r>
    </w:p>
    <w:tbl>
      <w:tblPr>
        <w:tblStyle w:val="TableGrid"/>
        <w:tblW w:w="0" w:type="auto"/>
        <w:tblLook w:val="04A0" w:firstRow="1" w:lastRow="0" w:firstColumn="1" w:lastColumn="0" w:noHBand="0" w:noVBand="1"/>
      </w:tblPr>
      <w:tblGrid>
        <w:gridCol w:w="9307"/>
      </w:tblGrid>
      <w:tr w:rsidR="00D80B5A" w14:paraId="4014DEC4" w14:textId="77777777" w:rsidTr="005E3A18">
        <w:tc>
          <w:tcPr>
            <w:tcW w:w="9307" w:type="dxa"/>
          </w:tcPr>
          <w:p w14:paraId="2BC3ABF5" w14:textId="77777777" w:rsidR="00D80B5A" w:rsidRPr="002C47EA" w:rsidRDefault="00D80B5A" w:rsidP="005E3A18">
            <w:pPr>
              <w:rPr>
                <w:sz w:val="20"/>
                <w:szCs w:val="20"/>
              </w:rPr>
            </w:pPr>
            <w:r w:rsidRPr="00687804">
              <w:rPr>
                <w:sz w:val="20"/>
                <w:szCs w:val="20"/>
                <w:highlight w:val="green"/>
              </w:rPr>
              <w:t>Agreements</w:t>
            </w:r>
            <w:r w:rsidRPr="00687804">
              <w:rPr>
                <w:sz w:val="20"/>
                <w:szCs w:val="20"/>
              </w:rPr>
              <w:t>: Replace the RAN1#104bis-e working assumption with the following working assumption (for option 1)</w:t>
            </w:r>
            <w:r w:rsidRPr="002C47EA">
              <w:rPr>
                <w:sz w:val="20"/>
                <w:szCs w:val="20"/>
              </w:rPr>
              <w:t xml:space="preserve"> and working assumption (for option 2):</w:t>
            </w:r>
          </w:p>
          <w:p w14:paraId="0CA8B311" w14:textId="77777777" w:rsidR="00D80B5A" w:rsidRPr="002C47EA" w:rsidRDefault="00D80B5A" w:rsidP="005E3A18">
            <w:pPr>
              <w:numPr>
                <w:ilvl w:val="0"/>
                <w:numId w:val="13"/>
              </w:numPr>
              <w:autoSpaceDE/>
              <w:autoSpaceDN/>
              <w:adjustRightInd/>
              <w:snapToGrid/>
              <w:spacing w:after="0"/>
              <w:jc w:val="left"/>
              <w:rPr>
                <w:rFonts w:eastAsia="Times New Roman"/>
                <w:sz w:val="20"/>
                <w:szCs w:val="20"/>
                <w:lang w:eastAsia="zh-CN"/>
              </w:rPr>
            </w:pPr>
            <w:r w:rsidRPr="002C47EA">
              <w:rPr>
                <w:rFonts w:eastAsia="Times New Roman" w:cs="Times"/>
                <w:sz w:val="20"/>
                <w:szCs w:val="20"/>
                <w:highlight w:val="darkYellow"/>
                <w:lang w:eastAsia="ja-JP"/>
              </w:rPr>
              <w:t>Working assumption</w:t>
            </w:r>
            <w:r w:rsidRPr="002C47EA">
              <w:rPr>
                <w:rFonts w:eastAsia="Times New Roman" w:cs="Times"/>
                <w:sz w:val="20"/>
                <w:szCs w:val="20"/>
                <w:lang w:eastAsia="ja-JP"/>
              </w:rPr>
              <w:t xml:space="preserve">: After initial access </w:t>
            </w:r>
            <w:r w:rsidRPr="002C47EA">
              <w:rPr>
                <w:rFonts w:eastAsia="Times New Roman" w:cs="Times"/>
                <w:sz w:val="20"/>
                <w:szCs w:val="20"/>
                <w:u w:val="single"/>
                <w:lang w:eastAsia="ja-JP"/>
              </w:rPr>
              <w:t>(i.e., after RRC Setup, RRC Resume, or RRC Reestablishment)</w:t>
            </w:r>
            <w:r w:rsidRPr="002C47EA">
              <w:rPr>
                <w:rFonts w:eastAsia="Times New Roman" w:cs="Times"/>
                <w:sz w:val="20"/>
                <w:szCs w:val="20"/>
                <w:lang w:eastAsia="ja-JP"/>
              </w:rPr>
              <w:t>, for BWP#0 configuration option 1 (as in 38.331, Appendix B2), a RedCap UE is not expected to operate with an initial DL BWP wider than the maximum RedCap UE bandwidth.</w:t>
            </w:r>
          </w:p>
          <w:p w14:paraId="3EEA5D94" w14:textId="77777777" w:rsidR="00D80B5A" w:rsidRPr="00687804" w:rsidRDefault="00D80B5A" w:rsidP="005E3A18">
            <w:pPr>
              <w:numPr>
                <w:ilvl w:val="0"/>
                <w:numId w:val="13"/>
              </w:numPr>
              <w:autoSpaceDE/>
              <w:autoSpaceDN/>
              <w:adjustRightInd/>
              <w:snapToGrid/>
              <w:spacing w:after="0"/>
              <w:jc w:val="left"/>
              <w:rPr>
                <w:rFonts w:eastAsia="Times New Roman" w:cs="Times"/>
                <w:lang w:eastAsia="zh-CN"/>
              </w:rPr>
            </w:pPr>
            <w:r w:rsidRPr="002C47EA">
              <w:rPr>
                <w:rFonts w:eastAsia="Times New Roman" w:cs="Times"/>
                <w:sz w:val="20"/>
                <w:szCs w:val="20"/>
                <w:highlight w:val="darkYellow"/>
                <w:lang w:eastAsia="ja-JP"/>
              </w:rPr>
              <w:t>Working assumption</w:t>
            </w:r>
            <w:r w:rsidRPr="002C47EA">
              <w:rPr>
                <w:rFonts w:eastAsia="Times New Roman" w:cs="Times"/>
                <w:sz w:val="20"/>
                <w:szCs w:val="20"/>
                <w:lang w:eastAsia="ja-JP"/>
              </w:rPr>
              <w:t>: After initial access (</w:t>
            </w:r>
            <w:r w:rsidRPr="002C47EA">
              <w:rPr>
                <w:rFonts w:eastAsia="Times New Roman" w:cs="Times"/>
                <w:sz w:val="20"/>
                <w:szCs w:val="20"/>
                <w:u w:val="single"/>
                <w:lang w:eastAsia="ja-JP"/>
              </w:rPr>
              <w:t>i.e., after RRC Setup, RRC Resume, or RRC Reestablishment</w:t>
            </w:r>
            <w:r w:rsidRPr="002C47EA">
              <w:rPr>
                <w:rFonts w:eastAsia="Times New Roman" w:cs="Times"/>
                <w:sz w:val="20"/>
                <w:szCs w:val="20"/>
                <w:lang w:eastAsia="ja-JP"/>
              </w:rPr>
              <w:t>), for BWP#0 configuration option 2 (as in 38.331, Appendix B2), a RedCap UE is not expected to operate with an initial DL BWP wider than the maximum RedCap UE bandwidth.</w:t>
            </w:r>
          </w:p>
        </w:tc>
      </w:tr>
    </w:tbl>
    <w:p w14:paraId="7BB2E389" w14:textId="77777777" w:rsidR="00D80B5A" w:rsidRDefault="00D80B5A" w:rsidP="00D80B5A">
      <w:pPr>
        <w:rPr>
          <w:lang w:eastAsia="ja-JP"/>
        </w:rPr>
      </w:pPr>
    </w:p>
    <w:p w14:paraId="18CFF2E9" w14:textId="77777777" w:rsidR="00D80B5A" w:rsidRDefault="00D80B5A" w:rsidP="00D80B5A">
      <w:pPr>
        <w:rPr>
          <w:lang w:eastAsia="ja-JP"/>
        </w:rPr>
      </w:pPr>
      <w:r>
        <w:rPr>
          <w:lang w:eastAsia="ja-JP"/>
        </w:rPr>
        <w:t>A description of the options in Appendix B2 in 38.331 are presented below:</w:t>
      </w:r>
    </w:p>
    <w:p w14:paraId="7CA69D19" w14:textId="77777777" w:rsidR="00D80B5A" w:rsidRDefault="00D80B5A" w:rsidP="00D80B5A">
      <w:pPr>
        <w:pStyle w:val="ListParagraph"/>
        <w:numPr>
          <w:ilvl w:val="0"/>
          <w:numId w:val="19"/>
        </w:numPr>
        <w:rPr>
          <w:lang w:eastAsia="ja-JP"/>
        </w:rPr>
      </w:pPr>
      <w:r>
        <w:rPr>
          <w:lang w:eastAsia="ja-JP"/>
        </w:rPr>
        <w:t>For option 1, “</w:t>
      </w:r>
      <w:r w:rsidRPr="00804617">
        <w:rPr>
          <w:lang w:eastAsia="ja-JP"/>
        </w:rPr>
        <w:t>BWP#0 is not considered to be an RRC-configured BWP</w:t>
      </w:r>
      <w:r>
        <w:rPr>
          <w:lang w:eastAsia="ja-JP"/>
        </w:rPr>
        <w:t>”. As a note, “</w:t>
      </w:r>
      <w:r w:rsidRPr="00D26D9E">
        <w:rPr>
          <w:lang w:eastAsia="ja-JP"/>
        </w:rPr>
        <w:t xml:space="preserve">only DCI format 1_0 can be used with BWP#0 without dedicated configuration, so changing to another BWP requires </w:t>
      </w:r>
      <w:r w:rsidRPr="00D26D9E">
        <w:rPr>
          <w:i/>
          <w:iCs/>
          <w:lang w:eastAsia="ja-JP"/>
        </w:rPr>
        <w:t>RRCReconfiguration</w:t>
      </w:r>
      <w:r w:rsidRPr="00D26D9E">
        <w:rPr>
          <w:lang w:eastAsia="ja-JP"/>
        </w:rPr>
        <w:t xml:space="preserve"> since DCI format 1_0 doesn't support DCI-based switching</w:t>
      </w:r>
      <w:r>
        <w:rPr>
          <w:lang w:eastAsia="ja-JP"/>
        </w:rPr>
        <w:t>”. A UE can a maximum of 5 BWPs, including BWP#0.</w:t>
      </w:r>
    </w:p>
    <w:p w14:paraId="1EE5BABA" w14:textId="77777777" w:rsidR="00D80B5A" w:rsidRDefault="00D80B5A" w:rsidP="00D80B5A">
      <w:pPr>
        <w:pStyle w:val="ListParagraph"/>
        <w:numPr>
          <w:ilvl w:val="0"/>
          <w:numId w:val="19"/>
        </w:numPr>
        <w:rPr>
          <w:lang w:eastAsia="ja-JP"/>
        </w:rPr>
      </w:pPr>
      <w:r>
        <w:rPr>
          <w:lang w:eastAsia="ja-JP"/>
        </w:rPr>
        <w:t>For option 2, “</w:t>
      </w:r>
      <w:r w:rsidRPr="00D26D9E">
        <w:rPr>
          <w:lang w:eastAsia="ja-JP"/>
        </w:rPr>
        <w:t>BWP#0 is considered to be an RRC-configured BWP</w:t>
      </w:r>
      <w:r>
        <w:rPr>
          <w:lang w:eastAsia="ja-JP"/>
        </w:rPr>
        <w:t xml:space="preserve">”. </w:t>
      </w:r>
      <w:r w:rsidRPr="00D26D9E">
        <w:rPr>
          <w:lang w:eastAsia="ja-JP"/>
        </w:rPr>
        <w:t>UE only supporting one BWP cannot be configured with BWP#1 in addition to BWP#0 when using this configuration</w:t>
      </w:r>
      <w:r>
        <w:rPr>
          <w:lang w:eastAsia="ja-JP"/>
        </w:rPr>
        <w:t>. A UE can a maximum of 4 BWPs, including BWP#0.</w:t>
      </w:r>
    </w:p>
    <w:p w14:paraId="6E3921BF" w14:textId="7D15F58B" w:rsidR="00D80B5A" w:rsidRDefault="00192217" w:rsidP="00D80B5A">
      <w:pPr>
        <w:rPr>
          <w:lang w:eastAsia="ja-JP"/>
        </w:rPr>
      </w:pPr>
      <w:r>
        <w:rPr>
          <w:lang w:eastAsia="ja-JP"/>
        </w:rPr>
        <w:t xml:space="preserve">Observation 1 in section </w:t>
      </w:r>
      <w:r>
        <w:rPr>
          <w:lang w:eastAsia="ja-JP"/>
        </w:rPr>
        <w:fldChar w:fldCharType="begin"/>
      </w:r>
      <w:r>
        <w:rPr>
          <w:lang w:eastAsia="ja-JP"/>
        </w:rPr>
        <w:instrText xml:space="preserve"> REF _Ref78810453 \r \h </w:instrText>
      </w:r>
      <w:r>
        <w:rPr>
          <w:lang w:eastAsia="ja-JP"/>
        </w:rPr>
      </w:r>
      <w:r>
        <w:rPr>
          <w:lang w:eastAsia="ja-JP"/>
        </w:rPr>
        <w:fldChar w:fldCharType="separate"/>
      </w:r>
      <w:r w:rsidR="00D40F5E">
        <w:rPr>
          <w:lang w:eastAsia="ja-JP"/>
        </w:rPr>
        <w:t>2.2.1</w:t>
      </w:r>
      <w:r>
        <w:rPr>
          <w:lang w:eastAsia="ja-JP"/>
        </w:rPr>
        <w:fldChar w:fldCharType="end"/>
      </w:r>
      <w:r>
        <w:rPr>
          <w:lang w:eastAsia="ja-JP"/>
        </w:rPr>
        <w:t xml:space="preserve"> is related to this working assumption. Since a RedCap UE is not expected to operate in a BWP larger than the max BW of a RedCap UE during initial access, this working assumption is another </w:t>
      </w:r>
      <w:r w:rsidR="006A247A">
        <w:rPr>
          <w:lang w:eastAsia="ja-JP"/>
        </w:rPr>
        <w:t xml:space="preserve">way </w:t>
      </w:r>
      <w:r>
        <w:rPr>
          <w:lang w:eastAsia="ja-JP"/>
        </w:rPr>
        <w:t>of expressing the 38.331 statement in Appendix B2</w:t>
      </w:r>
      <w:r w:rsidR="006A247A">
        <w:rPr>
          <w:lang w:eastAsia="ja-JP"/>
        </w:rPr>
        <w:t xml:space="preserve"> </w:t>
      </w:r>
      <w:r w:rsidR="006A247A">
        <w:rPr>
          <w:lang w:eastAsia="ja-JP"/>
        </w:rPr>
        <w:fldChar w:fldCharType="begin"/>
      </w:r>
      <w:r w:rsidR="006A247A">
        <w:rPr>
          <w:lang w:eastAsia="ja-JP"/>
        </w:rPr>
        <w:instrText xml:space="preserve"> REF _Ref70591093 \r \h </w:instrText>
      </w:r>
      <w:r w:rsidR="006A247A">
        <w:rPr>
          <w:lang w:eastAsia="ja-JP"/>
        </w:rPr>
      </w:r>
      <w:r w:rsidR="006A247A">
        <w:rPr>
          <w:lang w:eastAsia="ja-JP"/>
        </w:rPr>
        <w:fldChar w:fldCharType="separate"/>
      </w:r>
      <w:r w:rsidR="00D40F5E">
        <w:rPr>
          <w:lang w:eastAsia="ja-JP"/>
        </w:rPr>
        <w:t>[6]</w:t>
      </w:r>
      <w:r w:rsidR="006A247A">
        <w:rPr>
          <w:lang w:eastAsia="ja-JP"/>
        </w:rPr>
        <w:fldChar w:fldCharType="end"/>
      </w:r>
      <w:r>
        <w:rPr>
          <w:lang w:eastAsia="ja-JP"/>
        </w:rPr>
        <w:t>.</w:t>
      </w:r>
    </w:p>
    <w:p w14:paraId="20D094B9" w14:textId="2B917F58" w:rsidR="00D80B5A" w:rsidRPr="00FC04A8" w:rsidRDefault="00D80B5A" w:rsidP="00D80B5A">
      <w:pPr>
        <w:rPr>
          <w:b/>
          <w:bCs/>
          <w:i/>
          <w:iCs/>
          <w:lang w:eastAsia="ja-JP"/>
        </w:rPr>
      </w:pPr>
      <w:r w:rsidRPr="00FC04A8">
        <w:rPr>
          <w:b/>
          <w:bCs/>
          <w:i/>
          <w:iCs/>
          <w:lang w:eastAsia="ja-JP"/>
        </w:rPr>
        <w:t xml:space="preserve">Proposal </w:t>
      </w:r>
      <w:r w:rsidR="00D343D9">
        <w:rPr>
          <w:b/>
          <w:bCs/>
          <w:i/>
          <w:iCs/>
          <w:lang w:eastAsia="ja-JP"/>
        </w:rPr>
        <w:t>4</w:t>
      </w:r>
      <w:r w:rsidRPr="00FC04A8">
        <w:rPr>
          <w:b/>
          <w:bCs/>
          <w:i/>
          <w:iCs/>
          <w:lang w:eastAsia="ja-JP"/>
        </w:rPr>
        <w:t xml:space="preserve">: </w:t>
      </w:r>
      <w:r>
        <w:rPr>
          <w:b/>
          <w:bCs/>
          <w:i/>
          <w:iCs/>
          <w:lang w:eastAsia="ja-JP"/>
        </w:rPr>
        <w:t xml:space="preserve">The </w:t>
      </w:r>
      <w:r w:rsidR="00192217">
        <w:rPr>
          <w:b/>
          <w:bCs/>
          <w:i/>
          <w:iCs/>
          <w:lang w:eastAsia="ja-JP"/>
        </w:rPr>
        <w:t xml:space="preserve">two working assumptions </w:t>
      </w:r>
      <w:r w:rsidR="00691F01">
        <w:rPr>
          <w:b/>
          <w:bCs/>
          <w:i/>
          <w:iCs/>
          <w:lang w:eastAsia="ja-JP"/>
        </w:rPr>
        <w:t xml:space="preserve">regarding </w:t>
      </w:r>
      <w:r w:rsidR="00691F01" w:rsidRPr="00142820">
        <w:rPr>
          <w:b/>
          <w:bCs/>
          <w:i/>
          <w:iCs/>
          <w:lang w:eastAsia="ja-JP"/>
        </w:rPr>
        <w:t>BWP#0 configuration</w:t>
      </w:r>
      <w:r w:rsidR="00691F01">
        <w:rPr>
          <w:b/>
          <w:bCs/>
          <w:i/>
          <w:iCs/>
          <w:lang w:eastAsia="ja-JP"/>
        </w:rPr>
        <w:t xml:space="preserve"> option 1 and </w:t>
      </w:r>
      <w:r w:rsidR="00691F01" w:rsidRPr="00142820">
        <w:rPr>
          <w:b/>
          <w:bCs/>
          <w:i/>
          <w:iCs/>
          <w:lang w:eastAsia="ja-JP"/>
        </w:rPr>
        <w:t>BWP#0 configuration</w:t>
      </w:r>
      <w:r w:rsidR="00691F01">
        <w:rPr>
          <w:b/>
          <w:bCs/>
          <w:i/>
          <w:iCs/>
          <w:lang w:eastAsia="ja-JP"/>
        </w:rPr>
        <w:t xml:space="preserve"> option 2 </w:t>
      </w:r>
      <w:r w:rsidR="00192217">
        <w:rPr>
          <w:b/>
          <w:bCs/>
          <w:i/>
          <w:iCs/>
          <w:lang w:eastAsia="ja-JP"/>
        </w:rPr>
        <w:t>can be confirmed.</w:t>
      </w:r>
    </w:p>
    <w:p w14:paraId="388C2DDA" w14:textId="77777777" w:rsidR="0072677F" w:rsidRDefault="0072677F" w:rsidP="002B73B9">
      <w:pPr>
        <w:rPr>
          <w:lang w:eastAsia="ja-JP"/>
        </w:rPr>
      </w:pPr>
    </w:p>
    <w:p w14:paraId="15B2C0B9" w14:textId="36133CE5" w:rsidR="002B73B9" w:rsidRDefault="002B73B9" w:rsidP="005270F1">
      <w:pPr>
        <w:pStyle w:val="Heading2"/>
        <w:rPr>
          <w:lang w:eastAsia="ja-JP"/>
        </w:rPr>
      </w:pPr>
      <w:r>
        <w:rPr>
          <w:lang w:eastAsia="ja-JP"/>
        </w:rPr>
        <w:t>UL BWP</w:t>
      </w:r>
    </w:p>
    <w:p w14:paraId="74226B22" w14:textId="348EF430" w:rsidR="0094634F" w:rsidRDefault="0094634F" w:rsidP="0094634F">
      <w:pPr>
        <w:rPr>
          <w:lang w:eastAsia="ja-JP"/>
        </w:rPr>
      </w:pPr>
      <w:r>
        <w:rPr>
          <w:lang w:eastAsia="ja-JP"/>
        </w:rPr>
        <w:t>In RAN1#105, there were several working assumptions regarding the UL for RedCap UEs</w:t>
      </w:r>
      <w:r w:rsidR="006A247A">
        <w:rPr>
          <w:lang w:eastAsia="ja-JP"/>
        </w:rPr>
        <w:t xml:space="preserve"> </w:t>
      </w:r>
      <w:r w:rsidR="006A247A">
        <w:rPr>
          <w:lang w:eastAsia="ja-JP"/>
        </w:rPr>
        <w:fldChar w:fldCharType="begin"/>
      </w:r>
      <w:r w:rsidR="006A247A">
        <w:rPr>
          <w:lang w:eastAsia="ja-JP"/>
        </w:rPr>
        <w:instrText xml:space="preserve"> REF _Ref67908436 \r \h </w:instrText>
      </w:r>
      <w:r w:rsidR="006A247A">
        <w:rPr>
          <w:lang w:eastAsia="ja-JP"/>
        </w:rPr>
      </w:r>
      <w:r w:rsidR="006A247A">
        <w:rPr>
          <w:lang w:eastAsia="ja-JP"/>
        </w:rPr>
        <w:fldChar w:fldCharType="separate"/>
      </w:r>
      <w:r w:rsidR="00D40F5E">
        <w:rPr>
          <w:lang w:eastAsia="ja-JP"/>
        </w:rPr>
        <w:t>[4]</w:t>
      </w:r>
      <w:r w:rsidR="006A247A">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94634F" w14:paraId="4556EECF" w14:textId="77777777" w:rsidTr="005E3A18">
        <w:tc>
          <w:tcPr>
            <w:tcW w:w="9307" w:type="dxa"/>
          </w:tcPr>
          <w:p w14:paraId="6774E4BF" w14:textId="77777777" w:rsidR="0094634F" w:rsidRPr="00AE718A" w:rsidRDefault="0094634F" w:rsidP="005E3A18">
            <w:pPr>
              <w:rPr>
                <w:sz w:val="20"/>
                <w:szCs w:val="20"/>
              </w:rPr>
            </w:pPr>
            <w:r w:rsidRPr="00AE718A">
              <w:rPr>
                <w:sz w:val="20"/>
                <w:szCs w:val="20"/>
                <w:highlight w:val="darkYellow"/>
              </w:rPr>
              <w:t xml:space="preserve">Working assumption: </w:t>
            </w:r>
            <w:r w:rsidRPr="00AE718A">
              <w:rPr>
                <w:sz w:val="20"/>
                <w:szCs w:val="20"/>
              </w:rPr>
              <w:t xml:space="preserve">Both during and after initial access, even for the scenario where the initial UL BWP for non-RedCap UEs is not configured to be wider than the RedCap UE bandwidth, a separate initial UL BWP can </w:t>
            </w:r>
            <w:r w:rsidRPr="00AE718A">
              <w:rPr>
                <w:sz w:val="20"/>
                <w:szCs w:val="20"/>
              </w:rPr>
              <w:lastRenderedPageBreak/>
              <w:t>optionally be configured/defined for RedCap UEs.</w:t>
            </w:r>
          </w:p>
          <w:p w14:paraId="0A7854B9" w14:textId="77777777" w:rsidR="0094634F" w:rsidRPr="00AE718A" w:rsidRDefault="0094634F" w:rsidP="005E3A18">
            <w:pPr>
              <w:numPr>
                <w:ilvl w:val="0"/>
                <w:numId w:val="14"/>
              </w:numPr>
              <w:autoSpaceDE/>
              <w:autoSpaceDN/>
              <w:adjustRightInd/>
              <w:snapToGrid/>
              <w:spacing w:after="0"/>
              <w:jc w:val="left"/>
              <w:rPr>
                <w:sz w:val="20"/>
                <w:szCs w:val="20"/>
              </w:rPr>
            </w:pPr>
            <w:r w:rsidRPr="00AE718A">
              <w:rPr>
                <w:sz w:val="20"/>
                <w:szCs w:val="20"/>
              </w:rPr>
              <w:t>RO sharing between RedCap and non-RedCap is not precluded.</w:t>
            </w:r>
          </w:p>
        </w:tc>
      </w:tr>
    </w:tbl>
    <w:p w14:paraId="33145E7B" w14:textId="77777777" w:rsidR="0094634F" w:rsidRDefault="0094634F" w:rsidP="0094634F">
      <w:pPr>
        <w:rPr>
          <w:lang w:eastAsia="ja-JP"/>
        </w:rPr>
      </w:pPr>
    </w:p>
    <w:tbl>
      <w:tblPr>
        <w:tblStyle w:val="TableGrid"/>
        <w:tblW w:w="0" w:type="auto"/>
        <w:tblLook w:val="04A0" w:firstRow="1" w:lastRow="0" w:firstColumn="1" w:lastColumn="0" w:noHBand="0" w:noVBand="1"/>
      </w:tblPr>
      <w:tblGrid>
        <w:gridCol w:w="9307"/>
      </w:tblGrid>
      <w:tr w:rsidR="000056C4" w14:paraId="42AD810D" w14:textId="77777777" w:rsidTr="00117C9B">
        <w:tc>
          <w:tcPr>
            <w:tcW w:w="9307" w:type="dxa"/>
          </w:tcPr>
          <w:p w14:paraId="3B617FF8" w14:textId="77777777" w:rsidR="000056C4" w:rsidRPr="00687804" w:rsidRDefault="000056C4" w:rsidP="00117C9B">
            <w:pPr>
              <w:rPr>
                <w:rFonts w:eastAsia="Times New Roman" w:cs="Times"/>
                <w:sz w:val="20"/>
                <w:szCs w:val="20"/>
                <w:lang w:eastAsia="ja-JP"/>
              </w:rPr>
            </w:pPr>
            <w:r w:rsidRPr="00687804">
              <w:rPr>
                <w:rFonts w:eastAsia="Times New Roman" w:cs="Times"/>
                <w:sz w:val="20"/>
                <w:szCs w:val="20"/>
                <w:highlight w:val="darkYellow"/>
                <w:lang w:eastAsia="ja-JP"/>
              </w:rPr>
              <w:t>Working assumption</w:t>
            </w:r>
            <w:r w:rsidRPr="00687804">
              <w:rPr>
                <w:rFonts w:eastAsia="Times New Roman" w:cs="Times"/>
                <w:sz w:val="20"/>
                <w:szCs w:val="20"/>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26771D58" w14:textId="77777777" w:rsidR="000056C4" w:rsidRPr="00687804" w:rsidRDefault="000056C4" w:rsidP="00117C9B">
            <w:pPr>
              <w:numPr>
                <w:ilvl w:val="0"/>
                <w:numId w:val="13"/>
              </w:numPr>
              <w:autoSpaceDE/>
              <w:autoSpaceDN/>
              <w:adjustRightInd/>
              <w:snapToGrid/>
              <w:spacing w:after="0"/>
              <w:jc w:val="left"/>
              <w:rPr>
                <w:rFonts w:eastAsia="Times New Roman" w:cs="Times"/>
                <w:lang w:eastAsia="ja-JP"/>
              </w:rPr>
            </w:pPr>
            <w:r w:rsidRPr="00687804">
              <w:rPr>
                <w:rFonts w:eastAsia="Times New Roman" w:cs="Times"/>
                <w:sz w:val="20"/>
                <w:szCs w:val="20"/>
                <w:lang w:eastAsia="ja-JP"/>
              </w:rPr>
              <w:t>Note: these ROs can be dedicated for RedCap UEs or shared with non-RedCap UEs.</w:t>
            </w:r>
          </w:p>
        </w:tc>
      </w:tr>
    </w:tbl>
    <w:p w14:paraId="406CB97A" w14:textId="77777777" w:rsidR="00ED3B48" w:rsidRDefault="00ED3B48" w:rsidP="000056C4">
      <w:pPr>
        <w:rPr>
          <w:lang w:eastAsia="ja-JP"/>
        </w:rPr>
      </w:pPr>
    </w:p>
    <w:p w14:paraId="562DFEB2" w14:textId="77777777" w:rsidR="00A157AD" w:rsidRDefault="00A157AD" w:rsidP="00A157AD">
      <w:pPr>
        <w:rPr>
          <w:lang w:eastAsia="ja-JP"/>
        </w:rPr>
      </w:pPr>
      <w:r>
        <w:rPr>
          <w:lang w:eastAsia="ja-JP"/>
        </w:rPr>
        <w:t xml:space="preserve">Both working assumptions describe a point of sharing ROs, but not how to share ROs, especially when the initial UL BWP for non-RedCap UE is greater than the max BW of a RedCap UE. </w:t>
      </w:r>
    </w:p>
    <w:p w14:paraId="43CAC45B" w14:textId="2C8847DD" w:rsidR="00ED3B48" w:rsidRDefault="00ED3B48" w:rsidP="00A157AD">
      <w:pPr>
        <w:rPr>
          <w:lang w:eastAsia="ja-JP"/>
        </w:rPr>
      </w:pPr>
      <w:r>
        <w:rPr>
          <w:lang w:eastAsia="ja-JP"/>
        </w:rPr>
        <w:t>Two</w:t>
      </w:r>
      <w:r w:rsidR="000D710A">
        <w:rPr>
          <w:lang w:eastAsia="ja-JP"/>
        </w:rPr>
        <w:t xml:space="preserve"> observations regarding RACH</w:t>
      </w:r>
      <w:r w:rsidR="00666EF5">
        <w:rPr>
          <w:lang w:eastAsia="ja-JP"/>
        </w:rPr>
        <w:t xml:space="preserve"> and sharing</w:t>
      </w:r>
      <w:r w:rsidR="000D710A">
        <w:rPr>
          <w:lang w:eastAsia="ja-JP"/>
        </w:rPr>
        <w:t>:</w:t>
      </w:r>
    </w:p>
    <w:p w14:paraId="28A30032" w14:textId="4DB0ADB5" w:rsidR="00280136" w:rsidRDefault="00ED3B48" w:rsidP="00142820">
      <w:pPr>
        <w:pStyle w:val="ListParagraph"/>
        <w:numPr>
          <w:ilvl w:val="0"/>
          <w:numId w:val="30"/>
        </w:numPr>
        <w:rPr>
          <w:lang w:eastAsia="ja-JP"/>
        </w:rPr>
      </w:pPr>
      <w:r>
        <w:rPr>
          <w:lang w:eastAsia="ja-JP"/>
        </w:rPr>
        <w:t xml:space="preserve">The </w:t>
      </w:r>
      <w:r w:rsidR="00E74595">
        <w:rPr>
          <w:lang w:eastAsia="ja-JP"/>
        </w:rPr>
        <w:t>initial UL BWP configuration contains parameters defining regions in time and frequency where ROs are located as well as locations for the PUCCH</w:t>
      </w:r>
      <w:r w:rsidR="00666EF5">
        <w:rPr>
          <w:lang w:eastAsia="ja-JP"/>
        </w:rPr>
        <w:t xml:space="preserve"> and PUSCH</w:t>
      </w:r>
      <w:r w:rsidR="00E74595">
        <w:rPr>
          <w:lang w:eastAsia="ja-JP"/>
        </w:rPr>
        <w:t xml:space="preserve">. </w:t>
      </w:r>
      <w:r w:rsidR="0025340A">
        <w:rPr>
          <w:lang w:eastAsia="ja-JP"/>
        </w:rPr>
        <w:t xml:space="preserve">The </w:t>
      </w:r>
      <w:r w:rsidR="00666EF5">
        <w:rPr>
          <w:lang w:eastAsia="ja-JP"/>
        </w:rPr>
        <w:t>region for RO can be</w:t>
      </w:r>
      <w:r w:rsidR="0025340A">
        <w:rPr>
          <w:lang w:eastAsia="ja-JP"/>
        </w:rPr>
        <w:t xml:space="preserve"> independent of the </w:t>
      </w:r>
      <w:r w:rsidR="00666EF5">
        <w:rPr>
          <w:lang w:eastAsia="ja-JP"/>
        </w:rPr>
        <w:t>locations</w:t>
      </w:r>
      <w:r w:rsidR="0025340A">
        <w:rPr>
          <w:lang w:eastAsia="ja-JP"/>
        </w:rPr>
        <w:t xml:space="preserve"> for PUSCH and PUCCH</w:t>
      </w:r>
      <w:r w:rsidR="00666EF5">
        <w:rPr>
          <w:lang w:eastAsia="ja-JP"/>
        </w:rPr>
        <w:t xml:space="preserve"> (it is noted that the gNB can schedule PUSCH on the RO resources)</w:t>
      </w:r>
      <w:r w:rsidR="0025340A">
        <w:rPr>
          <w:lang w:eastAsia="ja-JP"/>
        </w:rPr>
        <w:t>.</w:t>
      </w:r>
    </w:p>
    <w:p w14:paraId="6E8F4080" w14:textId="3413BC79" w:rsidR="00E74595" w:rsidRDefault="00280136" w:rsidP="00142820">
      <w:pPr>
        <w:pStyle w:val="ListParagraph"/>
        <w:numPr>
          <w:ilvl w:val="0"/>
          <w:numId w:val="30"/>
        </w:numPr>
        <w:rPr>
          <w:lang w:eastAsia="ja-JP"/>
        </w:rPr>
      </w:pPr>
      <w:r>
        <w:rPr>
          <w:lang w:eastAsia="ja-JP"/>
        </w:rPr>
        <w:t>Although the focus for RACH has been initial access</w:t>
      </w:r>
      <w:r w:rsidR="002D13CB">
        <w:rPr>
          <w:lang w:eastAsia="ja-JP"/>
        </w:rPr>
        <w:t xml:space="preserve">, RACH is </w:t>
      </w:r>
      <w:r>
        <w:rPr>
          <w:lang w:eastAsia="ja-JP"/>
        </w:rPr>
        <w:t xml:space="preserve">also </w:t>
      </w:r>
      <w:r w:rsidR="002D13CB">
        <w:rPr>
          <w:lang w:eastAsia="ja-JP"/>
        </w:rPr>
        <w:t xml:space="preserve">used for critical fallback / failure </w:t>
      </w:r>
      <w:r w:rsidR="00666EF5">
        <w:rPr>
          <w:lang w:eastAsia="ja-JP"/>
        </w:rPr>
        <w:t>(e.g.</w:t>
      </w:r>
      <w:r w:rsidR="00145E53">
        <w:rPr>
          <w:lang w:eastAsia="ja-JP"/>
        </w:rPr>
        <w:t>,</w:t>
      </w:r>
      <w:r w:rsidR="00666EF5">
        <w:rPr>
          <w:lang w:eastAsia="ja-JP"/>
        </w:rPr>
        <w:t xml:space="preserve"> </w:t>
      </w:r>
      <w:r w:rsidR="00145E53">
        <w:rPr>
          <w:lang w:eastAsia="ja-JP"/>
        </w:rPr>
        <w:t>beam failure recovery) events in connected mode</w:t>
      </w:r>
      <w:r w:rsidR="002D13CB">
        <w:rPr>
          <w:lang w:eastAsia="ja-JP"/>
        </w:rPr>
        <w:t>. This implies that the gNB regularly monitors ROs for Msg1</w:t>
      </w:r>
      <w:r>
        <w:rPr>
          <w:lang w:eastAsia="ja-JP"/>
        </w:rPr>
        <w:t>/MsgA</w:t>
      </w:r>
      <w:r w:rsidR="002D13CB">
        <w:rPr>
          <w:lang w:eastAsia="ja-JP"/>
        </w:rPr>
        <w:t xml:space="preserve"> for these </w:t>
      </w:r>
      <w:r w:rsidR="00145E53">
        <w:rPr>
          <w:lang w:eastAsia="ja-JP"/>
        </w:rPr>
        <w:t>aperiodic events</w:t>
      </w:r>
      <w:r>
        <w:rPr>
          <w:lang w:eastAsia="ja-JP"/>
        </w:rPr>
        <w:t>. Supporting separate ROs for both RedCap and non-RedCap UEs significantly increases system overhead</w:t>
      </w:r>
      <w:r w:rsidR="00145E53">
        <w:rPr>
          <w:lang w:eastAsia="ja-JP"/>
        </w:rPr>
        <w:t xml:space="preserve"> in terms of the resources used</w:t>
      </w:r>
      <w:r>
        <w:rPr>
          <w:lang w:eastAsia="ja-JP"/>
        </w:rPr>
        <w:t xml:space="preserve">. In </w:t>
      </w:r>
      <w:r w:rsidR="000D710A">
        <w:rPr>
          <w:lang w:eastAsia="ja-JP"/>
        </w:rPr>
        <w:t>looking at the MAC procedures</w:t>
      </w:r>
      <w:r w:rsidR="00145E53">
        <w:rPr>
          <w:lang w:eastAsia="ja-JP"/>
        </w:rPr>
        <w:t xml:space="preserve"> for RACH</w:t>
      </w:r>
      <w:r w:rsidR="000D710A">
        <w:rPr>
          <w:lang w:eastAsia="ja-JP"/>
        </w:rPr>
        <w:t>, other uplink transmissions are suspended when Msg1 is transmitted.</w:t>
      </w:r>
      <w:r w:rsidR="00AA7A1D">
        <w:rPr>
          <w:lang w:eastAsia="ja-JP"/>
        </w:rPr>
        <w:t xml:space="preserve"> </w:t>
      </w:r>
      <w:r w:rsidR="000D710A">
        <w:rPr>
          <w:lang w:eastAsia="ja-JP"/>
        </w:rPr>
        <w:t>Once the transmission of Msg1 is completed, the UE no longer needs the resources for RO and can use the other resources within its BWP.</w:t>
      </w:r>
    </w:p>
    <w:p w14:paraId="49DC0005" w14:textId="77777777" w:rsidR="00145E53" w:rsidRDefault="00145E53" w:rsidP="000B7A65">
      <w:pPr>
        <w:rPr>
          <w:lang w:eastAsia="ja-JP"/>
        </w:rPr>
      </w:pPr>
      <w:r>
        <w:rPr>
          <w:lang w:eastAsia="ja-JP"/>
        </w:rPr>
        <w:t>From these two observations, it is possible to consider RO and PUSCH/PUCCH separately.</w:t>
      </w:r>
    </w:p>
    <w:p w14:paraId="4955DF52" w14:textId="17F9984F" w:rsidR="00C215F2" w:rsidRDefault="00AA7A1D" w:rsidP="000B7A65">
      <w:pPr>
        <w:rPr>
          <w:lang w:eastAsia="ja-JP"/>
        </w:rPr>
      </w:pPr>
      <w:r>
        <w:rPr>
          <w:lang w:eastAsia="ja-JP"/>
        </w:rPr>
        <w:t xml:space="preserve">If a separate UL BWP for RedCap UEs is supported, it is possible that the ROs can be the same or a subset of the RO for non-RedCap UEs </w:t>
      </w:r>
      <w:r w:rsidR="0025340A">
        <w:rPr>
          <w:lang w:eastAsia="ja-JP"/>
        </w:rPr>
        <w:t>when</w:t>
      </w:r>
      <w:r>
        <w:rPr>
          <w:lang w:eastAsia="ja-JP"/>
        </w:rPr>
        <w:t xml:space="preserve"> the separate UL BWP for RedCap overlap</w:t>
      </w:r>
      <w:r w:rsidR="00145E53">
        <w:rPr>
          <w:lang w:eastAsia="ja-JP"/>
        </w:rPr>
        <w:t>s</w:t>
      </w:r>
      <w:r>
        <w:rPr>
          <w:lang w:eastAsia="ja-JP"/>
        </w:rPr>
        <w:t xml:space="preserve"> with the RO region for non-RedCap UEs. </w:t>
      </w:r>
      <w:r w:rsidR="00C215F2">
        <w:rPr>
          <w:lang w:eastAsia="ja-JP"/>
        </w:rPr>
        <w:t xml:space="preserve">This allows </w:t>
      </w:r>
      <w:r w:rsidR="0025340A">
        <w:rPr>
          <w:lang w:eastAsia="ja-JP"/>
        </w:rPr>
        <w:t xml:space="preserve">for </w:t>
      </w:r>
      <w:r w:rsidR="00C215F2">
        <w:rPr>
          <w:lang w:eastAsia="ja-JP"/>
        </w:rPr>
        <w:t xml:space="preserve">resource sharing. </w:t>
      </w:r>
    </w:p>
    <w:p w14:paraId="62209CA3" w14:textId="7F73CB1B" w:rsidR="00AA7A1D" w:rsidRDefault="00AA7A1D" w:rsidP="000B7A65">
      <w:pPr>
        <w:rPr>
          <w:lang w:eastAsia="ja-JP"/>
        </w:rPr>
      </w:pPr>
      <w:r>
        <w:rPr>
          <w:lang w:eastAsia="ja-JP"/>
        </w:rPr>
        <w:t xml:space="preserve">Alternatively, </w:t>
      </w:r>
      <w:r w:rsidR="00C215F2">
        <w:rPr>
          <w:lang w:eastAsia="ja-JP"/>
        </w:rPr>
        <w:t xml:space="preserve">since </w:t>
      </w:r>
      <w:r>
        <w:rPr>
          <w:lang w:eastAsia="ja-JP"/>
        </w:rPr>
        <w:t xml:space="preserve">the use of RO is momentary, a RedCap UE </w:t>
      </w:r>
      <w:r w:rsidR="0025340A">
        <w:rPr>
          <w:lang w:eastAsia="ja-JP"/>
        </w:rPr>
        <w:t xml:space="preserve">can </w:t>
      </w:r>
      <w:r w:rsidR="00C215F2">
        <w:rPr>
          <w:lang w:eastAsia="ja-JP"/>
        </w:rPr>
        <w:t>share certain ROs used by non-RedCap UEs as needed and then resume back to operating on the separate UL BWP. Rules</w:t>
      </w:r>
      <w:r w:rsidR="00ED3B48">
        <w:rPr>
          <w:lang w:eastAsia="ja-JP"/>
        </w:rPr>
        <w:t xml:space="preserve"> and parameters</w:t>
      </w:r>
      <w:r w:rsidR="00C215F2">
        <w:rPr>
          <w:lang w:eastAsia="ja-JP"/>
        </w:rPr>
        <w:t xml:space="preserve"> based on the location of the separate UL BWP and the shared RO can be created, such as when to switch </w:t>
      </w:r>
      <w:r w:rsidR="00145E53">
        <w:rPr>
          <w:lang w:eastAsia="ja-JP"/>
        </w:rPr>
        <w:t xml:space="preserve">from using the BWP for PUSCH/PUCCH </w:t>
      </w:r>
      <w:r w:rsidR="00D40F5E">
        <w:rPr>
          <w:lang w:eastAsia="ja-JP"/>
        </w:rPr>
        <w:t xml:space="preserve">to a BWP </w:t>
      </w:r>
      <w:r w:rsidR="00C215F2">
        <w:rPr>
          <w:lang w:eastAsia="ja-JP"/>
        </w:rPr>
        <w:t xml:space="preserve">for the transmission of Msg1. In addition, </w:t>
      </w:r>
      <w:r w:rsidR="00ED3B48">
        <w:rPr>
          <w:lang w:eastAsia="ja-JP"/>
        </w:rPr>
        <w:t xml:space="preserve">since parameters are provided for RACH, </w:t>
      </w:r>
      <w:r w:rsidR="00D40F5E">
        <w:rPr>
          <w:lang w:eastAsia="ja-JP"/>
        </w:rPr>
        <w:t>these parameters</w:t>
      </w:r>
      <w:r w:rsidR="00ED3B48">
        <w:rPr>
          <w:lang w:eastAsia="ja-JP"/>
        </w:rPr>
        <w:t xml:space="preserve"> </w:t>
      </w:r>
      <w:r w:rsidR="00D40F5E">
        <w:rPr>
          <w:lang w:eastAsia="ja-JP"/>
        </w:rPr>
        <w:t>can establish</w:t>
      </w:r>
      <w:r w:rsidR="00ED3B48">
        <w:rPr>
          <w:lang w:eastAsia="ja-JP"/>
        </w:rPr>
        <w:t xml:space="preserve"> a BWP for </w:t>
      </w:r>
      <w:r w:rsidR="00D40F5E">
        <w:rPr>
          <w:lang w:eastAsia="ja-JP"/>
        </w:rPr>
        <w:t>ROs</w:t>
      </w:r>
      <w:r w:rsidR="00ED3B48">
        <w:rPr>
          <w:lang w:eastAsia="ja-JP"/>
        </w:rPr>
        <w:t xml:space="preserve">. Having such a </w:t>
      </w:r>
      <w:r w:rsidR="0025340A">
        <w:rPr>
          <w:lang w:eastAsia="ja-JP"/>
        </w:rPr>
        <w:t xml:space="preserve">different </w:t>
      </w:r>
      <w:r w:rsidR="00ED3B48">
        <w:rPr>
          <w:lang w:eastAsia="ja-JP"/>
        </w:rPr>
        <w:t xml:space="preserve">BWP </w:t>
      </w:r>
      <w:r w:rsidR="0025340A">
        <w:rPr>
          <w:lang w:eastAsia="ja-JP"/>
        </w:rPr>
        <w:t>for R</w:t>
      </w:r>
      <w:r w:rsidR="00D40F5E">
        <w:rPr>
          <w:lang w:eastAsia="ja-JP"/>
        </w:rPr>
        <w:t>Os</w:t>
      </w:r>
      <w:r w:rsidR="0025340A">
        <w:rPr>
          <w:lang w:eastAsia="ja-JP"/>
        </w:rPr>
        <w:t xml:space="preserve"> </w:t>
      </w:r>
      <w:r w:rsidR="00ED3B48">
        <w:rPr>
          <w:lang w:eastAsia="ja-JP"/>
        </w:rPr>
        <w:t>may also allow relax the restriction for center frequency alignment for TDD.</w:t>
      </w:r>
    </w:p>
    <w:p w14:paraId="57321B6C" w14:textId="3C28B5D7" w:rsidR="00D40F5E" w:rsidRDefault="00D40F5E" w:rsidP="000B7A65">
      <w:pPr>
        <w:rPr>
          <w:lang w:eastAsia="ja-JP"/>
        </w:rPr>
      </w:pPr>
      <w:r>
        <w:rPr>
          <w:lang w:eastAsia="ja-JP"/>
        </w:rPr>
        <w:t>Based on these observations regarding RACH and the relationship to the working assumptions</w:t>
      </w:r>
      <w:r w:rsidR="00DD05AF">
        <w:rPr>
          <w:lang w:eastAsia="ja-JP"/>
        </w:rPr>
        <w:t xml:space="preserve">, there can be two </w:t>
      </w:r>
      <w:r w:rsidR="002E685D">
        <w:rPr>
          <w:lang w:eastAsia="ja-JP"/>
        </w:rPr>
        <w:t>approaches</w:t>
      </w:r>
      <w:r w:rsidR="00DD05AF">
        <w:rPr>
          <w:lang w:eastAsia="ja-JP"/>
        </w:rPr>
        <w:t xml:space="preserve"> to address the working assumptions:</w:t>
      </w:r>
    </w:p>
    <w:p w14:paraId="37C4A8DF" w14:textId="4B68D814" w:rsidR="00D40F5E" w:rsidRDefault="00D40F5E" w:rsidP="00142820">
      <w:pPr>
        <w:pStyle w:val="ListParagraph"/>
        <w:numPr>
          <w:ilvl w:val="0"/>
          <w:numId w:val="15"/>
        </w:numPr>
        <w:rPr>
          <w:lang w:eastAsia="ja-JP"/>
        </w:rPr>
      </w:pPr>
      <w:r>
        <w:rPr>
          <w:lang w:eastAsia="ja-JP"/>
        </w:rPr>
        <w:t xml:space="preserve">If the separate initial UL BWP mentioned in both working assumptions </w:t>
      </w:r>
      <w:r w:rsidR="00417A9F">
        <w:rPr>
          <w:lang w:eastAsia="ja-JP"/>
        </w:rPr>
        <w:t xml:space="preserve">can be </w:t>
      </w:r>
      <w:r>
        <w:rPr>
          <w:lang w:eastAsia="ja-JP"/>
        </w:rPr>
        <w:t xml:space="preserve">the </w:t>
      </w:r>
      <w:r w:rsidRPr="00D343D9">
        <w:rPr>
          <w:i/>
          <w:iCs/>
          <w:lang w:eastAsia="ja-JP"/>
        </w:rPr>
        <w:t>same</w:t>
      </w:r>
      <w:r>
        <w:rPr>
          <w:lang w:eastAsia="ja-JP"/>
        </w:rPr>
        <w:t xml:space="preserve">, then both working assumptions need to be agreed together (with necessary clarifications). </w:t>
      </w:r>
    </w:p>
    <w:p w14:paraId="0E8F406A" w14:textId="3D425975" w:rsidR="00D40F5E" w:rsidRDefault="00D40F5E" w:rsidP="00142820">
      <w:pPr>
        <w:pStyle w:val="ListParagraph"/>
        <w:numPr>
          <w:ilvl w:val="0"/>
          <w:numId w:val="15"/>
        </w:numPr>
        <w:rPr>
          <w:lang w:eastAsia="ja-JP"/>
        </w:rPr>
      </w:pPr>
      <w:r>
        <w:rPr>
          <w:lang w:eastAsia="ja-JP"/>
        </w:rPr>
        <w:t xml:space="preserve">If the separate initial UL BWP mentioned in the working assumptions can be </w:t>
      </w:r>
      <w:r w:rsidRPr="00D343D9">
        <w:rPr>
          <w:i/>
          <w:iCs/>
          <w:lang w:eastAsia="ja-JP"/>
        </w:rPr>
        <w:t>different</w:t>
      </w:r>
      <w:r>
        <w:rPr>
          <w:lang w:eastAsia="ja-JP"/>
        </w:rPr>
        <w:t>, the working assumptions can be individually agreed (with necessary clarifications) along with a statement that the initial UL BWP for RO can be different than for PUSCH/PUCCH.</w:t>
      </w:r>
    </w:p>
    <w:p w14:paraId="5DAB7ADF" w14:textId="7ABA1ABD" w:rsidR="00B93779" w:rsidRDefault="009B4D13" w:rsidP="00D40F5E">
      <w:pPr>
        <w:rPr>
          <w:lang w:eastAsia="ja-JP"/>
        </w:rPr>
      </w:pPr>
      <w:r>
        <w:rPr>
          <w:lang w:eastAsia="ja-JP"/>
        </w:rPr>
        <w:t>T</w:t>
      </w:r>
      <w:r w:rsidR="00D40F5E">
        <w:rPr>
          <w:lang w:eastAsia="ja-JP"/>
        </w:rPr>
        <w:t xml:space="preserve">he necessary </w:t>
      </w:r>
      <w:r w:rsidR="00DD05AF">
        <w:rPr>
          <w:lang w:eastAsia="ja-JP"/>
        </w:rPr>
        <w:t>clarifications</w:t>
      </w:r>
      <w:r w:rsidR="00D40F5E">
        <w:rPr>
          <w:lang w:eastAsia="ja-JP"/>
        </w:rPr>
        <w:t xml:space="preserve"> depend on which approach is taken</w:t>
      </w:r>
      <w:r w:rsidR="00342AC6">
        <w:rPr>
          <w:lang w:eastAsia="ja-JP"/>
        </w:rPr>
        <w:t xml:space="preserve">. For example, if the separate initial UL BWP is the </w:t>
      </w:r>
      <w:r w:rsidR="00342AC6" w:rsidRPr="00E65A09">
        <w:rPr>
          <w:i/>
          <w:iCs/>
          <w:lang w:eastAsia="ja-JP"/>
        </w:rPr>
        <w:t>same</w:t>
      </w:r>
      <w:r w:rsidR="00342AC6">
        <w:rPr>
          <w:lang w:eastAsia="ja-JP"/>
        </w:rPr>
        <w:t xml:space="preserve"> in both working assumptions, then </w:t>
      </w:r>
      <w:r w:rsidR="00B93779">
        <w:rPr>
          <w:lang w:eastAsia="ja-JP"/>
        </w:rPr>
        <w:t xml:space="preserve">some </w:t>
      </w:r>
      <w:r w:rsidR="001251AE">
        <w:rPr>
          <w:lang w:eastAsia="ja-JP"/>
        </w:rPr>
        <w:t xml:space="preserve">additional </w:t>
      </w:r>
      <w:r w:rsidR="00B93779">
        <w:rPr>
          <w:lang w:eastAsia="ja-JP"/>
        </w:rPr>
        <w:t xml:space="preserve">conditions </w:t>
      </w:r>
      <w:r w:rsidR="001251AE">
        <w:rPr>
          <w:lang w:eastAsia="ja-JP"/>
        </w:rPr>
        <w:t>are needed</w:t>
      </w:r>
      <w:r w:rsidR="00B93779">
        <w:rPr>
          <w:lang w:eastAsia="ja-JP"/>
        </w:rPr>
        <w:t>:</w:t>
      </w:r>
      <w:r w:rsidR="00C30094">
        <w:rPr>
          <w:lang w:eastAsia="ja-JP"/>
        </w:rPr>
        <w:t xml:space="preserve"> </w:t>
      </w:r>
      <w:r w:rsidR="003D12D0">
        <w:rPr>
          <w:lang w:eastAsia="ja-JP"/>
        </w:rPr>
        <w:t xml:space="preserve">the RO locations do not need to be within the frequency span of the PUSCH/PUCCH. This allows, for example, the RedCap and non-RedCap UEs to share ROs in </w:t>
      </w:r>
      <w:r w:rsidR="00E65A09">
        <w:rPr>
          <w:lang w:eastAsia="ja-JP"/>
        </w:rPr>
        <w:t>e.g.,</w:t>
      </w:r>
      <w:r w:rsidR="003D12D0">
        <w:rPr>
          <w:lang w:eastAsia="ja-JP"/>
        </w:rPr>
        <w:t xml:space="preserve"> the middle of the non-RedCap BWP</w:t>
      </w:r>
      <w:r w:rsidR="001251AE">
        <w:rPr>
          <w:lang w:eastAsia="ja-JP"/>
        </w:rPr>
        <w:t>,</w:t>
      </w:r>
      <w:r w:rsidR="003D12D0">
        <w:rPr>
          <w:lang w:eastAsia="ja-JP"/>
        </w:rPr>
        <w:t xml:space="preserve"> and then to have the PUSCH/PUCCH for the RedCap UEs located on e.g</w:t>
      </w:r>
      <w:r w:rsidR="00D343D9">
        <w:rPr>
          <w:lang w:eastAsia="ja-JP"/>
        </w:rPr>
        <w:t>.,</w:t>
      </w:r>
      <w:r w:rsidR="003D12D0">
        <w:rPr>
          <w:lang w:eastAsia="ja-JP"/>
        </w:rPr>
        <w:t xml:space="preserve"> the edge of the non-RedCap UE BWP</w:t>
      </w:r>
      <w:r w:rsidR="00E65A09">
        <w:rPr>
          <w:lang w:eastAsia="ja-JP"/>
        </w:rPr>
        <w:t xml:space="preserve">. </w:t>
      </w:r>
      <w:r w:rsidR="00B93779">
        <w:rPr>
          <w:lang w:eastAsia="ja-JP"/>
        </w:rPr>
        <w:t>In addition, f</w:t>
      </w:r>
      <w:r w:rsidR="00342AC6">
        <w:rPr>
          <w:lang w:eastAsia="ja-JP"/>
        </w:rPr>
        <w:t xml:space="preserve">or TDD deployments, </w:t>
      </w:r>
      <w:r w:rsidR="007065AE">
        <w:rPr>
          <w:lang w:eastAsia="ja-JP"/>
        </w:rPr>
        <w:t xml:space="preserve">relaxation agreements would be needed if </w:t>
      </w:r>
      <w:r w:rsidR="00342AC6">
        <w:rPr>
          <w:lang w:eastAsia="ja-JP"/>
        </w:rPr>
        <w:t xml:space="preserve">the center frequency of the initial DL BWP for RedCap UE </w:t>
      </w:r>
      <w:r w:rsidR="007065AE">
        <w:rPr>
          <w:lang w:eastAsia="ja-JP"/>
        </w:rPr>
        <w:t xml:space="preserve">is not desired to </w:t>
      </w:r>
      <w:r w:rsidR="00B93779">
        <w:rPr>
          <w:lang w:eastAsia="ja-JP"/>
        </w:rPr>
        <w:t xml:space="preserve">be </w:t>
      </w:r>
      <w:r w:rsidR="00342AC6">
        <w:rPr>
          <w:lang w:eastAsia="ja-JP"/>
        </w:rPr>
        <w:t xml:space="preserve">aligned to this </w:t>
      </w:r>
      <w:r w:rsidR="00B93779">
        <w:rPr>
          <w:lang w:eastAsia="ja-JP"/>
        </w:rPr>
        <w:t>separate initial UL BWP</w:t>
      </w:r>
      <w:r w:rsidR="007065AE">
        <w:rPr>
          <w:lang w:eastAsia="ja-JP"/>
        </w:rPr>
        <w:t xml:space="preserve">. </w:t>
      </w:r>
    </w:p>
    <w:p w14:paraId="28A6EE56" w14:textId="00A3F9F6" w:rsidR="00D40F5E" w:rsidRDefault="00B93779" w:rsidP="00D40F5E">
      <w:pPr>
        <w:rPr>
          <w:lang w:eastAsia="ja-JP"/>
        </w:rPr>
      </w:pPr>
      <w:r>
        <w:rPr>
          <w:lang w:eastAsia="ja-JP"/>
        </w:rPr>
        <w:lastRenderedPageBreak/>
        <w:t>If the separate initial BWP</w:t>
      </w:r>
      <w:r w:rsidR="00E1057E">
        <w:rPr>
          <w:lang w:eastAsia="ja-JP"/>
        </w:rPr>
        <w:t>s</w:t>
      </w:r>
      <w:r>
        <w:rPr>
          <w:lang w:eastAsia="ja-JP"/>
        </w:rPr>
        <w:t xml:space="preserve"> </w:t>
      </w:r>
      <w:r w:rsidR="007065AE">
        <w:rPr>
          <w:lang w:eastAsia="ja-JP"/>
        </w:rPr>
        <w:t>for the RO and PUSCH/P</w:t>
      </w:r>
      <w:r w:rsidR="00717E40">
        <w:rPr>
          <w:lang w:eastAsia="ja-JP"/>
        </w:rPr>
        <w:t>UC</w:t>
      </w:r>
      <w:r w:rsidR="007065AE">
        <w:rPr>
          <w:lang w:eastAsia="ja-JP"/>
        </w:rPr>
        <w:t xml:space="preserve">CH can be </w:t>
      </w:r>
      <w:r w:rsidRPr="00E65A09">
        <w:rPr>
          <w:i/>
          <w:iCs/>
          <w:lang w:eastAsia="ja-JP"/>
        </w:rPr>
        <w:t>different</w:t>
      </w:r>
      <w:r>
        <w:rPr>
          <w:lang w:eastAsia="ja-JP"/>
        </w:rPr>
        <w:t xml:space="preserve">, then no additional conditions </w:t>
      </w:r>
      <w:r w:rsidR="007065AE">
        <w:rPr>
          <w:lang w:eastAsia="ja-JP"/>
        </w:rPr>
        <w:t>are</w:t>
      </w:r>
      <w:r>
        <w:rPr>
          <w:lang w:eastAsia="ja-JP"/>
        </w:rPr>
        <w:t xml:space="preserve"> needed</w:t>
      </w:r>
      <w:r w:rsidR="007065AE">
        <w:rPr>
          <w:lang w:eastAsia="ja-JP"/>
        </w:rPr>
        <w:t xml:space="preserve"> for either the RO locations not in the span of PUSCH/PUCCH or for TDD relaxation</w:t>
      </w:r>
      <w:r w:rsidR="001251AE">
        <w:rPr>
          <w:lang w:eastAsia="ja-JP"/>
        </w:rPr>
        <w:t xml:space="preserve"> (as the different separate BWPs can have different</w:t>
      </w:r>
      <w:r w:rsidR="001251AE" w:rsidRPr="00FC56F8">
        <w:rPr>
          <w:lang w:eastAsia="ja-JP"/>
        </w:rPr>
        <w:t xml:space="preserve"> </w:t>
      </w:r>
      <w:r w:rsidR="001251AE" w:rsidRPr="00FC56F8">
        <w:rPr>
          <w:i/>
          <w:iCs/>
          <w:lang w:eastAsia="ja-JP"/>
        </w:rPr>
        <w:t>bwp-</w:t>
      </w:r>
      <w:r w:rsidR="00E65A09" w:rsidRPr="00FC56F8">
        <w:rPr>
          <w:i/>
          <w:iCs/>
          <w:lang w:eastAsia="ja-JP"/>
        </w:rPr>
        <w:t>Id</w:t>
      </w:r>
      <w:r w:rsidR="00E65A09">
        <w:rPr>
          <w:lang w:eastAsia="ja-JP"/>
        </w:rPr>
        <w:t>)</w:t>
      </w:r>
      <w:r>
        <w:rPr>
          <w:lang w:eastAsia="ja-JP"/>
        </w:rPr>
        <w:t>.</w:t>
      </w:r>
    </w:p>
    <w:p w14:paraId="39E0E35D" w14:textId="3202525B" w:rsidR="0094634F" w:rsidRPr="00142820" w:rsidRDefault="0094634F" w:rsidP="000B7A65">
      <w:pPr>
        <w:rPr>
          <w:b/>
          <w:bCs/>
          <w:i/>
          <w:iCs/>
          <w:highlight w:val="yellow"/>
          <w:lang w:eastAsia="ja-JP"/>
        </w:rPr>
      </w:pPr>
      <w:r w:rsidRPr="00142820">
        <w:rPr>
          <w:b/>
          <w:bCs/>
          <w:i/>
          <w:iCs/>
          <w:lang w:eastAsia="ja-JP"/>
        </w:rPr>
        <w:t xml:space="preserve">Proposal </w:t>
      </w:r>
      <w:r w:rsidR="00D343D9">
        <w:rPr>
          <w:b/>
          <w:bCs/>
          <w:i/>
          <w:iCs/>
          <w:lang w:eastAsia="ja-JP"/>
        </w:rPr>
        <w:t>5</w:t>
      </w:r>
      <w:r w:rsidRPr="00142820">
        <w:rPr>
          <w:b/>
          <w:bCs/>
          <w:i/>
          <w:iCs/>
          <w:lang w:eastAsia="ja-JP"/>
        </w:rPr>
        <w:t>:</w:t>
      </w:r>
      <w:r w:rsidR="00E1057E" w:rsidRPr="00E1057E">
        <w:rPr>
          <w:b/>
          <w:bCs/>
          <w:i/>
          <w:iCs/>
          <w:lang w:eastAsia="ja-JP"/>
        </w:rPr>
        <w:t xml:space="preserve"> </w:t>
      </w:r>
      <w:r w:rsidR="00E1057E">
        <w:rPr>
          <w:b/>
          <w:bCs/>
          <w:i/>
          <w:iCs/>
          <w:lang w:eastAsia="ja-JP"/>
        </w:rPr>
        <w:t>Before any agreements,</w:t>
      </w:r>
      <w:r w:rsidRPr="00142820">
        <w:rPr>
          <w:b/>
          <w:bCs/>
          <w:i/>
          <w:iCs/>
          <w:lang w:eastAsia="ja-JP"/>
        </w:rPr>
        <w:t xml:space="preserve"> </w:t>
      </w:r>
      <w:r w:rsidR="00E1057E">
        <w:rPr>
          <w:b/>
          <w:bCs/>
          <w:i/>
          <w:iCs/>
          <w:lang w:eastAsia="ja-JP"/>
        </w:rPr>
        <w:t>t</w:t>
      </w:r>
      <w:r w:rsidR="00B93779">
        <w:rPr>
          <w:b/>
          <w:bCs/>
          <w:i/>
          <w:iCs/>
          <w:lang w:eastAsia="ja-JP"/>
        </w:rPr>
        <w:t>he re</w:t>
      </w:r>
      <w:r w:rsidR="00E1057E">
        <w:rPr>
          <w:b/>
          <w:bCs/>
          <w:i/>
          <w:iCs/>
          <w:lang w:eastAsia="ja-JP"/>
        </w:rPr>
        <w:t>lationship between both working assumptions regarding separate initial UL BWP for RedCap UEs and RO sharing between RedCap and non-RedCap UEs must be clarified.</w:t>
      </w:r>
    </w:p>
    <w:p w14:paraId="7303945F" w14:textId="77777777" w:rsidR="00FC04A8" w:rsidRPr="005270F1" w:rsidRDefault="00FC04A8" w:rsidP="00FC04A8">
      <w:pPr>
        <w:rPr>
          <w:lang w:eastAsia="ja-JP"/>
        </w:rPr>
      </w:pPr>
    </w:p>
    <w:tbl>
      <w:tblPr>
        <w:tblStyle w:val="TableGrid"/>
        <w:tblW w:w="0" w:type="auto"/>
        <w:tblLook w:val="04A0" w:firstRow="1" w:lastRow="0" w:firstColumn="1" w:lastColumn="0" w:noHBand="0" w:noVBand="1"/>
      </w:tblPr>
      <w:tblGrid>
        <w:gridCol w:w="9307"/>
      </w:tblGrid>
      <w:tr w:rsidR="00FC04A8" w14:paraId="5BBFD6CC" w14:textId="77777777" w:rsidTr="005E3A18">
        <w:tc>
          <w:tcPr>
            <w:tcW w:w="9307" w:type="dxa"/>
          </w:tcPr>
          <w:p w14:paraId="6B5FFA1E" w14:textId="77777777" w:rsidR="00FC04A8" w:rsidRPr="00687804" w:rsidRDefault="00FC04A8" w:rsidP="005E3A18">
            <w:pPr>
              <w:rPr>
                <w:rFonts w:eastAsia="Batang"/>
                <w:sz w:val="20"/>
                <w:szCs w:val="20"/>
              </w:rPr>
            </w:pPr>
            <w:r w:rsidRPr="00687804">
              <w:rPr>
                <w:sz w:val="20"/>
                <w:szCs w:val="20"/>
                <w:highlight w:val="green"/>
              </w:rPr>
              <w:t>Agreements:</w:t>
            </w:r>
          </w:p>
          <w:p w14:paraId="5C0B499B" w14:textId="77777777" w:rsidR="00FC04A8" w:rsidRPr="002C47EA" w:rsidRDefault="00FC04A8" w:rsidP="005E3A18">
            <w:pPr>
              <w:numPr>
                <w:ilvl w:val="0"/>
                <w:numId w:val="13"/>
              </w:numPr>
              <w:autoSpaceDE/>
              <w:autoSpaceDN/>
              <w:adjustRightInd/>
              <w:snapToGrid/>
              <w:spacing w:after="0"/>
              <w:jc w:val="left"/>
              <w:rPr>
                <w:rFonts w:eastAsia="Times New Roman" w:cs="Times"/>
                <w:sz w:val="20"/>
                <w:szCs w:val="20"/>
                <w:lang w:eastAsia="ja-JP"/>
              </w:rPr>
            </w:pPr>
            <w:r w:rsidRPr="002C47EA">
              <w:rPr>
                <w:rFonts w:eastAsia="Times New Roman" w:cs="Times"/>
                <w:sz w:val="20"/>
                <w:szCs w:val="20"/>
                <w:lang w:eastAsia="ja-JP"/>
              </w:rPr>
              <w:t>Both during and after initial access, the scenario where the initial UL BWP for non-RedCap UEs is configured to be wider than the maximum RedCap UE bandwidth is allowed.</w:t>
            </w:r>
          </w:p>
          <w:p w14:paraId="3813B120" w14:textId="77777777" w:rsidR="00FC04A8" w:rsidRPr="002C47EA" w:rsidRDefault="00FC04A8" w:rsidP="005E3A18">
            <w:pPr>
              <w:numPr>
                <w:ilvl w:val="0"/>
                <w:numId w:val="13"/>
              </w:numPr>
              <w:autoSpaceDE/>
              <w:autoSpaceDN/>
              <w:adjustRightInd/>
              <w:snapToGrid/>
              <w:spacing w:after="0"/>
              <w:jc w:val="left"/>
              <w:rPr>
                <w:rFonts w:eastAsia="Times New Roman" w:cs="Times"/>
                <w:sz w:val="20"/>
                <w:szCs w:val="20"/>
                <w:lang w:eastAsia="ja-JP"/>
              </w:rPr>
            </w:pPr>
            <w:r w:rsidRPr="002C47EA">
              <w:rPr>
                <w:rFonts w:eastAsia="Times New Roman" w:cs="Times"/>
                <w:sz w:val="20"/>
                <w:szCs w:val="20"/>
                <w:highlight w:val="darkYellow"/>
                <w:lang w:eastAsia="ja-JP"/>
              </w:rPr>
              <w:t>Working assumption</w:t>
            </w:r>
            <w:r w:rsidRPr="002C47EA">
              <w:rPr>
                <w:rFonts w:eastAsia="Times New Roman" w:cs="Times"/>
                <w:sz w:val="20"/>
                <w:szCs w:val="20"/>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667EEF17" w14:textId="77777777" w:rsidR="00FC04A8" w:rsidRPr="002C47EA" w:rsidRDefault="00FC04A8" w:rsidP="005E3A18">
            <w:pPr>
              <w:numPr>
                <w:ilvl w:val="1"/>
                <w:numId w:val="13"/>
              </w:numPr>
              <w:autoSpaceDE/>
              <w:autoSpaceDN/>
              <w:adjustRightInd/>
              <w:snapToGrid/>
              <w:spacing w:after="0"/>
              <w:jc w:val="left"/>
              <w:rPr>
                <w:rFonts w:eastAsia="Times New Roman" w:cs="Times"/>
                <w:sz w:val="20"/>
                <w:szCs w:val="20"/>
                <w:lang w:eastAsia="ja-JP"/>
              </w:rPr>
            </w:pPr>
            <w:r w:rsidRPr="002C47EA">
              <w:rPr>
                <w:rFonts w:eastAsia="Times New Roman" w:cs="Times"/>
                <w:sz w:val="20"/>
                <w:szCs w:val="20"/>
                <w:lang w:eastAsia="ja-JP"/>
              </w:rPr>
              <w:t>FFS: whether/how to avoid or minimize PUSCH resource fragmentation due to PUCCH transmission for the above case</w:t>
            </w:r>
          </w:p>
          <w:p w14:paraId="2EA736B9" w14:textId="77777777" w:rsidR="00FC04A8" w:rsidRPr="002C47EA" w:rsidRDefault="00FC04A8" w:rsidP="005E3A18">
            <w:pPr>
              <w:numPr>
                <w:ilvl w:val="1"/>
                <w:numId w:val="13"/>
              </w:numPr>
              <w:autoSpaceDE/>
              <w:autoSpaceDN/>
              <w:adjustRightInd/>
              <w:snapToGrid/>
              <w:spacing w:after="0"/>
              <w:jc w:val="left"/>
              <w:rPr>
                <w:rFonts w:eastAsia="Times New Roman" w:cs="Times"/>
                <w:sz w:val="20"/>
                <w:szCs w:val="20"/>
                <w:lang w:eastAsia="ja-JP"/>
              </w:rPr>
            </w:pPr>
            <w:r w:rsidRPr="002C47EA">
              <w:rPr>
                <w:rFonts w:eastAsia="Times New Roman" w:cs="Times"/>
                <w:sz w:val="20"/>
                <w:szCs w:val="20"/>
                <w:lang w:eastAsia="ja-JP"/>
              </w:rPr>
              <w:t xml:space="preserve">Support the case when the centre frequency is assumed to be the same for the initial DL and UL BWPs in TDD. </w:t>
            </w:r>
          </w:p>
          <w:p w14:paraId="5FEB2A3A" w14:textId="77777777" w:rsidR="00FC04A8" w:rsidRPr="00687804" w:rsidRDefault="00FC04A8" w:rsidP="005E3A18">
            <w:pPr>
              <w:numPr>
                <w:ilvl w:val="2"/>
                <w:numId w:val="13"/>
              </w:numPr>
              <w:autoSpaceDE/>
              <w:autoSpaceDN/>
              <w:adjustRightInd/>
              <w:snapToGrid/>
              <w:spacing w:after="0"/>
              <w:jc w:val="left"/>
              <w:rPr>
                <w:rFonts w:eastAsia="Times New Roman" w:cs="Times"/>
                <w:sz w:val="20"/>
                <w:szCs w:val="20"/>
                <w:lang w:eastAsia="ja-JP"/>
              </w:rPr>
            </w:pPr>
            <w:r w:rsidRPr="002C47EA">
              <w:rPr>
                <w:rFonts w:eastAsia="Times New Roman" w:cs="Times"/>
                <w:sz w:val="20"/>
                <w:szCs w:val="20"/>
                <w:lang w:eastAsia="ja-JP"/>
              </w:rPr>
              <w:t xml:space="preserve">FFS whether or not to additionally support the case when the centre frequency is different; if so, how to minimize centre frequency retuning  </w:t>
            </w:r>
          </w:p>
        </w:tc>
      </w:tr>
    </w:tbl>
    <w:p w14:paraId="69A0473E" w14:textId="0BB5999F" w:rsidR="00FC04A8" w:rsidRDefault="00FC04A8" w:rsidP="00FC04A8">
      <w:pPr>
        <w:rPr>
          <w:rFonts w:eastAsia="Yu Mincho"/>
          <w:bCs/>
          <w:iCs/>
          <w:lang w:eastAsia="ja-JP"/>
        </w:rPr>
      </w:pPr>
    </w:p>
    <w:p w14:paraId="2228A903" w14:textId="45BEDED4" w:rsidR="00AF13AC" w:rsidRDefault="00192217" w:rsidP="00FC04A8">
      <w:pPr>
        <w:rPr>
          <w:rFonts w:eastAsia="Yu Mincho"/>
          <w:bCs/>
          <w:iCs/>
          <w:lang w:eastAsia="ja-JP"/>
        </w:rPr>
      </w:pPr>
      <w:r>
        <w:rPr>
          <w:rFonts w:eastAsia="Yu Mincho"/>
          <w:bCs/>
          <w:iCs/>
          <w:lang w:eastAsia="ja-JP"/>
        </w:rPr>
        <w:t xml:space="preserve">This working assumption is how to support TDD and </w:t>
      </w:r>
      <w:r w:rsidR="00884A70">
        <w:rPr>
          <w:rFonts w:eastAsia="Yu Mincho"/>
          <w:bCs/>
          <w:iCs/>
          <w:lang w:eastAsia="ja-JP"/>
        </w:rPr>
        <w:t xml:space="preserve">the </w:t>
      </w:r>
      <w:r>
        <w:rPr>
          <w:rFonts w:eastAsia="Yu Mincho"/>
          <w:bCs/>
          <w:iCs/>
          <w:lang w:eastAsia="ja-JP"/>
        </w:rPr>
        <w:t>requirement about center frequency alignment.</w:t>
      </w:r>
      <w:r w:rsidR="00884A70">
        <w:rPr>
          <w:rFonts w:eastAsia="Yu Mincho"/>
          <w:bCs/>
          <w:iCs/>
          <w:lang w:eastAsia="ja-JP"/>
        </w:rPr>
        <w:t xml:space="preserve"> One observation is that the SSB is located on a sync raster</w:t>
      </w:r>
      <w:r w:rsidR="00E61775">
        <w:rPr>
          <w:rFonts w:eastAsia="Yu Mincho"/>
          <w:bCs/>
          <w:iCs/>
          <w:lang w:eastAsia="ja-JP"/>
        </w:rPr>
        <w:t>,</w:t>
      </w:r>
      <w:r w:rsidR="00884A70">
        <w:rPr>
          <w:rFonts w:eastAsia="Yu Mincho"/>
          <w:bCs/>
          <w:iCs/>
          <w:lang w:eastAsia="ja-JP"/>
        </w:rPr>
        <w:t xml:space="preserve"> and the location of the raster can be anywhere within the RF channel (</w:t>
      </w:r>
      <w:r w:rsidR="00E74595">
        <w:rPr>
          <w:rFonts w:eastAsia="Yu Mincho"/>
          <w:bCs/>
          <w:iCs/>
          <w:lang w:eastAsia="ja-JP"/>
        </w:rPr>
        <w:t xml:space="preserve">e.g., </w:t>
      </w:r>
      <w:r w:rsidR="00884A70">
        <w:rPr>
          <w:rFonts w:eastAsia="Yu Mincho"/>
          <w:bCs/>
          <w:iCs/>
          <w:lang w:eastAsia="ja-JP"/>
        </w:rPr>
        <w:t xml:space="preserve">near the center, edges, </w:t>
      </w:r>
      <w:r w:rsidR="00E61775">
        <w:rPr>
          <w:rFonts w:eastAsia="Yu Mincho"/>
          <w:bCs/>
          <w:iCs/>
          <w:lang w:eastAsia="ja-JP"/>
        </w:rPr>
        <w:t>at 1/4</w:t>
      </w:r>
      <w:r w:rsidR="00E61775" w:rsidRPr="00E61775">
        <w:rPr>
          <w:rFonts w:eastAsia="Yu Mincho"/>
          <w:bCs/>
          <w:iCs/>
          <w:vertAlign w:val="superscript"/>
          <w:lang w:eastAsia="ja-JP"/>
        </w:rPr>
        <w:t>th</w:t>
      </w:r>
      <w:r w:rsidR="00E61775">
        <w:rPr>
          <w:rFonts w:eastAsia="Yu Mincho"/>
          <w:bCs/>
          <w:iCs/>
          <w:lang w:eastAsia="ja-JP"/>
        </w:rPr>
        <w:t xml:space="preserve"> the bandwidth). With pattern #1</w:t>
      </w:r>
      <w:r w:rsidR="00E74595">
        <w:rPr>
          <w:rFonts w:eastAsia="Yu Mincho"/>
          <w:bCs/>
          <w:iCs/>
          <w:lang w:eastAsia="ja-JP"/>
        </w:rPr>
        <w:t xml:space="preserve">, as </w:t>
      </w:r>
      <w:r w:rsidR="009D0DC2">
        <w:rPr>
          <w:rFonts w:eastAsia="Yu Mincho"/>
          <w:bCs/>
          <w:iCs/>
          <w:lang w:eastAsia="ja-JP"/>
        </w:rPr>
        <w:t>illustrated</w:t>
      </w:r>
      <w:r w:rsidR="00E74595">
        <w:rPr>
          <w:rFonts w:eastAsia="Yu Mincho"/>
          <w:bCs/>
          <w:iCs/>
          <w:lang w:eastAsia="ja-JP"/>
        </w:rPr>
        <w:t xml:space="preserve"> in</w:t>
      </w:r>
      <w:r w:rsidR="00E61775">
        <w:rPr>
          <w:rFonts w:eastAsia="Yu Mincho"/>
          <w:bCs/>
          <w:iCs/>
          <w:lang w:eastAsia="ja-JP"/>
        </w:rPr>
        <w:t xml:space="preserve"> </w:t>
      </w:r>
      <w:r w:rsidR="00AF6FB7">
        <w:rPr>
          <w:rFonts w:eastAsia="Yu Mincho"/>
          <w:bCs/>
          <w:iCs/>
          <w:lang w:eastAsia="ja-JP"/>
        </w:rPr>
        <w:fldChar w:fldCharType="begin"/>
      </w:r>
      <w:r w:rsidR="00AF6FB7">
        <w:rPr>
          <w:rFonts w:eastAsia="Yu Mincho"/>
          <w:bCs/>
          <w:iCs/>
          <w:lang w:eastAsia="ja-JP"/>
        </w:rPr>
        <w:instrText xml:space="preserve"> REF _Ref79145403 \h </w:instrText>
      </w:r>
      <w:r w:rsidR="00AF6FB7">
        <w:rPr>
          <w:rFonts w:eastAsia="Yu Mincho"/>
          <w:bCs/>
          <w:iCs/>
          <w:lang w:eastAsia="ja-JP"/>
        </w:rPr>
      </w:r>
      <w:r w:rsidR="00AF6FB7">
        <w:rPr>
          <w:rFonts w:eastAsia="Yu Mincho"/>
          <w:bCs/>
          <w:iCs/>
          <w:lang w:eastAsia="ja-JP"/>
        </w:rPr>
        <w:fldChar w:fldCharType="separate"/>
      </w:r>
      <w:r w:rsidR="00D40F5E">
        <w:t xml:space="preserve">Fig. </w:t>
      </w:r>
      <w:r w:rsidR="00D40F5E">
        <w:rPr>
          <w:noProof/>
        </w:rPr>
        <w:t>1</w:t>
      </w:r>
      <w:r w:rsidR="00AF6FB7">
        <w:rPr>
          <w:rFonts w:eastAsia="Yu Mincho"/>
          <w:bCs/>
          <w:iCs/>
          <w:lang w:eastAsia="ja-JP"/>
        </w:rPr>
        <w:fldChar w:fldCharType="end"/>
      </w:r>
      <w:r w:rsidR="00AF6FB7">
        <w:rPr>
          <w:rFonts w:eastAsia="Yu Mincho"/>
          <w:bCs/>
          <w:iCs/>
          <w:lang w:eastAsia="ja-JP"/>
        </w:rPr>
        <w:t xml:space="preserve"> from </w:t>
      </w:r>
      <w:r w:rsidR="00E74595">
        <w:rPr>
          <w:rFonts w:eastAsia="Yu Mincho"/>
          <w:bCs/>
          <w:iCs/>
          <w:lang w:eastAsia="ja-JP"/>
        </w:rPr>
        <w:fldChar w:fldCharType="begin"/>
      </w:r>
      <w:r w:rsidR="00E74595">
        <w:rPr>
          <w:rFonts w:eastAsia="Yu Mincho"/>
          <w:bCs/>
          <w:iCs/>
          <w:lang w:eastAsia="ja-JP"/>
        </w:rPr>
        <w:instrText xml:space="preserve"> REF _Ref77229333 \r \h </w:instrText>
      </w:r>
      <w:r w:rsidR="00E74595">
        <w:rPr>
          <w:rFonts w:eastAsia="Yu Mincho"/>
          <w:bCs/>
          <w:iCs/>
          <w:lang w:eastAsia="ja-JP"/>
        </w:rPr>
      </w:r>
      <w:r w:rsidR="00E74595">
        <w:rPr>
          <w:rFonts w:eastAsia="Yu Mincho"/>
          <w:bCs/>
          <w:iCs/>
          <w:lang w:eastAsia="ja-JP"/>
        </w:rPr>
        <w:fldChar w:fldCharType="separate"/>
      </w:r>
      <w:r w:rsidR="00D40F5E">
        <w:rPr>
          <w:rFonts w:eastAsia="Yu Mincho"/>
          <w:bCs/>
          <w:iCs/>
          <w:lang w:eastAsia="ja-JP"/>
        </w:rPr>
        <w:t>[7]</w:t>
      </w:r>
      <w:r w:rsidR="00E74595">
        <w:rPr>
          <w:rFonts w:eastAsia="Yu Mincho"/>
          <w:bCs/>
          <w:iCs/>
          <w:lang w:eastAsia="ja-JP"/>
        </w:rPr>
        <w:fldChar w:fldCharType="end"/>
      </w:r>
      <w:r w:rsidR="009D0DC2">
        <w:rPr>
          <w:rFonts w:eastAsia="Yu Mincho"/>
          <w:bCs/>
          <w:iCs/>
          <w:lang w:eastAsia="ja-JP"/>
        </w:rPr>
        <w:t xml:space="preserve"> and specified in clause 13 of </w:t>
      </w:r>
      <w:r w:rsidR="009D0DC2">
        <w:rPr>
          <w:rFonts w:eastAsia="Yu Mincho"/>
          <w:bCs/>
          <w:iCs/>
          <w:lang w:eastAsia="ja-JP"/>
        </w:rPr>
        <w:fldChar w:fldCharType="begin"/>
      </w:r>
      <w:r w:rsidR="009D0DC2">
        <w:rPr>
          <w:rFonts w:eastAsia="Yu Mincho"/>
          <w:bCs/>
          <w:iCs/>
          <w:lang w:eastAsia="ja-JP"/>
        </w:rPr>
        <w:instrText xml:space="preserve"> REF _Ref70504606 \r \h </w:instrText>
      </w:r>
      <w:r w:rsidR="009D0DC2">
        <w:rPr>
          <w:rFonts w:eastAsia="Yu Mincho"/>
          <w:bCs/>
          <w:iCs/>
          <w:lang w:eastAsia="ja-JP"/>
        </w:rPr>
      </w:r>
      <w:r w:rsidR="009D0DC2">
        <w:rPr>
          <w:rFonts w:eastAsia="Yu Mincho"/>
          <w:bCs/>
          <w:iCs/>
          <w:lang w:eastAsia="ja-JP"/>
        </w:rPr>
        <w:fldChar w:fldCharType="separate"/>
      </w:r>
      <w:r w:rsidR="00D40F5E">
        <w:rPr>
          <w:rFonts w:eastAsia="Yu Mincho"/>
          <w:bCs/>
          <w:iCs/>
          <w:lang w:eastAsia="ja-JP"/>
        </w:rPr>
        <w:t>[5]</w:t>
      </w:r>
      <w:r w:rsidR="009D0DC2">
        <w:rPr>
          <w:rFonts w:eastAsia="Yu Mincho"/>
          <w:bCs/>
          <w:iCs/>
          <w:lang w:eastAsia="ja-JP"/>
        </w:rPr>
        <w:fldChar w:fldCharType="end"/>
      </w:r>
      <w:r w:rsidR="00E61775">
        <w:rPr>
          <w:rFonts w:eastAsia="Yu Mincho"/>
          <w:bCs/>
          <w:iCs/>
          <w:lang w:eastAsia="ja-JP"/>
        </w:rPr>
        <w:t>, CORESET#0 is located close in frequency to the SSB. In some instances, th</w:t>
      </w:r>
      <w:r w:rsidR="008053C8">
        <w:rPr>
          <w:rFonts w:eastAsia="Yu Mincho"/>
          <w:bCs/>
          <w:iCs/>
          <w:lang w:eastAsia="ja-JP"/>
        </w:rPr>
        <w:t>is sync-raster based</w:t>
      </w:r>
      <w:r w:rsidR="00E61775">
        <w:rPr>
          <w:rFonts w:eastAsia="Yu Mincho"/>
          <w:bCs/>
          <w:iCs/>
          <w:lang w:eastAsia="ja-JP"/>
        </w:rPr>
        <w:t xml:space="preserve"> location of CORESET#0 may not allow efficient resource utilization </w:t>
      </w:r>
      <w:r w:rsidR="009D0DC2">
        <w:rPr>
          <w:rFonts w:eastAsia="Yu Mincho"/>
          <w:bCs/>
          <w:iCs/>
          <w:lang w:eastAsia="ja-JP"/>
        </w:rPr>
        <w:t xml:space="preserve">for the UL </w:t>
      </w:r>
      <w:r w:rsidR="00E61775">
        <w:rPr>
          <w:rFonts w:eastAsia="Yu Mincho"/>
          <w:bCs/>
          <w:iCs/>
          <w:lang w:eastAsia="ja-JP"/>
        </w:rPr>
        <w:t>considering RedCap UEs</w:t>
      </w:r>
      <w:r w:rsidR="008053C8">
        <w:rPr>
          <w:rFonts w:eastAsia="Yu Mincho"/>
          <w:bCs/>
          <w:iCs/>
          <w:lang w:eastAsia="ja-JP"/>
        </w:rPr>
        <w:t xml:space="preserve"> and the TDD requirement</w:t>
      </w:r>
      <w:r w:rsidR="00E61775">
        <w:rPr>
          <w:rFonts w:eastAsia="Yu Mincho"/>
          <w:bCs/>
          <w:iCs/>
          <w:lang w:eastAsia="ja-JP"/>
        </w:rPr>
        <w:t xml:space="preserve">. </w:t>
      </w:r>
      <w:r w:rsidR="008053C8">
        <w:rPr>
          <w:rFonts w:eastAsia="Yu Mincho"/>
          <w:bCs/>
          <w:iCs/>
          <w:lang w:eastAsia="ja-JP"/>
        </w:rPr>
        <w:t>To illustrate, let the size of the UL and DL initial BWP</w:t>
      </w:r>
      <w:r w:rsidR="00D40F5E">
        <w:rPr>
          <w:rFonts w:eastAsia="Yu Mincho"/>
          <w:bCs/>
          <w:iCs/>
          <w:lang w:eastAsia="ja-JP"/>
        </w:rPr>
        <w:t>s</w:t>
      </w:r>
      <w:r w:rsidR="008053C8">
        <w:rPr>
          <w:rFonts w:eastAsia="Yu Mincho"/>
          <w:bCs/>
          <w:iCs/>
          <w:lang w:eastAsia="ja-JP"/>
        </w:rPr>
        <w:t xml:space="preserve"> for non-RedCap UEs be 50 MHz (270 RBs) with the center frequencies aligned and </w:t>
      </w:r>
      <w:r w:rsidR="009D0DC2">
        <w:rPr>
          <w:rFonts w:eastAsia="Yu Mincho"/>
          <w:bCs/>
          <w:iCs/>
          <w:lang w:eastAsia="ja-JP"/>
        </w:rPr>
        <w:t xml:space="preserve">CORESET#0 </w:t>
      </w:r>
      <w:r w:rsidR="008053C8">
        <w:rPr>
          <w:rFonts w:eastAsia="Yu Mincho"/>
          <w:bCs/>
          <w:iCs/>
          <w:lang w:eastAsia="ja-JP"/>
        </w:rPr>
        <w:t xml:space="preserve">is </w:t>
      </w:r>
      <w:r w:rsidR="009D0DC2">
        <w:rPr>
          <w:rFonts w:eastAsia="Yu Mincho"/>
          <w:bCs/>
          <w:iCs/>
          <w:lang w:eastAsia="ja-JP"/>
        </w:rPr>
        <w:t>locat</w:t>
      </w:r>
      <w:r w:rsidR="008053C8">
        <w:rPr>
          <w:rFonts w:eastAsia="Yu Mincho"/>
          <w:bCs/>
          <w:iCs/>
          <w:lang w:eastAsia="ja-JP"/>
        </w:rPr>
        <w:t>ed within</w:t>
      </w:r>
      <w:r w:rsidR="009D0DC2">
        <w:rPr>
          <w:rFonts w:eastAsia="Yu Mincho"/>
          <w:bCs/>
          <w:iCs/>
          <w:lang w:eastAsia="ja-JP"/>
        </w:rPr>
        <w:t xml:space="preserve"> </w:t>
      </w:r>
      <w:r w:rsidR="008053C8">
        <w:rPr>
          <w:rFonts w:eastAsia="Yu Mincho"/>
          <w:bCs/>
          <w:iCs/>
          <w:lang w:eastAsia="ja-JP"/>
        </w:rPr>
        <w:t>the highest 100 RBs of the DL BWP (</w:t>
      </w:r>
      <w:r w:rsidR="009D0DC2">
        <w:rPr>
          <w:rFonts w:eastAsia="Yu Mincho"/>
          <w:bCs/>
          <w:iCs/>
          <w:lang w:eastAsia="ja-JP"/>
        </w:rPr>
        <w:t>at the upper edge</w:t>
      </w:r>
      <w:r w:rsidR="008053C8">
        <w:rPr>
          <w:rFonts w:eastAsia="Yu Mincho"/>
          <w:bCs/>
          <w:iCs/>
          <w:lang w:eastAsia="ja-JP"/>
        </w:rPr>
        <w:t>).</w:t>
      </w:r>
      <w:r w:rsidR="009D0DC2">
        <w:rPr>
          <w:rFonts w:eastAsia="Yu Mincho"/>
          <w:bCs/>
          <w:iCs/>
          <w:lang w:eastAsia="ja-JP"/>
        </w:rPr>
        <w:t xml:space="preserve"> </w:t>
      </w:r>
      <w:r w:rsidR="008053C8">
        <w:rPr>
          <w:rFonts w:eastAsia="Yu Mincho"/>
          <w:bCs/>
          <w:iCs/>
          <w:lang w:eastAsia="ja-JP"/>
        </w:rPr>
        <w:t>It may be desirable to place the FDM ROs at the lowest 100 RBs of the UL BWP</w:t>
      </w:r>
      <w:r w:rsidR="00AF13AC">
        <w:rPr>
          <w:rFonts w:eastAsia="Yu Mincho"/>
          <w:bCs/>
          <w:iCs/>
          <w:lang w:eastAsia="ja-JP"/>
        </w:rPr>
        <w:t xml:space="preserve"> for non-RedCap UEs</w:t>
      </w:r>
      <w:r w:rsidR="008053C8">
        <w:rPr>
          <w:rFonts w:eastAsia="Yu Mincho"/>
          <w:bCs/>
          <w:iCs/>
          <w:lang w:eastAsia="ja-JP"/>
        </w:rPr>
        <w:t xml:space="preserve">. </w:t>
      </w:r>
      <w:r w:rsidR="00AF13AC">
        <w:rPr>
          <w:rFonts w:eastAsia="Yu Mincho"/>
          <w:bCs/>
          <w:iCs/>
          <w:lang w:eastAsia="ja-JP"/>
        </w:rPr>
        <w:t>As a result, a</w:t>
      </w:r>
      <w:r w:rsidR="008053C8">
        <w:rPr>
          <w:rFonts w:eastAsia="Yu Mincho"/>
          <w:bCs/>
          <w:iCs/>
          <w:lang w:eastAsia="ja-JP"/>
        </w:rPr>
        <w:t xml:space="preserve"> RedCap UE </w:t>
      </w:r>
      <w:r w:rsidR="00AF13AC">
        <w:rPr>
          <w:rFonts w:eastAsia="Yu Mincho"/>
          <w:bCs/>
          <w:iCs/>
          <w:lang w:eastAsia="ja-JP"/>
        </w:rPr>
        <w:t>would not be able to</w:t>
      </w:r>
      <w:r w:rsidR="008053C8">
        <w:rPr>
          <w:rFonts w:eastAsia="Yu Mincho"/>
          <w:bCs/>
          <w:iCs/>
          <w:lang w:eastAsia="ja-JP"/>
        </w:rPr>
        <w:t xml:space="preserve"> share ROs with a non-RedCap UE</w:t>
      </w:r>
      <w:r w:rsidR="00AF13AC">
        <w:rPr>
          <w:rFonts w:eastAsia="Yu Mincho"/>
          <w:bCs/>
          <w:iCs/>
          <w:lang w:eastAsia="ja-JP"/>
        </w:rPr>
        <w:t xml:space="preserve"> if a RedCap UE and non-RedCap UE share CORESET#0.</w:t>
      </w:r>
    </w:p>
    <w:p w14:paraId="7D5C6E17" w14:textId="77777777" w:rsidR="00AF6FB7" w:rsidRDefault="00AF6FB7" w:rsidP="00AF6FB7">
      <w:pPr>
        <w:keepNext/>
        <w:jc w:val="center"/>
        <w:rPr>
          <w:lang w:eastAsia="ja-JP"/>
        </w:rPr>
      </w:pPr>
      <w:r>
        <w:rPr>
          <w:noProof/>
          <w:lang w:eastAsia="ja-JP"/>
        </w:rPr>
        <mc:AlternateContent>
          <mc:Choice Requires="wpc">
            <w:drawing>
              <wp:inline distT="0" distB="0" distL="0" distR="0" wp14:anchorId="1DD2E77F" wp14:editId="3F07A20B">
                <wp:extent cx="5354208" cy="2477135"/>
                <wp:effectExtent l="0" t="0" r="0" b="0"/>
                <wp:docPr id="50" name="Canvas 5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5" name="Rectangle 25"/>
                        <wps:cNvSpPr/>
                        <wps:spPr>
                          <a:xfrm>
                            <a:off x="457200" y="164467"/>
                            <a:ext cx="1371600" cy="18288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227455" y="920752"/>
                            <a:ext cx="457200" cy="91440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4D6E25" w14:textId="77777777" w:rsidR="00AF6FB7" w:rsidRPr="00AE6FAF" w:rsidRDefault="00AF6FB7" w:rsidP="00AF6FB7">
                              <w:pPr>
                                <w:jc w:val="center"/>
                                <w:rPr>
                                  <w:color w:val="000000" w:themeColor="text1"/>
                                </w:rPr>
                              </w:pPr>
                              <w:r>
                                <w:rPr>
                                  <w:color w:val="000000" w:themeColor="text1"/>
                                </w:rPr>
                                <w:t>CORESET#0</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7" name="Rectangle 27"/>
                        <wps:cNvSpPr/>
                        <wps:spPr>
                          <a:xfrm>
                            <a:off x="541655" y="1086099"/>
                            <a:ext cx="411480" cy="6400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2A9D52" w14:textId="77777777" w:rsidR="00AF6FB7" w:rsidRPr="00AE6FAF" w:rsidRDefault="00AF6FB7" w:rsidP="00AF6FB7">
                              <w:pPr>
                                <w:jc w:val="center"/>
                                <w:rPr>
                                  <w:color w:val="000000" w:themeColor="text1"/>
                                </w:rPr>
                              </w:pPr>
                              <w:r w:rsidRPr="00AE6FAF">
                                <w:rPr>
                                  <w:color w:val="000000" w:themeColor="text1"/>
                                </w:rPr>
                                <w:t>SSB</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8" name="Rectangle 28"/>
                        <wps:cNvSpPr/>
                        <wps:spPr>
                          <a:xfrm>
                            <a:off x="2043953" y="164218"/>
                            <a:ext cx="1371600" cy="18288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2775473" y="283210"/>
                            <a:ext cx="457200" cy="91440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D97704" w14:textId="77777777" w:rsidR="00AF6FB7" w:rsidRPr="00AE6FAF" w:rsidRDefault="00AF6FB7" w:rsidP="00AF6FB7">
                              <w:pPr>
                                <w:jc w:val="center"/>
                                <w:rPr>
                                  <w:color w:val="000000" w:themeColor="text1"/>
                                </w:rPr>
                              </w:pPr>
                              <w:r>
                                <w:rPr>
                                  <w:color w:val="000000" w:themeColor="text1"/>
                                </w:rPr>
                                <w:t>CORESET#0</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30" name="Rectangle 30"/>
                        <wps:cNvSpPr/>
                        <wps:spPr>
                          <a:xfrm>
                            <a:off x="2089673" y="1289685"/>
                            <a:ext cx="411480" cy="6400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84F70B" w14:textId="77777777" w:rsidR="00AF6FB7" w:rsidRPr="00AE6FAF" w:rsidRDefault="00AF6FB7" w:rsidP="00AF6FB7">
                              <w:pPr>
                                <w:jc w:val="center"/>
                                <w:rPr>
                                  <w:color w:val="000000" w:themeColor="text1"/>
                                </w:rPr>
                              </w:pPr>
                              <w:r w:rsidRPr="00AE6FAF">
                                <w:rPr>
                                  <w:color w:val="000000" w:themeColor="text1"/>
                                </w:rPr>
                                <w:t>SSB</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34" name="Rectangle 34"/>
                        <wps:cNvSpPr/>
                        <wps:spPr>
                          <a:xfrm>
                            <a:off x="3689873" y="164218"/>
                            <a:ext cx="1371600" cy="18288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3901468" y="193664"/>
                            <a:ext cx="457200" cy="91440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744A4E" w14:textId="77777777" w:rsidR="00AF6FB7" w:rsidRPr="00AE6FAF" w:rsidRDefault="00AF6FB7" w:rsidP="00AF6FB7">
                              <w:pPr>
                                <w:jc w:val="center"/>
                                <w:rPr>
                                  <w:color w:val="000000" w:themeColor="text1"/>
                                </w:rPr>
                              </w:pPr>
                              <w:r>
                                <w:rPr>
                                  <w:color w:val="000000" w:themeColor="text1"/>
                                </w:rPr>
                                <w:t>CORESET#0</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36" name="Rectangle 36"/>
                        <wps:cNvSpPr/>
                        <wps:spPr>
                          <a:xfrm>
                            <a:off x="3895635" y="1302191"/>
                            <a:ext cx="411480" cy="6400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B96ED8" w14:textId="77777777" w:rsidR="00AF6FB7" w:rsidRPr="00AE6FAF" w:rsidRDefault="00AF6FB7" w:rsidP="00AF6FB7">
                              <w:pPr>
                                <w:jc w:val="center"/>
                                <w:rPr>
                                  <w:color w:val="000000" w:themeColor="text1"/>
                                </w:rPr>
                              </w:pPr>
                              <w:r w:rsidRPr="00AE6FAF">
                                <w:rPr>
                                  <w:color w:val="000000" w:themeColor="text1"/>
                                </w:rPr>
                                <w:t>SSB</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37" name="Straight Connector 37"/>
                        <wps:cNvCnPr/>
                        <wps:spPr>
                          <a:xfrm>
                            <a:off x="1227455" y="263139"/>
                            <a:ext cx="0" cy="16459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953135" y="262504"/>
                            <a:ext cx="0" cy="16459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678180" y="2046219"/>
                            <a:ext cx="457200" cy="182880"/>
                          </a:xfrm>
                          <a:prstGeom prst="rect">
                            <a:avLst/>
                          </a:prstGeom>
                          <a:solidFill>
                            <a:schemeClr val="lt1"/>
                          </a:solidFill>
                          <a:ln w="6350">
                            <a:noFill/>
                          </a:ln>
                        </wps:spPr>
                        <wps:txbx>
                          <w:txbxContent>
                            <w:p w14:paraId="6768B089" w14:textId="77777777" w:rsidR="00AF6FB7" w:rsidRDefault="00AF6FB7" w:rsidP="00AF6FB7">
                              <w: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 name="Text Box 40"/>
                        <wps:cNvSpPr txBox="1"/>
                        <wps:spPr>
                          <a:xfrm>
                            <a:off x="495935" y="2229099"/>
                            <a:ext cx="594360" cy="182880"/>
                          </a:xfrm>
                          <a:prstGeom prst="rect">
                            <a:avLst/>
                          </a:prstGeom>
                          <a:solidFill>
                            <a:schemeClr val="lt1"/>
                          </a:solidFill>
                          <a:ln w="6350">
                            <a:noFill/>
                          </a:ln>
                        </wps:spPr>
                        <wps:txbx>
                          <w:txbxContent>
                            <w:p w14:paraId="391C9931" w14:textId="77777777" w:rsidR="00AF6FB7" w:rsidRDefault="00AF6FB7" w:rsidP="00AF6FB7">
                              <w:r>
                                <w:t>Pattern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 name="Text Box 41"/>
                        <wps:cNvSpPr txBox="1"/>
                        <wps:spPr>
                          <a:xfrm>
                            <a:off x="2226833" y="2249805"/>
                            <a:ext cx="594360" cy="182880"/>
                          </a:xfrm>
                          <a:prstGeom prst="rect">
                            <a:avLst/>
                          </a:prstGeom>
                          <a:solidFill>
                            <a:schemeClr val="lt1"/>
                          </a:solidFill>
                          <a:ln w="6350">
                            <a:noFill/>
                          </a:ln>
                        </wps:spPr>
                        <wps:txbx>
                          <w:txbxContent>
                            <w:p w14:paraId="0DE21F77" w14:textId="77777777" w:rsidR="00AF6FB7" w:rsidRDefault="00AF6FB7" w:rsidP="00AF6FB7">
                              <w:r>
                                <w:t>Pattern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2" name="Straight Arrow Connector 42"/>
                        <wps:cNvCnPr/>
                        <wps:spPr>
                          <a:xfrm>
                            <a:off x="1143000" y="2137659"/>
                            <a:ext cx="41846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V="1">
                            <a:off x="293370" y="501899"/>
                            <a:ext cx="0" cy="5035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Text Box 44"/>
                        <wps:cNvSpPr txBox="1"/>
                        <wps:spPr>
                          <a:xfrm>
                            <a:off x="112208" y="933706"/>
                            <a:ext cx="213995" cy="792480"/>
                          </a:xfrm>
                          <a:prstGeom prst="rect">
                            <a:avLst/>
                          </a:prstGeom>
                          <a:solidFill>
                            <a:schemeClr val="lt1"/>
                          </a:solidFill>
                          <a:ln w="6350">
                            <a:noFill/>
                          </a:ln>
                        </wps:spPr>
                        <wps:txbx>
                          <w:txbxContent>
                            <w:p w14:paraId="790A2BD3" w14:textId="77777777" w:rsidR="00AF6FB7" w:rsidRDefault="00AF6FB7" w:rsidP="00AF6FB7">
                              <w:r>
                                <w:t>Frequency</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45" name="Straight Connector 45"/>
                        <wps:cNvCnPr/>
                        <wps:spPr>
                          <a:xfrm>
                            <a:off x="2775473" y="283845"/>
                            <a:ext cx="0" cy="16459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a:off x="2501153" y="283210"/>
                            <a:ext cx="0" cy="16459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wps:spPr>
                          <a:xfrm>
                            <a:off x="3895635" y="347345"/>
                            <a:ext cx="0" cy="16459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4375673" y="347098"/>
                            <a:ext cx="0" cy="164592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9" name="Text Box 49"/>
                        <wps:cNvSpPr txBox="1"/>
                        <wps:spPr>
                          <a:xfrm>
                            <a:off x="3764308" y="2249805"/>
                            <a:ext cx="594360" cy="182880"/>
                          </a:xfrm>
                          <a:prstGeom prst="rect">
                            <a:avLst/>
                          </a:prstGeom>
                          <a:solidFill>
                            <a:schemeClr val="lt1"/>
                          </a:solidFill>
                          <a:ln w="6350">
                            <a:noFill/>
                          </a:ln>
                        </wps:spPr>
                        <wps:txbx>
                          <w:txbxContent>
                            <w:p w14:paraId="37334785" w14:textId="77777777" w:rsidR="00AF6FB7" w:rsidRDefault="00AF6FB7" w:rsidP="00AF6FB7">
                              <w:r>
                                <w:t>Pattern 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DD2E77F" id="Canvas 50" o:spid="_x0000_s1026" editas="canvas" style="width:421.6pt;height:195.05pt;mso-position-horizontal-relative:char;mso-position-vertical-relative:line" coordsize="53536,24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536;height:24771;visibility:visible;mso-wrap-style:square" filled="t">
                  <v:fill o:detectmouseclick="t"/>
                  <v:path o:connecttype="none"/>
                </v:shape>
                <v:rect id="Rectangle 25" o:spid="_x0000_s1028" style="position:absolute;left:4572;top:1644;width:13716;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" fillcolor="#f2f2f2 [3052]" strokecolor="black [3213]"/>
                <v:rect id="Rectangle 26" o:spid="_x0000_s1029" style="position:absolute;left:12274;top:9207;width:4572;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" fillcolor="#b6dde8 [1304]" strokecolor="black [3213]">
                  <v:textbox inset="0,,0">
                    <w:txbxContent>
                      <w:p w14:paraId="1D4D6E25" w14:textId="77777777" w:rsidR="00AF6FB7" w:rsidRPr="00AE6FAF" w:rsidRDefault="00AF6FB7" w:rsidP="00AF6FB7">
                        <w:pPr>
                          <w:jc w:val="center"/>
                          <w:rPr>
                            <w:color w:val="000000" w:themeColor="text1"/>
                          </w:rPr>
                        </w:pPr>
                        <w:r>
                          <w:rPr>
                            <w:color w:val="000000" w:themeColor="text1"/>
                          </w:rPr>
                          <w:t>CORESET#0</w:t>
                        </w:r>
                      </w:p>
                    </w:txbxContent>
                  </v:textbox>
                </v:rect>
                <v:rect id="Rectangle 27" o:spid="_x0000_s1030" style="position:absolute;left:5416;top:10860;width:4115;height:6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" fillcolor="yellow" strokecolor="black [3213]">
                  <v:textbox inset="0,,0">
                    <w:txbxContent>
                      <w:p w14:paraId="682A9D52" w14:textId="77777777" w:rsidR="00AF6FB7" w:rsidRPr="00AE6FAF" w:rsidRDefault="00AF6FB7" w:rsidP="00AF6FB7">
                        <w:pPr>
                          <w:jc w:val="center"/>
                          <w:rPr>
                            <w:color w:val="000000" w:themeColor="text1"/>
                          </w:rPr>
                        </w:pPr>
                        <w:r w:rsidRPr="00AE6FAF">
                          <w:rPr>
                            <w:color w:val="000000" w:themeColor="text1"/>
                          </w:rPr>
                          <w:t>SSB</w:t>
                        </w:r>
                      </w:p>
                    </w:txbxContent>
                  </v:textbox>
                </v:rect>
                <v:rect id="Rectangle 28" o:spid="_x0000_s1031" style="position:absolute;left:20439;top:1642;width:13716;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" fillcolor="#f2f2f2 [3052]" strokecolor="black [3213]"/>
                <v:rect id="Rectangle 29" o:spid="_x0000_s1032" style="position:absolute;left:27754;top:2832;width:4572;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" fillcolor="#b6dde8 [1304]" strokecolor="black [3213]">
                  <v:textbox inset="0,,0">
                    <w:txbxContent>
                      <w:p w14:paraId="12D97704" w14:textId="77777777" w:rsidR="00AF6FB7" w:rsidRPr="00AE6FAF" w:rsidRDefault="00AF6FB7" w:rsidP="00AF6FB7">
                        <w:pPr>
                          <w:jc w:val="center"/>
                          <w:rPr>
                            <w:color w:val="000000" w:themeColor="text1"/>
                          </w:rPr>
                        </w:pPr>
                        <w:r>
                          <w:rPr>
                            <w:color w:val="000000" w:themeColor="text1"/>
                          </w:rPr>
                          <w:t>CORESET#0</w:t>
                        </w:r>
                      </w:p>
                    </w:txbxContent>
                  </v:textbox>
                </v:rect>
                <v:rect id="Rectangle 30" o:spid="_x0000_s1033" style="position:absolute;left:20896;top:12896;width:4115;height:6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" fillcolor="yellow" strokecolor="black [3213]">
                  <v:textbox inset="0,,0">
                    <w:txbxContent>
                      <w:p w14:paraId="0984F70B" w14:textId="77777777" w:rsidR="00AF6FB7" w:rsidRPr="00AE6FAF" w:rsidRDefault="00AF6FB7" w:rsidP="00AF6FB7">
                        <w:pPr>
                          <w:jc w:val="center"/>
                          <w:rPr>
                            <w:color w:val="000000" w:themeColor="text1"/>
                          </w:rPr>
                        </w:pPr>
                        <w:r w:rsidRPr="00AE6FAF">
                          <w:rPr>
                            <w:color w:val="000000" w:themeColor="text1"/>
                          </w:rPr>
                          <w:t>SSB</w:t>
                        </w:r>
                      </w:p>
                    </w:txbxContent>
                  </v:textbox>
                </v:rect>
                <v:rect id="Rectangle 34" o:spid="_x0000_s1034" style="position:absolute;left:36898;top:1642;width:13716;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" fillcolor="#f2f2f2 [3052]" strokecolor="black [3213]"/>
                <v:rect id="Rectangle 35" o:spid="_x0000_s1035" style="position:absolute;left:39014;top:1936;width:4572;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" fillcolor="#b6dde8 [1304]" strokecolor="black [3213]">
                  <v:textbox inset="0,,0">
                    <w:txbxContent>
                      <w:p w14:paraId="7E744A4E" w14:textId="77777777" w:rsidR="00AF6FB7" w:rsidRPr="00AE6FAF" w:rsidRDefault="00AF6FB7" w:rsidP="00AF6FB7">
                        <w:pPr>
                          <w:jc w:val="center"/>
                          <w:rPr>
                            <w:color w:val="000000" w:themeColor="text1"/>
                          </w:rPr>
                        </w:pPr>
                        <w:r>
                          <w:rPr>
                            <w:color w:val="000000" w:themeColor="text1"/>
                          </w:rPr>
                          <w:t>CORESET#0</w:t>
                        </w:r>
                      </w:p>
                    </w:txbxContent>
                  </v:textbox>
                </v:rect>
                <v:rect id="Rectangle 36" o:spid="_x0000_s1036" style="position:absolute;left:38956;top:13021;width:4115;height:6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" fillcolor="yellow" strokecolor="black [3213]">
                  <v:textbox inset="0,,0">
                    <w:txbxContent>
                      <w:p w14:paraId="76B96ED8" w14:textId="77777777" w:rsidR="00AF6FB7" w:rsidRPr="00AE6FAF" w:rsidRDefault="00AF6FB7" w:rsidP="00AF6FB7">
                        <w:pPr>
                          <w:jc w:val="center"/>
                          <w:rPr>
                            <w:color w:val="000000" w:themeColor="text1"/>
                          </w:rPr>
                        </w:pPr>
                        <w:r w:rsidRPr="00AE6FAF">
                          <w:rPr>
                            <w:color w:val="000000" w:themeColor="text1"/>
                          </w:rPr>
                          <w:t>SSB</w:t>
                        </w:r>
                      </w:p>
                    </w:txbxContent>
                  </v:textbox>
                </v:rect>
                <v:line id="Straight Connector 37" o:spid="_x0000_s1037" style="position:absolute;visibility:visible;mso-wrap-style:square" from="12274,2631" to="12274,19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" strokecolor="black [3213]">
                  <v:stroke dashstyle="dash"/>
                </v:line>
                <v:line id="Straight Connector 38" o:spid="_x0000_s1038" style="position:absolute;visibility:visible;mso-wrap-style:square" from="9531,2625" to="9531,1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" strokecolor="black [3213]">
                  <v:stroke dashstyle="dash"/>
                </v:line>
                <v:shapetype id="_x0000_t202" coordsize="21600,21600" o:spt="202" path="m,l,21600r21600,l21600,xe">
                  <v:stroke joinstyle="miter"/>
                  <v:path gradientshapeok="t" o:connecttype="rect"/>
                </v:shapetype>
                <v:shape id="Text Box 39" o:spid="_x0000_s1039" type="#_x0000_t202" style="position:absolute;left:6781;top:20462;width:4572;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6768B089" w14:textId="77777777" w:rsidR="00AF6FB7" w:rsidRDefault="00AF6FB7" w:rsidP="00AF6FB7">
                        <w:r>
                          <w:t>Time</w:t>
                        </w:r>
                      </w:p>
                    </w:txbxContent>
                  </v:textbox>
                </v:shape>
                <v:shape id="Text Box 40" o:spid="_x0000_s1040" type="#_x0000_t202" style="position:absolute;left:4959;top:22290;width:59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" fillcolor="white [3201]" stroked="f" strokeweight=".5pt">
                  <v:textbox inset="0,0,0,0">
                    <w:txbxContent>
                      <w:p w14:paraId="391C9931" w14:textId="77777777" w:rsidR="00AF6FB7" w:rsidRDefault="00AF6FB7" w:rsidP="00AF6FB7">
                        <w:r>
                          <w:t>Pattern 1</w:t>
                        </w:r>
                      </w:p>
                    </w:txbxContent>
                  </v:textbox>
                </v:shape>
                <v:shape id="Text Box 41" o:spid="_x0000_s1041" type="#_x0000_t202" style="position:absolute;left:22268;top:22498;width:594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" fillcolor="white [3201]" stroked="f" strokeweight=".5pt">
                  <v:textbox inset="0,0,0,0">
                    <w:txbxContent>
                      <w:p w14:paraId="0DE21F77" w14:textId="77777777" w:rsidR="00AF6FB7" w:rsidRDefault="00AF6FB7" w:rsidP="00AF6FB7">
                        <w:r>
                          <w:t>Pattern 2</w:t>
                        </w:r>
                      </w:p>
                    </w:txbxContent>
                  </v:textbox>
                </v:shape>
                <v:shapetype id="_x0000_t32" coordsize="21600,21600" o:spt="32" o:oned="t" path="m,l21600,21600e" filled="f">
                  <v:path arrowok="t" fillok="f" o:connecttype="none"/>
                  <o:lock v:ext="edit" shapetype="t"/>
                </v:shapetype>
                <v:shape id="Straight Arrow Connector 42" o:spid="_x0000_s1042" type="#_x0000_t32" style="position:absolute;left:11430;top:21376;width:41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" strokecolor="black [3213]">
                  <v:stroke endarrow="block"/>
                </v:shape>
                <v:shape id="Straight Arrow Connector 43" o:spid="_x0000_s1043" type="#_x0000_t32" style="position:absolute;left:2933;top:5018;width:0;height:50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" strokecolor="black [3213]">
                  <v:stroke endarrow="block"/>
                </v:shape>
                <v:shape id="Text Box 44" o:spid="_x0000_s1044" type="#_x0000_t202" style="position:absolute;left:1122;top:9337;width:2140;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" fillcolor="white [3201]" stroked="f" strokeweight=".5pt">
                  <v:textbox style="layout-flow:vertical;mso-layout-flow-alt:bottom-to-top" inset="0,0,0,0">
                    <w:txbxContent>
                      <w:p w14:paraId="790A2BD3" w14:textId="77777777" w:rsidR="00AF6FB7" w:rsidRDefault="00AF6FB7" w:rsidP="00AF6FB7">
                        <w:r>
                          <w:t>Frequency</w:t>
                        </w:r>
                      </w:p>
                    </w:txbxContent>
                  </v:textbox>
                </v:shape>
                <v:line id="Straight Connector 45" o:spid="_x0000_s1045" style="position:absolute;visibility:visible;mso-wrap-style:square" from="27754,2838" to="27754,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" strokecolor="black [3213]">
                  <v:stroke dashstyle="dash"/>
                </v:line>
                <v:line id="Straight Connector 46" o:spid="_x0000_s1046" style="position:absolute;visibility:visible;mso-wrap-style:square" from="25011,2832" to="25011,19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" strokecolor="black [3213]">
                  <v:stroke dashstyle="dash"/>
                </v:line>
                <v:line id="Straight Connector 47" o:spid="_x0000_s1047" style="position:absolute;visibility:visible;mso-wrap-style:square" from="38956,3473" to="38956,19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" strokecolor="black [3213]">
                  <v:stroke dashstyle="dash"/>
                </v:line>
                <v:line id="Straight Connector 48" o:spid="_x0000_s1048" style="position:absolute;visibility:visible;mso-wrap-style:square" from="43756,3470" to="43756,19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" strokecolor="black [3213]">
                  <v:stroke dashstyle="dash"/>
                </v:line>
                <v:shape id="Text Box 49" o:spid="_x0000_s1049" type="#_x0000_t202" style="position:absolute;left:37643;top:22498;width:594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" fillcolor="white [3201]" stroked="f" strokeweight=".5pt">
                  <v:textbox inset="0,0,0,0">
                    <w:txbxContent>
                      <w:p w14:paraId="37334785" w14:textId="77777777" w:rsidR="00AF6FB7" w:rsidRDefault="00AF6FB7" w:rsidP="00AF6FB7">
                        <w:r>
                          <w:t>Pattern 3</w:t>
                        </w:r>
                      </w:p>
                    </w:txbxContent>
                  </v:textbox>
                </v:shape>
                <w10:anchorlock/>
              </v:group>
            </w:pict>
          </mc:Fallback>
        </mc:AlternateContent>
      </w:r>
    </w:p>
    <w:p w14:paraId="5DF868A2" w14:textId="2BC8798A" w:rsidR="00AF6FB7" w:rsidRDefault="00AF6FB7" w:rsidP="00AF6FB7">
      <w:pPr>
        <w:pStyle w:val="Caption"/>
        <w:rPr>
          <w:lang w:eastAsia="ja-JP"/>
        </w:rPr>
      </w:pPr>
      <w:bookmarkStart w:id="7" w:name="_Ref79145403"/>
      <w:r>
        <w:t xml:space="preserve">Fig. </w:t>
      </w:r>
      <w:r w:rsidR="009B31EC">
        <w:fldChar w:fldCharType="begin"/>
      </w:r>
      <w:r w:rsidR="009B31EC">
        <w:instrText xml:space="preserve"> SEQ Fig. \* ARABIC </w:instrText>
      </w:r>
      <w:r w:rsidR="009B31EC">
        <w:fldChar w:fldCharType="separate"/>
      </w:r>
      <w:r w:rsidR="00D40F5E">
        <w:rPr>
          <w:noProof/>
        </w:rPr>
        <w:t>1</w:t>
      </w:r>
      <w:r w:rsidR="009B31EC">
        <w:rPr>
          <w:noProof/>
        </w:rPr>
        <w:fldChar w:fldCharType="end"/>
      </w:r>
      <w:bookmarkEnd w:id="7"/>
      <w:r>
        <w:t>. SSB / CORESET#0 patterns (based on</w:t>
      </w:r>
      <w:r>
        <w:rPr>
          <w:rFonts w:eastAsia="Yu Mincho"/>
          <w:iCs/>
          <w:lang w:eastAsia="ja-JP"/>
        </w:rPr>
        <w:t xml:space="preserve"> </w:t>
      </w:r>
      <w:r>
        <w:rPr>
          <w:rFonts w:eastAsia="Yu Mincho"/>
          <w:bCs w:val="0"/>
          <w:iCs/>
          <w:lang w:eastAsia="ja-JP"/>
        </w:rPr>
        <w:fldChar w:fldCharType="begin"/>
      </w:r>
      <w:r>
        <w:rPr>
          <w:rFonts w:eastAsia="Yu Mincho"/>
          <w:iCs/>
          <w:lang w:eastAsia="ja-JP"/>
        </w:rPr>
        <w:instrText xml:space="preserve"> REF _Ref77229333 \r \h </w:instrText>
      </w:r>
      <w:r>
        <w:rPr>
          <w:rFonts w:eastAsia="Yu Mincho"/>
          <w:bCs w:val="0"/>
          <w:iCs/>
          <w:lang w:eastAsia="ja-JP"/>
        </w:rPr>
      </w:r>
      <w:r>
        <w:rPr>
          <w:rFonts w:eastAsia="Yu Mincho"/>
          <w:bCs w:val="0"/>
          <w:iCs/>
          <w:lang w:eastAsia="ja-JP"/>
        </w:rPr>
        <w:fldChar w:fldCharType="separate"/>
      </w:r>
      <w:r w:rsidR="00D40F5E">
        <w:rPr>
          <w:rFonts w:eastAsia="Yu Mincho"/>
          <w:iCs/>
          <w:lang w:eastAsia="ja-JP"/>
        </w:rPr>
        <w:t>[7]</w:t>
      </w:r>
      <w:r>
        <w:rPr>
          <w:rFonts w:eastAsia="Yu Mincho"/>
          <w:bCs w:val="0"/>
          <w:iCs/>
          <w:lang w:eastAsia="ja-JP"/>
        </w:rPr>
        <w:fldChar w:fldCharType="end"/>
      </w:r>
      <w:r>
        <w:rPr>
          <w:lang w:eastAsia="ja-JP"/>
        </w:rPr>
        <w:t>)</w:t>
      </w:r>
    </w:p>
    <w:p w14:paraId="50D32B4C" w14:textId="4EC7DC70" w:rsidR="00192217" w:rsidRDefault="00AF13AC" w:rsidP="00FC04A8">
      <w:pPr>
        <w:rPr>
          <w:rFonts w:eastAsia="Yu Mincho"/>
          <w:bCs/>
          <w:iCs/>
          <w:lang w:eastAsia="ja-JP"/>
        </w:rPr>
      </w:pPr>
      <w:r>
        <w:rPr>
          <w:rFonts w:eastAsia="Yu Mincho"/>
          <w:bCs/>
          <w:iCs/>
          <w:lang w:eastAsia="ja-JP"/>
        </w:rPr>
        <w:t>If the UL and DL BWPs for RedCap UEs are allowed to have different center frequencies for certain channels for TDD</w:t>
      </w:r>
      <w:r w:rsidR="009D0DC2">
        <w:rPr>
          <w:rFonts w:eastAsia="Yu Mincho"/>
          <w:bCs/>
          <w:iCs/>
          <w:lang w:eastAsia="ja-JP"/>
        </w:rPr>
        <w:t xml:space="preserve">, </w:t>
      </w:r>
      <w:r>
        <w:rPr>
          <w:rFonts w:eastAsia="Yu Mincho"/>
          <w:bCs/>
          <w:iCs/>
          <w:lang w:eastAsia="ja-JP"/>
        </w:rPr>
        <w:t>a</w:t>
      </w:r>
      <w:r w:rsidR="00E61775">
        <w:rPr>
          <w:rFonts w:eastAsia="Yu Mincho"/>
          <w:bCs/>
          <w:iCs/>
          <w:lang w:eastAsia="ja-JP"/>
        </w:rPr>
        <w:t xml:space="preserve"> BWP </w:t>
      </w:r>
      <w:r w:rsidR="00D40F5E">
        <w:rPr>
          <w:rFonts w:eastAsia="Yu Mincho"/>
          <w:bCs/>
          <w:iCs/>
          <w:lang w:eastAsia="ja-JP"/>
        </w:rPr>
        <w:t xml:space="preserve">can </w:t>
      </w:r>
      <w:r w:rsidR="00E61775">
        <w:rPr>
          <w:rFonts w:eastAsia="Yu Mincho"/>
          <w:bCs/>
          <w:iCs/>
          <w:lang w:eastAsia="ja-JP"/>
        </w:rPr>
        <w:t xml:space="preserve">be located on resources that </w:t>
      </w:r>
      <w:r>
        <w:rPr>
          <w:rFonts w:eastAsia="Yu Mincho"/>
          <w:bCs/>
          <w:iCs/>
          <w:lang w:eastAsia="ja-JP"/>
        </w:rPr>
        <w:t xml:space="preserve">improves </w:t>
      </w:r>
      <w:r w:rsidR="00E61775">
        <w:rPr>
          <w:rFonts w:eastAsia="Yu Mincho"/>
          <w:bCs/>
          <w:iCs/>
          <w:lang w:eastAsia="ja-JP"/>
        </w:rPr>
        <w:t>resource utilization. Further investigation into the FFS is needed.</w:t>
      </w:r>
    </w:p>
    <w:p w14:paraId="5030E7D6" w14:textId="08091475" w:rsidR="00192217" w:rsidRPr="0094634F" w:rsidRDefault="00192217" w:rsidP="00192217">
      <w:pPr>
        <w:rPr>
          <w:b/>
          <w:bCs/>
          <w:i/>
          <w:iCs/>
          <w:lang w:eastAsia="ja-JP"/>
        </w:rPr>
      </w:pPr>
      <w:r w:rsidRPr="0094634F">
        <w:rPr>
          <w:b/>
          <w:bCs/>
          <w:i/>
          <w:iCs/>
          <w:lang w:eastAsia="ja-JP"/>
        </w:rPr>
        <w:lastRenderedPageBreak/>
        <w:t xml:space="preserve">Proposal </w:t>
      </w:r>
      <w:r w:rsidR="00D343D9">
        <w:rPr>
          <w:b/>
          <w:bCs/>
          <w:i/>
          <w:iCs/>
          <w:lang w:eastAsia="ja-JP"/>
        </w:rPr>
        <w:t>6</w:t>
      </w:r>
      <w:r w:rsidRPr="0094634F">
        <w:rPr>
          <w:b/>
          <w:bCs/>
          <w:i/>
          <w:iCs/>
          <w:lang w:eastAsia="ja-JP"/>
        </w:rPr>
        <w:t>:</w:t>
      </w:r>
      <w:r>
        <w:rPr>
          <w:b/>
          <w:bCs/>
          <w:i/>
          <w:iCs/>
          <w:lang w:eastAsia="ja-JP"/>
        </w:rPr>
        <w:t xml:space="preserve"> </w:t>
      </w:r>
      <w:r w:rsidR="00E61775">
        <w:rPr>
          <w:b/>
          <w:bCs/>
          <w:i/>
          <w:iCs/>
          <w:lang w:eastAsia="ja-JP"/>
        </w:rPr>
        <w:t>Agree to the working assumption</w:t>
      </w:r>
      <w:r w:rsidR="003E2D4F">
        <w:rPr>
          <w:b/>
          <w:bCs/>
          <w:i/>
          <w:iCs/>
          <w:lang w:eastAsia="ja-JP"/>
        </w:rPr>
        <w:t xml:space="preserve"> regarding</w:t>
      </w:r>
      <w:r w:rsidR="003E2D4F" w:rsidRPr="003E2D4F">
        <w:t xml:space="preserve"> </w:t>
      </w:r>
      <w:r w:rsidR="003E2D4F" w:rsidRPr="003E2D4F">
        <w:rPr>
          <w:b/>
          <w:bCs/>
          <w:i/>
          <w:iCs/>
          <w:lang w:eastAsia="ja-JP"/>
        </w:rPr>
        <w:t>a separate initial UL BWP no wider than the RedCap UE maximum bandwidth is configured/defined for RedCap UEs</w:t>
      </w:r>
      <w:r w:rsidR="003E2D4F">
        <w:rPr>
          <w:b/>
          <w:bCs/>
          <w:i/>
          <w:iCs/>
          <w:lang w:eastAsia="ja-JP"/>
        </w:rPr>
        <w:t xml:space="preserve"> </w:t>
      </w:r>
      <w:r w:rsidR="006424A8">
        <w:rPr>
          <w:b/>
          <w:bCs/>
          <w:i/>
          <w:iCs/>
          <w:lang w:eastAsia="ja-JP"/>
        </w:rPr>
        <w:t>and keep the FFS.</w:t>
      </w:r>
    </w:p>
    <w:p w14:paraId="07EB64A2" w14:textId="77777777" w:rsidR="00FC04A8" w:rsidRDefault="00FC04A8" w:rsidP="00FC04A8">
      <w:pPr>
        <w:rPr>
          <w:rFonts w:eastAsia="Yu Mincho"/>
          <w:bCs/>
          <w:iCs/>
          <w:lang w:eastAsia="ja-JP"/>
        </w:rPr>
      </w:pPr>
    </w:p>
    <w:tbl>
      <w:tblPr>
        <w:tblStyle w:val="TableGrid"/>
        <w:tblW w:w="0" w:type="auto"/>
        <w:tblLook w:val="04A0" w:firstRow="1" w:lastRow="0" w:firstColumn="1" w:lastColumn="0" w:noHBand="0" w:noVBand="1"/>
      </w:tblPr>
      <w:tblGrid>
        <w:gridCol w:w="9307"/>
      </w:tblGrid>
      <w:tr w:rsidR="00FC04A8" w14:paraId="7DC8C837" w14:textId="77777777" w:rsidTr="005E3A18">
        <w:tc>
          <w:tcPr>
            <w:tcW w:w="9307" w:type="dxa"/>
          </w:tcPr>
          <w:p w14:paraId="6C80446F" w14:textId="77777777" w:rsidR="00FC04A8" w:rsidRPr="00687804" w:rsidRDefault="00FC04A8" w:rsidP="005E3A18">
            <w:pPr>
              <w:rPr>
                <w:rFonts w:eastAsia="Times New Roman" w:cs="Times"/>
                <w:sz w:val="20"/>
                <w:szCs w:val="20"/>
                <w:highlight w:val="darkYellow"/>
                <w:lang w:eastAsia="ja-JP"/>
              </w:rPr>
            </w:pPr>
            <w:r w:rsidRPr="00687804">
              <w:rPr>
                <w:rFonts w:eastAsia="Times New Roman" w:cs="Times"/>
                <w:sz w:val="20"/>
                <w:szCs w:val="20"/>
                <w:highlight w:val="darkYellow"/>
                <w:lang w:eastAsia="ja-JP"/>
              </w:rPr>
              <w:t xml:space="preserve">Working assumption: </w:t>
            </w:r>
          </w:p>
          <w:p w14:paraId="0FCE4F43" w14:textId="77777777" w:rsidR="00FC04A8" w:rsidRPr="00687804" w:rsidRDefault="00FC04A8" w:rsidP="005E3A18">
            <w:pPr>
              <w:numPr>
                <w:ilvl w:val="0"/>
                <w:numId w:val="14"/>
              </w:numPr>
              <w:autoSpaceDE/>
              <w:autoSpaceDN/>
              <w:adjustRightInd/>
              <w:snapToGrid/>
              <w:spacing w:after="0"/>
              <w:jc w:val="left"/>
              <w:rPr>
                <w:rFonts w:eastAsia="Batang"/>
                <w:sz w:val="20"/>
                <w:szCs w:val="20"/>
              </w:rPr>
            </w:pPr>
            <w:r w:rsidRPr="00687804">
              <w:rPr>
                <w:rFonts w:eastAsia="Times New Roman" w:cs="Times"/>
                <w:sz w:val="20"/>
                <w:szCs w:val="20"/>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78C37768" w14:textId="77777777" w:rsidR="00FC04A8" w:rsidRPr="00687804" w:rsidRDefault="00FC04A8" w:rsidP="005E3A18">
            <w:pPr>
              <w:numPr>
                <w:ilvl w:val="1"/>
                <w:numId w:val="13"/>
              </w:numPr>
              <w:autoSpaceDE/>
              <w:autoSpaceDN/>
              <w:adjustRightInd/>
              <w:snapToGrid/>
              <w:spacing w:after="0"/>
              <w:jc w:val="left"/>
              <w:rPr>
                <w:rFonts w:eastAsia="Times New Roman"/>
                <w:lang w:eastAsia="ja-JP"/>
              </w:rPr>
            </w:pPr>
            <w:r w:rsidRPr="00687804">
              <w:rPr>
                <w:rFonts w:eastAsia="Times New Roman" w:cs="Times"/>
                <w:sz w:val="20"/>
                <w:szCs w:val="20"/>
                <w:lang w:eastAsia="ja-JP"/>
              </w:rPr>
              <w:t>FFS: whether/how the specification also supports separate PUCCH/Msg3/[MsgA] PUSCH configuration/indication or a different interpretation of the same configuration/indication for RedCap (e.g., disabled frequency hopping or different frequency hopping)</w:t>
            </w:r>
          </w:p>
        </w:tc>
      </w:tr>
    </w:tbl>
    <w:p w14:paraId="1AB5D481" w14:textId="77777777" w:rsidR="00FC04A8" w:rsidRDefault="00FC04A8" w:rsidP="00FC04A8">
      <w:pPr>
        <w:rPr>
          <w:lang w:eastAsia="ja-JP"/>
        </w:rPr>
      </w:pPr>
    </w:p>
    <w:p w14:paraId="1B13E9FF" w14:textId="530590C5" w:rsidR="000B7A65" w:rsidRPr="000B7A65" w:rsidRDefault="00E61775" w:rsidP="000B7A65">
      <w:pPr>
        <w:rPr>
          <w:lang w:eastAsia="ja-JP"/>
        </w:rPr>
      </w:pPr>
      <w:r>
        <w:rPr>
          <w:lang w:eastAsia="ja-JP"/>
        </w:rPr>
        <w:t xml:space="preserve">As in the case where the configured initial UL BWP for non-RedCap UEs is larger than the max BW </w:t>
      </w:r>
      <w:r w:rsidR="003E2D4F">
        <w:rPr>
          <w:lang w:eastAsia="ja-JP"/>
        </w:rPr>
        <w:t>of a RedCap UE, a BWP is needed for the RedCap UE in order to transmit the PUSCH / PUCCH. Several companies indicated a benefit of disabling frequency hopping or different frequency hopping for PUCCH. That FFS can be further investigated.</w:t>
      </w:r>
    </w:p>
    <w:p w14:paraId="7F3AE5CA" w14:textId="625B8044" w:rsidR="00192217" w:rsidRPr="0094634F" w:rsidRDefault="00192217" w:rsidP="00192217">
      <w:pPr>
        <w:rPr>
          <w:b/>
          <w:bCs/>
          <w:i/>
          <w:iCs/>
          <w:lang w:eastAsia="ja-JP"/>
        </w:rPr>
      </w:pPr>
      <w:r w:rsidRPr="0094634F">
        <w:rPr>
          <w:b/>
          <w:bCs/>
          <w:i/>
          <w:iCs/>
          <w:lang w:eastAsia="ja-JP"/>
        </w:rPr>
        <w:t xml:space="preserve">Proposal </w:t>
      </w:r>
      <w:r w:rsidR="00D343D9">
        <w:rPr>
          <w:b/>
          <w:bCs/>
          <w:i/>
          <w:iCs/>
          <w:lang w:eastAsia="ja-JP"/>
        </w:rPr>
        <w:t>7</w:t>
      </w:r>
      <w:r w:rsidRPr="0094634F">
        <w:rPr>
          <w:b/>
          <w:bCs/>
          <w:i/>
          <w:iCs/>
          <w:lang w:eastAsia="ja-JP"/>
        </w:rPr>
        <w:t>:</w:t>
      </w:r>
      <w:r>
        <w:rPr>
          <w:b/>
          <w:bCs/>
          <w:i/>
          <w:iCs/>
          <w:lang w:eastAsia="ja-JP"/>
        </w:rPr>
        <w:t xml:space="preserve"> </w:t>
      </w:r>
      <w:r w:rsidR="003E2D4F">
        <w:rPr>
          <w:b/>
          <w:bCs/>
          <w:i/>
          <w:iCs/>
          <w:lang w:eastAsia="ja-JP"/>
        </w:rPr>
        <w:t xml:space="preserve">Agree to the working assumption to </w:t>
      </w:r>
      <w:r w:rsidR="003E2D4F" w:rsidRPr="003E2D4F">
        <w:rPr>
          <w:b/>
          <w:bCs/>
          <w:i/>
          <w:iCs/>
          <w:lang w:eastAsia="ja-JP"/>
        </w:rPr>
        <w:t xml:space="preserve">support separate initial UL BWP for RedCap UEs </w:t>
      </w:r>
      <w:r w:rsidR="003E2D4F">
        <w:rPr>
          <w:b/>
          <w:bCs/>
          <w:i/>
          <w:iCs/>
          <w:lang w:eastAsia="ja-JP"/>
        </w:rPr>
        <w:t xml:space="preserve">regarding </w:t>
      </w:r>
      <w:r w:rsidR="003E2D4F" w:rsidRPr="003E2D4F">
        <w:rPr>
          <w:b/>
          <w:bCs/>
          <w:i/>
          <w:iCs/>
          <w:lang w:eastAsia="ja-JP"/>
        </w:rPr>
        <w:t>enabling/supporting that PUCCH and/or PUSCH</w:t>
      </w:r>
      <w:r w:rsidR="003E2D4F" w:rsidRPr="003E2D4F">
        <w:rPr>
          <w:rFonts w:eastAsia="Times New Roman" w:cs="Times"/>
          <w:sz w:val="20"/>
          <w:szCs w:val="20"/>
          <w:lang w:eastAsia="ja-JP"/>
        </w:rPr>
        <w:t xml:space="preserve"> </w:t>
      </w:r>
      <w:r w:rsidR="003E2D4F" w:rsidRPr="003E2D4F">
        <w:rPr>
          <w:b/>
          <w:bCs/>
          <w:i/>
          <w:iCs/>
          <w:lang w:eastAsia="ja-JP"/>
        </w:rPr>
        <w:t>transmissions fall</w:t>
      </w:r>
      <w:r w:rsidR="003E2D4F">
        <w:rPr>
          <w:b/>
          <w:bCs/>
          <w:i/>
          <w:iCs/>
          <w:lang w:eastAsia="ja-JP"/>
        </w:rPr>
        <w:t>ing</w:t>
      </w:r>
      <w:r w:rsidR="003E2D4F" w:rsidRPr="003E2D4F">
        <w:rPr>
          <w:b/>
          <w:bCs/>
          <w:i/>
          <w:iCs/>
          <w:lang w:eastAsia="ja-JP"/>
        </w:rPr>
        <w:t xml:space="preserve"> within the RedCap UE bandwidth</w:t>
      </w:r>
    </w:p>
    <w:p w14:paraId="13FA823F" w14:textId="77777777" w:rsidR="00ED07AA" w:rsidRPr="00FA21D4" w:rsidRDefault="00ED07AA" w:rsidP="007D26F2"/>
    <w:p w14:paraId="1A801C54" w14:textId="5BBF2CFF" w:rsidR="004B3422" w:rsidRPr="00FA21D4" w:rsidRDefault="004B3422" w:rsidP="004B3422">
      <w:pPr>
        <w:pStyle w:val="Heading1"/>
        <w:tabs>
          <w:tab w:val="clear" w:pos="432"/>
        </w:tabs>
      </w:pPr>
      <w:bookmarkStart w:id="8" w:name="_Ref129681832"/>
      <w:r w:rsidRPr="00FA21D4">
        <w:t>Conclusion</w:t>
      </w:r>
    </w:p>
    <w:p w14:paraId="4EB647CE" w14:textId="514E9017" w:rsidR="00481407" w:rsidRPr="00FA21D4" w:rsidRDefault="00691F01" w:rsidP="00481407">
      <w:r>
        <w:t>This contribution provided proposals and observations based to the working assumptions and FFS from RAN1#105</w:t>
      </w:r>
      <w:r w:rsidR="002A2ED4" w:rsidRPr="00FA21D4">
        <w:t xml:space="preserve">. </w:t>
      </w:r>
    </w:p>
    <w:p w14:paraId="12B2E04D" w14:textId="77777777" w:rsidR="006B6341" w:rsidRPr="007F3124" w:rsidRDefault="006B6341" w:rsidP="006B6341">
      <w:pPr>
        <w:rPr>
          <w:b/>
          <w:bCs/>
          <w:i/>
          <w:iCs/>
          <w:lang w:eastAsia="ja-JP"/>
        </w:rPr>
      </w:pPr>
      <w:r w:rsidRPr="007F3124">
        <w:rPr>
          <w:b/>
          <w:bCs/>
          <w:i/>
          <w:iCs/>
          <w:lang w:eastAsia="ja-JP"/>
        </w:rPr>
        <w:t>Observation 1: Appendix B.2 in 38.331 effectively states that the parameters for BWP#0 should match the parameters during initial access.</w:t>
      </w:r>
    </w:p>
    <w:p w14:paraId="76438209" w14:textId="5DDA5561" w:rsidR="00D343D9" w:rsidRDefault="00D343D9" w:rsidP="00D343D9">
      <w:pPr>
        <w:rPr>
          <w:b/>
          <w:bCs/>
          <w:i/>
          <w:iCs/>
          <w:lang w:eastAsia="ja-JP"/>
        </w:rPr>
      </w:pPr>
      <w:r>
        <w:rPr>
          <w:b/>
          <w:bCs/>
          <w:i/>
          <w:iCs/>
          <w:lang w:eastAsia="ja-JP"/>
        </w:rPr>
        <w:t>Proposal</w:t>
      </w:r>
      <w:r w:rsidRPr="003C12B0">
        <w:rPr>
          <w:b/>
          <w:bCs/>
          <w:i/>
          <w:iCs/>
          <w:lang w:eastAsia="ja-JP"/>
        </w:rPr>
        <w:t xml:space="preserve"> </w:t>
      </w:r>
      <w:r>
        <w:rPr>
          <w:b/>
          <w:bCs/>
          <w:i/>
          <w:iCs/>
          <w:lang w:eastAsia="ja-JP"/>
        </w:rPr>
        <w:t>1</w:t>
      </w:r>
      <w:r w:rsidRPr="003C12B0">
        <w:rPr>
          <w:b/>
          <w:bCs/>
          <w:i/>
          <w:iCs/>
          <w:lang w:eastAsia="ja-JP"/>
        </w:rPr>
        <w:t xml:space="preserve">: </w:t>
      </w:r>
      <w:r>
        <w:rPr>
          <w:b/>
          <w:bCs/>
          <w:i/>
          <w:iCs/>
          <w:lang w:eastAsia="ja-JP"/>
        </w:rPr>
        <w:t>A description of a separate DL BWP is needed before any agreements are made</w:t>
      </w:r>
      <w:r w:rsidRPr="003C12B0">
        <w:rPr>
          <w:b/>
          <w:bCs/>
          <w:i/>
          <w:iCs/>
          <w:lang w:eastAsia="ja-JP"/>
        </w:rPr>
        <w:t>.</w:t>
      </w:r>
    </w:p>
    <w:p w14:paraId="77F73568" w14:textId="532FCA6D" w:rsidR="006B6341" w:rsidRDefault="006B6341" w:rsidP="006B6341">
      <w:pPr>
        <w:rPr>
          <w:b/>
          <w:bCs/>
          <w:i/>
          <w:iCs/>
          <w:lang w:eastAsia="ja-JP"/>
        </w:rPr>
      </w:pPr>
      <w:r w:rsidRPr="0072677F">
        <w:rPr>
          <w:b/>
          <w:bCs/>
          <w:i/>
          <w:iCs/>
          <w:lang w:eastAsia="ja-JP"/>
        </w:rPr>
        <w:t xml:space="preserve">Proposal </w:t>
      </w:r>
      <w:r w:rsidR="00D343D9">
        <w:rPr>
          <w:b/>
          <w:bCs/>
          <w:i/>
          <w:iCs/>
          <w:lang w:eastAsia="ja-JP"/>
        </w:rPr>
        <w:t>2</w:t>
      </w:r>
      <w:r w:rsidRPr="0072677F">
        <w:rPr>
          <w:b/>
          <w:bCs/>
          <w:i/>
          <w:iCs/>
          <w:lang w:eastAsia="ja-JP"/>
        </w:rPr>
        <w:t xml:space="preserve">: If a separately initial BWP is supported, </w:t>
      </w:r>
      <w:r>
        <w:rPr>
          <w:b/>
          <w:bCs/>
          <w:i/>
          <w:iCs/>
          <w:lang w:eastAsia="ja-JP"/>
        </w:rPr>
        <w:t>a sufficient time gap should be defined in order for a RedCap UE to monitor the SSB associated with CORESET#0 derived from the MIB.</w:t>
      </w:r>
    </w:p>
    <w:p w14:paraId="39CA1EEA" w14:textId="18286990" w:rsidR="006B6341" w:rsidRDefault="006B6341" w:rsidP="006B6341">
      <w:pPr>
        <w:rPr>
          <w:b/>
          <w:bCs/>
          <w:i/>
          <w:iCs/>
          <w:lang w:eastAsia="ja-JP"/>
        </w:rPr>
      </w:pPr>
      <w:r w:rsidRPr="0072677F">
        <w:rPr>
          <w:b/>
          <w:bCs/>
          <w:i/>
          <w:iCs/>
          <w:lang w:eastAsia="ja-JP"/>
        </w:rPr>
        <w:t xml:space="preserve">Proposal </w:t>
      </w:r>
      <w:r w:rsidR="00D343D9">
        <w:rPr>
          <w:b/>
          <w:bCs/>
          <w:i/>
          <w:iCs/>
          <w:lang w:eastAsia="ja-JP"/>
        </w:rPr>
        <w:t>3</w:t>
      </w:r>
      <w:r w:rsidRPr="0072677F">
        <w:rPr>
          <w:b/>
          <w:bCs/>
          <w:i/>
          <w:iCs/>
          <w:lang w:eastAsia="ja-JP"/>
        </w:rPr>
        <w:t>: If a separately initial BWP is supported, the possible bandwidths are among the bandwidths for CORESET#0 derived from the MIB.</w:t>
      </w:r>
    </w:p>
    <w:p w14:paraId="62E1508F" w14:textId="305A1F36" w:rsidR="006B6341" w:rsidRDefault="006B6341" w:rsidP="006B6341">
      <w:pPr>
        <w:rPr>
          <w:b/>
          <w:bCs/>
          <w:i/>
          <w:iCs/>
          <w:lang w:eastAsia="ja-JP"/>
        </w:rPr>
      </w:pPr>
      <w:r w:rsidRPr="00FC04A8">
        <w:rPr>
          <w:b/>
          <w:bCs/>
          <w:i/>
          <w:iCs/>
          <w:lang w:eastAsia="ja-JP"/>
        </w:rPr>
        <w:t xml:space="preserve">Proposal </w:t>
      </w:r>
      <w:r w:rsidR="00D343D9">
        <w:rPr>
          <w:b/>
          <w:bCs/>
          <w:i/>
          <w:iCs/>
          <w:lang w:eastAsia="ja-JP"/>
        </w:rPr>
        <w:t>4</w:t>
      </w:r>
      <w:r w:rsidRPr="00FC04A8">
        <w:rPr>
          <w:b/>
          <w:bCs/>
          <w:i/>
          <w:iCs/>
          <w:lang w:eastAsia="ja-JP"/>
        </w:rPr>
        <w:t xml:space="preserve">: </w:t>
      </w:r>
      <w:r>
        <w:rPr>
          <w:b/>
          <w:bCs/>
          <w:i/>
          <w:iCs/>
          <w:lang w:eastAsia="ja-JP"/>
        </w:rPr>
        <w:t xml:space="preserve">The two working assumptions regarding </w:t>
      </w:r>
      <w:r w:rsidRPr="00117C9B">
        <w:rPr>
          <w:b/>
          <w:bCs/>
          <w:i/>
          <w:iCs/>
          <w:lang w:eastAsia="ja-JP"/>
        </w:rPr>
        <w:t>BWP#0 configuration</w:t>
      </w:r>
      <w:r>
        <w:rPr>
          <w:b/>
          <w:bCs/>
          <w:i/>
          <w:iCs/>
          <w:lang w:eastAsia="ja-JP"/>
        </w:rPr>
        <w:t xml:space="preserve"> option 1 and </w:t>
      </w:r>
      <w:r w:rsidRPr="00117C9B">
        <w:rPr>
          <w:b/>
          <w:bCs/>
          <w:i/>
          <w:iCs/>
          <w:lang w:eastAsia="ja-JP"/>
        </w:rPr>
        <w:t>BWP#0 configuration</w:t>
      </w:r>
      <w:r>
        <w:rPr>
          <w:b/>
          <w:bCs/>
          <w:i/>
          <w:iCs/>
          <w:lang w:eastAsia="ja-JP"/>
        </w:rPr>
        <w:t xml:space="preserve"> option 2 can be confirmed.</w:t>
      </w:r>
    </w:p>
    <w:p w14:paraId="238DD986" w14:textId="2EA3B87D" w:rsidR="00E1057E" w:rsidRPr="00117C9B" w:rsidRDefault="00E1057E" w:rsidP="00E1057E">
      <w:pPr>
        <w:rPr>
          <w:b/>
          <w:bCs/>
          <w:i/>
          <w:iCs/>
          <w:highlight w:val="yellow"/>
          <w:lang w:eastAsia="ja-JP"/>
        </w:rPr>
      </w:pPr>
      <w:r w:rsidRPr="00117C9B">
        <w:rPr>
          <w:b/>
          <w:bCs/>
          <w:i/>
          <w:iCs/>
          <w:lang w:eastAsia="ja-JP"/>
        </w:rPr>
        <w:t xml:space="preserve">Proposal </w:t>
      </w:r>
      <w:r w:rsidR="00D343D9">
        <w:rPr>
          <w:b/>
          <w:bCs/>
          <w:i/>
          <w:iCs/>
          <w:lang w:eastAsia="ja-JP"/>
        </w:rPr>
        <w:t>5</w:t>
      </w:r>
      <w:r w:rsidRPr="00117C9B">
        <w:rPr>
          <w:b/>
          <w:bCs/>
          <w:i/>
          <w:iCs/>
          <w:lang w:eastAsia="ja-JP"/>
        </w:rPr>
        <w:t>:</w:t>
      </w:r>
      <w:r w:rsidRPr="00E1057E">
        <w:rPr>
          <w:b/>
          <w:bCs/>
          <w:i/>
          <w:iCs/>
          <w:lang w:eastAsia="ja-JP"/>
        </w:rPr>
        <w:t xml:space="preserve"> </w:t>
      </w:r>
      <w:r>
        <w:rPr>
          <w:b/>
          <w:bCs/>
          <w:i/>
          <w:iCs/>
          <w:lang w:eastAsia="ja-JP"/>
        </w:rPr>
        <w:t>Before any agreements,</w:t>
      </w:r>
      <w:r w:rsidRPr="00117C9B">
        <w:rPr>
          <w:b/>
          <w:bCs/>
          <w:i/>
          <w:iCs/>
          <w:lang w:eastAsia="ja-JP"/>
        </w:rPr>
        <w:t xml:space="preserve"> </w:t>
      </w:r>
      <w:r>
        <w:rPr>
          <w:b/>
          <w:bCs/>
          <w:i/>
          <w:iCs/>
          <w:lang w:eastAsia="ja-JP"/>
        </w:rPr>
        <w:t>the relationship between both working assumptions regarding separate initial UL BWP for RedCap UEs and RO sharing between RedCap and non-RedCap UEs must be clarified.</w:t>
      </w:r>
    </w:p>
    <w:p w14:paraId="360840A9" w14:textId="66D272CE" w:rsidR="006B6341" w:rsidRPr="0094634F" w:rsidRDefault="006B6341" w:rsidP="006B6341">
      <w:pPr>
        <w:rPr>
          <w:b/>
          <w:bCs/>
          <w:i/>
          <w:iCs/>
          <w:lang w:eastAsia="ja-JP"/>
        </w:rPr>
      </w:pPr>
      <w:r w:rsidRPr="0094634F">
        <w:rPr>
          <w:b/>
          <w:bCs/>
          <w:i/>
          <w:iCs/>
          <w:lang w:eastAsia="ja-JP"/>
        </w:rPr>
        <w:t xml:space="preserve">Proposal </w:t>
      </w:r>
      <w:r w:rsidR="00D343D9">
        <w:rPr>
          <w:b/>
          <w:bCs/>
          <w:i/>
          <w:iCs/>
          <w:lang w:eastAsia="ja-JP"/>
        </w:rPr>
        <w:t>6</w:t>
      </w:r>
      <w:r w:rsidRPr="0094634F">
        <w:rPr>
          <w:b/>
          <w:bCs/>
          <w:i/>
          <w:iCs/>
          <w:lang w:eastAsia="ja-JP"/>
        </w:rPr>
        <w:t>:</w:t>
      </w:r>
      <w:r>
        <w:rPr>
          <w:b/>
          <w:bCs/>
          <w:i/>
          <w:iCs/>
          <w:lang w:eastAsia="ja-JP"/>
        </w:rPr>
        <w:t xml:space="preserve"> Agree to the working assumption regarding</w:t>
      </w:r>
      <w:r w:rsidRPr="003E2D4F">
        <w:t xml:space="preserve"> </w:t>
      </w:r>
      <w:r w:rsidRPr="003E2D4F">
        <w:rPr>
          <w:b/>
          <w:bCs/>
          <w:i/>
          <w:iCs/>
          <w:lang w:eastAsia="ja-JP"/>
        </w:rPr>
        <w:t>a separate initial UL BWP no wider than the RedCap UE maximum bandwidth is configured/defined for RedCap UEs</w:t>
      </w:r>
      <w:r>
        <w:rPr>
          <w:b/>
          <w:bCs/>
          <w:i/>
          <w:iCs/>
          <w:lang w:eastAsia="ja-JP"/>
        </w:rPr>
        <w:t xml:space="preserve"> and keep the FFS.</w:t>
      </w:r>
    </w:p>
    <w:p w14:paraId="1B95DD1F" w14:textId="2227F135" w:rsidR="006B6341" w:rsidRPr="0094634F" w:rsidRDefault="006B6341" w:rsidP="006B6341">
      <w:pPr>
        <w:rPr>
          <w:b/>
          <w:bCs/>
          <w:i/>
          <w:iCs/>
          <w:lang w:eastAsia="ja-JP"/>
        </w:rPr>
      </w:pPr>
      <w:r w:rsidRPr="0094634F">
        <w:rPr>
          <w:b/>
          <w:bCs/>
          <w:i/>
          <w:iCs/>
          <w:lang w:eastAsia="ja-JP"/>
        </w:rPr>
        <w:t xml:space="preserve">Proposal </w:t>
      </w:r>
      <w:r w:rsidR="00D343D9">
        <w:rPr>
          <w:b/>
          <w:bCs/>
          <w:i/>
          <w:iCs/>
          <w:lang w:eastAsia="ja-JP"/>
        </w:rPr>
        <w:t>7</w:t>
      </w:r>
      <w:r w:rsidRPr="0094634F">
        <w:rPr>
          <w:b/>
          <w:bCs/>
          <w:i/>
          <w:iCs/>
          <w:lang w:eastAsia="ja-JP"/>
        </w:rPr>
        <w:t>:</w:t>
      </w:r>
      <w:r>
        <w:rPr>
          <w:b/>
          <w:bCs/>
          <w:i/>
          <w:iCs/>
          <w:lang w:eastAsia="ja-JP"/>
        </w:rPr>
        <w:t xml:space="preserve"> Agree to the working assumption to </w:t>
      </w:r>
      <w:r w:rsidRPr="003E2D4F">
        <w:rPr>
          <w:b/>
          <w:bCs/>
          <w:i/>
          <w:iCs/>
          <w:lang w:eastAsia="ja-JP"/>
        </w:rPr>
        <w:t xml:space="preserve">support separate initial UL BWP for RedCap UEs </w:t>
      </w:r>
      <w:r>
        <w:rPr>
          <w:b/>
          <w:bCs/>
          <w:i/>
          <w:iCs/>
          <w:lang w:eastAsia="ja-JP"/>
        </w:rPr>
        <w:t xml:space="preserve">regarding </w:t>
      </w:r>
      <w:r w:rsidRPr="003E2D4F">
        <w:rPr>
          <w:b/>
          <w:bCs/>
          <w:i/>
          <w:iCs/>
          <w:lang w:eastAsia="ja-JP"/>
        </w:rPr>
        <w:t>enabling/supporting that PUCCH and/or PUSCH</w:t>
      </w:r>
      <w:r w:rsidRPr="003E2D4F">
        <w:rPr>
          <w:rFonts w:eastAsia="Times New Roman" w:cs="Times"/>
          <w:sz w:val="20"/>
          <w:szCs w:val="20"/>
          <w:lang w:eastAsia="ja-JP"/>
        </w:rPr>
        <w:t xml:space="preserve"> </w:t>
      </w:r>
      <w:r w:rsidRPr="003E2D4F">
        <w:rPr>
          <w:b/>
          <w:bCs/>
          <w:i/>
          <w:iCs/>
          <w:lang w:eastAsia="ja-JP"/>
        </w:rPr>
        <w:t>transmissions fall</w:t>
      </w:r>
      <w:r>
        <w:rPr>
          <w:b/>
          <w:bCs/>
          <w:i/>
          <w:iCs/>
          <w:lang w:eastAsia="ja-JP"/>
        </w:rPr>
        <w:t>ing</w:t>
      </w:r>
      <w:r w:rsidRPr="003E2D4F">
        <w:rPr>
          <w:b/>
          <w:bCs/>
          <w:i/>
          <w:iCs/>
          <w:lang w:eastAsia="ja-JP"/>
        </w:rPr>
        <w:t xml:space="preserve"> within the RedCap UE bandwidth</w:t>
      </w:r>
    </w:p>
    <w:p w14:paraId="6894A1C9" w14:textId="77777777" w:rsidR="008365B1" w:rsidRPr="00142820" w:rsidRDefault="008365B1" w:rsidP="00C90627"/>
    <w:p w14:paraId="410E44E3" w14:textId="77777777" w:rsidR="001D780E" w:rsidRPr="00FA21D4" w:rsidRDefault="001D780E" w:rsidP="007F5EC6">
      <w:pPr>
        <w:pStyle w:val="Heading1"/>
        <w:numPr>
          <w:ilvl w:val="0"/>
          <w:numId w:val="0"/>
        </w:numPr>
        <w:ind w:left="432" w:hanging="432"/>
      </w:pPr>
      <w:bookmarkStart w:id="9" w:name="_Ref124589665"/>
      <w:bookmarkStart w:id="10" w:name="_Ref71620620"/>
      <w:bookmarkStart w:id="11" w:name="_Ref124671424"/>
      <w:r w:rsidRPr="00FA21D4">
        <w:t>References</w:t>
      </w:r>
    </w:p>
    <w:p w14:paraId="0C91BF73" w14:textId="380F48D8" w:rsidR="002A16D5" w:rsidRPr="0053647E" w:rsidRDefault="00CA7C89" w:rsidP="002A16D5">
      <w:pPr>
        <w:pStyle w:val="References"/>
        <w:rPr>
          <w:lang w:eastAsia="zh-CN"/>
        </w:rPr>
      </w:pPr>
      <w:bookmarkStart w:id="12" w:name="_Ref60902124"/>
      <w:bookmarkEnd w:id="8"/>
      <w:bookmarkEnd w:id="9"/>
      <w:bookmarkEnd w:id="10"/>
      <w:bookmarkEnd w:id="11"/>
      <w:r w:rsidRPr="0053647E">
        <w:t>RP-210918</w:t>
      </w:r>
      <w:r w:rsidR="002A16D5" w:rsidRPr="0053647E">
        <w:rPr>
          <w:lang w:eastAsia="zh-CN"/>
        </w:rPr>
        <w:t xml:space="preserve">, </w:t>
      </w:r>
      <w:r w:rsidR="00C90627" w:rsidRPr="0053647E">
        <w:rPr>
          <w:lang w:eastAsia="zh-CN"/>
        </w:rPr>
        <w:t>“</w:t>
      </w:r>
      <w:r w:rsidR="000526D4" w:rsidRPr="0053647E">
        <w:rPr>
          <w:lang w:eastAsia="zh-CN"/>
        </w:rPr>
        <w:t>New WID on support of reduced capability NR devices</w:t>
      </w:r>
      <w:r w:rsidR="00C90627" w:rsidRPr="0053647E">
        <w:rPr>
          <w:lang w:eastAsia="zh-CN"/>
        </w:rPr>
        <w:t>”</w:t>
      </w:r>
      <w:r w:rsidR="002A16D5" w:rsidRPr="0053647E">
        <w:rPr>
          <w:lang w:eastAsia="zh-CN"/>
        </w:rPr>
        <w:t xml:space="preserve">, </w:t>
      </w:r>
      <w:r w:rsidR="000526D4" w:rsidRPr="0053647E">
        <w:rPr>
          <w:lang w:eastAsia="zh-CN"/>
        </w:rPr>
        <w:t>Ericsson, Nokia</w:t>
      </w:r>
      <w:r w:rsidR="002A16D5" w:rsidRPr="0053647E">
        <w:rPr>
          <w:lang w:eastAsia="zh-CN"/>
        </w:rPr>
        <w:t>, RAN#</w:t>
      </w:r>
      <w:r w:rsidR="00276D8B" w:rsidRPr="0053647E">
        <w:rPr>
          <w:lang w:eastAsia="zh-CN"/>
        </w:rPr>
        <w:t>9</w:t>
      </w:r>
      <w:r w:rsidR="00CC671D" w:rsidRPr="0053647E">
        <w:rPr>
          <w:lang w:eastAsia="zh-CN"/>
        </w:rPr>
        <w:t>1</w:t>
      </w:r>
      <w:r w:rsidR="002A16D5" w:rsidRPr="0053647E">
        <w:rPr>
          <w:lang w:eastAsia="zh-CN"/>
        </w:rPr>
        <w:t xml:space="preserve">e, </w:t>
      </w:r>
      <w:r w:rsidRPr="0053647E">
        <w:rPr>
          <w:lang w:eastAsia="zh-CN"/>
        </w:rPr>
        <w:t>Mar</w:t>
      </w:r>
      <w:r w:rsidR="00276D8B" w:rsidRPr="0053647E">
        <w:rPr>
          <w:lang w:eastAsia="zh-CN"/>
        </w:rPr>
        <w:t xml:space="preserve">. </w:t>
      </w:r>
      <w:r w:rsidRPr="0053647E">
        <w:rPr>
          <w:lang w:eastAsia="zh-CN"/>
        </w:rPr>
        <w:t>22</w:t>
      </w:r>
      <w:r w:rsidR="00276D8B" w:rsidRPr="0053647E">
        <w:rPr>
          <w:lang w:eastAsia="zh-CN"/>
        </w:rPr>
        <w:t>-</w:t>
      </w:r>
      <w:r w:rsidRPr="00FA21D4">
        <w:rPr>
          <w:lang w:eastAsia="zh-CN"/>
        </w:rPr>
        <w:t>26</w:t>
      </w:r>
      <w:r w:rsidR="0021634C" w:rsidRPr="00FA21D4">
        <w:rPr>
          <w:lang w:eastAsia="zh-CN"/>
        </w:rPr>
        <w:t>,</w:t>
      </w:r>
      <w:r w:rsidR="002A16D5" w:rsidRPr="00FA21D4">
        <w:rPr>
          <w:lang w:eastAsia="zh-CN"/>
        </w:rPr>
        <w:t xml:space="preserve"> 202</w:t>
      </w:r>
      <w:r w:rsidRPr="00FA21D4">
        <w:rPr>
          <w:lang w:eastAsia="zh-CN"/>
        </w:rPr>
        <w:t>1</w:t>
      </w:r>
      <w:r w:rsidR="002A16D5" w:rsidRPr="00FA21D4">
        <w:rPr>
          <w:lang w:eastAsia="zh-CN"/>
        </w:rPr>
        <w:t>.</w:t>
      </w:r>
      <w:bookmarkEnd w:id="12"/>
    </w:p>
    <w:p w14:paraId="3E943095" w14:textId="77777777" w:rsidR="00ED07AA" w:rsidRPr="0053647E" w:rsidRDefault="00ED07AA" w:rsidP="00ED07AA">
      <w:pPr>
        <w:pStyle w:val="References"/>
        <w:rPr>
          <w:lang w:eastAsia="zh-CN"/>
        </w:rPr>
      </w:pPr>
      <w:bookmarkStart w:id="13" w:name="_Ref70486579"/>
      <w:bookmarkStart w:id="14" w:name="_Ref67920550"/>
      <w:r w:rsidRPr="0053647E">
        <w:rPr>
          <w:lang w:eastAsia="zh-CN"/>
        </w:rPr>
        <w:t>Chairman Note, RAN1, RAN1#104b, Apr. 12 – 20, 2021.</w:t>
      </w:r>
      <w:bookmarkEnd w:id="13"/>
    </w:p>
    <w:p w14:paraId="6E58B5F6" w14:textId="69C30812" w:rsidR="00ED07AA" w:rsidRPr="0053647E" w:rsidRDefault="00ED07AA" w:rsidP="00ED07AA">
      <w:pPr>
        <w:pStyle w:val="References"/>
        <w:rPr>
          <w:lang w:eastAsia="zh-CN"/>
        </w:rPr>
      </w:pPr>
      <w:bookmarkStart w:id="15" w:name="_Ref70487126"/>
      <w:r w:rsidRPr="0053647E">
        <w:rPr>
          <w:lang w:eastAsia="zh-CN"/>
        </w:rPr>
        <w:lastRenderedPageBreak/>
        <w:t>Chairman Note, RAN1, RAN1#104, Jan. 25 – Feb. 5, 2021.</w:t>
      </w:r>
      <w:bookmarkEnd w:id="15"/>
    </w:p>
    <w:p w14:paraId="258919AB" w14:textId="715D3E77" w:rsidR="00CC671D" w:rsidRPr="0053647E" w:rsidRDefault="006A247A" w:rsidP="003F1345">
      <w:pPr>
        <w:pStyle w:val="References"/>
        <w:rPr>
          <w:lang w:eastAsia="zh-CN"/>
        </w:rPr>
      </w:pPr>
      <w:bookmarkStart w:id="16" w:name="_Ref67908436"/>
      <w:bookmarkEnd w:id="14"/>
      <w:r w:rsidRPr="0053647E">
        <w:rPr>
          <w:lang w:eastAsia="zh-CN"/>
        </w:rPr>
        <w:t>Chairman Note, RAN1, RAN1#10</w:t>
      </w:r>
      <w:r>
        <w:rPr>
          <w:lang w:eastAsia="zh-CN"/>
        </w:rPr>
        <w:t>5</w:t>
      </w:r>
      <w:r w:rsidRPr="0053647E">
        <w:rPr>
          <w:lang w:eastAsia="zh-CN"/>
        </w:rPr>
        <w:t xml:space="preserve">, </w:t>
      </w:r>
      <w:r>
        <w:rPr>
          <w:lang w:eastAsia="zh-CN"/>
        </w:rPr>
        <w:t>May</w:t>
      </w:r>
      <w:r w:rsidRPr="0053647E">
        <w:rPr>
          <w:lang w:eastAsia="zh-CN"/>
        </w:rPr>
        <w:t xml:space="preserve"> </w:t>
      </w:r>
      <w:r>
        <w:rPr>
          <w:lang w:eastAsia="zh-CN"/>
        </w:rPr>
        <w:t>17</w:t>
      </w:r>
      <w:r w:rsidRPr="0053647E">
        <w:rPr>
          <w:lang w:eastAsia="zh-CN"/>
        </w:rPr>
        <w:t xml:space="preserve"> – </w:t>
      </w:r>
      <w:r>
        <w:rPr>
          <w:lang w:eastAsia="zh-CN"/>
        </w:rPr>
        <w:t>28</w:t>
      </w:r>
      <w:r w:rsidRPr="0053647E">
        <w:rPr>
          <w:lang w:eastAsia="zh-CN"/>
        </w:rPr>
        <w:t>, 2021.</w:t>
      </w:r>
      <w:bookmarkEnd w:id="16"/>
    </w:p>
    <w:p w14:paraId="5E8EA3C4" w14:textId="69918C40" w:rsidR="007B6A88" w:rsidRPr="0053647E" w:rsidRDefault="007B6A88" w:rsidP="007B6A88">
      <w:pPr>
        <w:pStyle w:val="References"/>
        <w:rPr>
          <w:lang w:eastAsia="zh-CN"/>
        </w:rPr>
      </w:pPr>
      <w:bookmarkStart w:id="17" w:name="_Ref70504606"/>
      <w:r w:rsidRPr="0053647E">
        <w:rPr>
          <w:lang w:eastAsia="zh-CN"/>
        </w:rPr>
        <w:t>38.213</w:t>
      </w:r>
      <w:bookmarkEnd w:id="17"/>
    </w:p>
    <w:p w14:paraId="38E5DF3C" w14:textId="6B61BB75" w:rsidR="00C370E3" w:rsidRPr="0053647E" w:rsidRDefault="00C370E3" w:rsidP="00C370E3">
      <w:pPr>
        <w:pStyle w:val="References"/>
        <w:rPr>
          <w:lang w:eastAsia="zh-CN"/>
        </w:rPr>
      </w:pPr>
      <w:bookmarkStart w:id="18" w:name="_Ref70591093"/>
      <w:r w:rsidRPr="0053647E">
        <w:rPr>
          <w:lang w:eastAsia="zh-CN"/>
        </w:rPr>
        <w:t>3</w:t>
      </w:r>
      <w:r w:rsidR="00087FD5" w:rsidRPr="0053647E">
        <w:rPr>
          <w:lang w:eastAsia="zh-CN"/>
        </w:rPr>
        <w:t>8.33</w:t>
      </w:r>
      <w:r w:rsidRPr="0053647E">
        <w:rPr>
          <w:lang w:eastAsia="zh-CN"/>
        </w:rPr>
        <w:t>1</w:t>
      </w:r>
      <w:bookmarkEnd w:id="18"/>
    </w:p>
    <w:p w14:paraId="62860BF8" w14:textId="20860F0A" w:rsidR="007F4F11" w:rsidRPr="0053647E" w:rsidRDefault="007F4F11" w:rsidP="006001C5">
      <w:pPr>
        <w:pStyle w:val="References"/>
        <w:rPr>
          <w:lang w:eastAsia="zh-CN"/>
        </w:rPr>
      </w:pPr>
      <w:bookmarkStart w:id="19" w:name="_Ref77229333"/>
      <w:r w:rsidRPr="007F4F11">
        <w:rPr>
          <w:lang w:eastAsia="zh-CN"/>
        </w:rPr>
        <w:t>R1-1721726</w:t>
      </w:r>
      <w:bookmarkEnd w:id="19"/>
    </w:p>
    <w:p w14:paraId="5AFEC7BB" w14:textId="528C66A9" w:rsidR="007451CB" w:rsidRPr="0053647E" w:rsidRDefault="007451CB" w:rsidP="002F718C">
      <w:pPr>
        <w:rPr>
          <w:lang w:eastAsia="zh-CN"/>
        </w:rPr>
      </w:pPr>
    </w:p>
    <w:p w14:paraId="574AD088" w14:textId="7EF16F8F" w:rsidR="00D0765E" w:rsidRPr="0053647E" w:rsidRDefault="00D0765E" w:rsidP="00D0765E">
      <w:pPr>
        <w:pStyle w:val="Heading1"/>
        <w:numPr>
          <w:ilvl w:val="0"/>
          <w:numId w:val="0"/>
        </w:numPr>
        <w:ind w:left="432" w:hanging="432"/>
      </w:pPr>
      <w:r w:rsidRPr="0053647E">
        <w:t>Appendix</w:t>
      </w:r>
      <w:r w:rsidR="00F256A1">
        <w:t>: Past agreements</w:t>
      </w:r>
    </w:p>
    <w:p w14:paraId="31C846FB" w14:textId="165A6E55" w:rsidR="00DD0015" w:rsidRDefault="00F256A1" w:rsidP="00F256A1">
      <w:pPr>
        <w:pStyle w:val="Heading2"/>
        <w:numPr>
          <w:ilvl w:val="0"/>
          <w:numId w:val="0"/>
        </w:numPr>
        <w:ind w:left="576" w:hanging="576"/>
      </w:pPr>
      <w:r>
        <w:t>A.1</w:t>
      </w:r>
      <w:r>
        <w:tab/>
        <w:t>RAN1#104</w:t>
      </w:r>
      <w:r w:rsidR="006A247A">
        <w:t xml:space="preserve"> </w:t>
      </w:r>
      <w:r w:rsidR="006A247A">
        <w:fldChar w:fldCharType="begin"/>
      </w:r>
      <w:r w:rsidR="006A247A">
        <w:instrText xml:space="preserve"> REF _Ref70487126 \r \h </w:instrText>
      </w:r>
      <w:r w:rsidR="006A247A">
        <w:fldChar w:fldCharType="separate"/>
      </w:r>
      <w:r w:rsidR="00D40F5E">
        <w:t>[3]</w:t>
      </w:r>
      <w:r w:rsidR="006A247A">
        <w:fldChar w:fldCharType="end"/>
      </w:r>
    </w:p>
    <w:p w14:paraId="215F5DE1" w14:textId="426FED5E" w:rsidR="00DD0015" w:rsidRDefault="00F256A1" w:rsidP="00F256A1">
      <w:pPr>
        <w:pStyle w:val="Heading3"/>
        <w:numPr>
          <w:ilvl w:val="0"/>
          <w:numId w:val="0"/>
        </w:numPr>
        <w:ind w:left="720" w:hanging="720"/>
      </w:pPr>
      <w:r>
        <w:t>A.1.1</w:t>
      </w:r>
      <w:r>
        <w:tab/>
        <w:t>DL</w:t>
      </w:r>
    </w:p>
    <w:tbl>
      <w:tblPr>
        <w:tblStyle w:val="TableGrid"/>
        <w:tblW w:w="0" w:type="auto"/>
        <w:tblLook w:val="04A0" w:firstRow="1" w:lastRow="0" w:firstColumn="1" w:lastColumn="0" w:noHBand="0" w:noVBand="1"/>
      </w:tblPr>
      <w:tblGrid>
        <w:gridCol w:w="9307"/>
      </w:tblGrid>
      <w:tr w:rsidR="00F256A1" w14:paraId="39462560" w14:textId="77777777" w:rsidTr="00F256A1">
        <w:tc>
          <w:tcPr>
            <w:tcW w:w="9307" w:type="dxa"/>
          </w:tcPr>
          <w:p w14:paraId="250F397F" w14:textId="675BF0CE" w:rsidR="00F256A1" w:rsidRDefault="00F256A1" w:rsidP="00F256A1">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0C765880" w14:textId="51A79515" w:rsidR="00F256A1" w:rsidRPr="00F256A1" w:rsidRDefault="00F256A1" w:rsidP="00F256A1">
            <w:pPr>
              <w:numPr>
                <w:ilvl w:val="0"/>
                <w:numId w:val="6"/>
              </w:numPr>
              <w:autoSpaceDE/>
              <w:autoSpaceDN/>
              <w:adjustRightInd/>
              <w:snapToGrid/>
              <w:spacing w:after="0"/>
              <w:jc w:val="left"/>
              <w:rPr>
                <w:rFonts w:eastAsia="Times New Roman"/>
                <w:sz w:val="20"/>
                <w:szCs w:val="16"/>
              </w:rPr>
            </w:pPr>
            <w:r w:rsidRPr="00F256A1">
              <w:rPr>
                <w:rFonts w:eastAsia="Times New Roman"/>
                <w:sz w:val="20"/>
                <w:szCs w:val="16"/>
              </w:rPr>
              <w:t>Sharing of the same SSB and CORESET#0 between RedCap and non-RedCap UEs is supported when the bandwidth is no wider than the RedCap UE bandwidth</w:t>
            </w:r>
          </w:p>
          <w:p w14:paraId="332DD482" w14:textId="77777777" w:rsidR="00F256A1" w:rsidRPr="00F256A1" w:rsidRDefault="00F256A1" w:rsidP="00F256A1">
            <w:pPr>
              <w:numPr>
                <w:ilvl w:val="0"/>
                <w:numId w:val="6"/>
              </w:numPr>
              <w:autoSpaceDE/>
              <w:autoSpaceDN/>
              <w:adjustRightInd/>
              <w:snapToGrid/>
              <w:spacing w:after="0"/>
              <w:jc w:val="left"/>
              <w:rPr>
                <w:rFonts w:eastAsia="Times New Roman"/>
                <w:sz w:val="20"/>
                <w:szCs w:val="16"/>
              </w:rPr>
            </w:pPr>
            <w:r w:rsidRPr="00F256A1">
              <w:rPr>
                <w:rFonts w:eastAsia="Times New Roman"/>
                <w:sz w:val="20"/>
                <w:szCs w:val="16"/>
              </w:rPr>
              <w:t>The initial DL BWP (derived based on MIB/SIB) for RedCap UEs can be the same as the initial DL BWP for non-RedCap UEs at least when the initial DL BWP is no wider than the RedCap UE bandwidth.</w:t>
            </w:r>
          </w:p>
          <w:p w14:paraId="003E46F0" w14:textId="77777777" w:rsidR="00F256A1" w:rsidRPr="00F256A1" w:rsidRDefault="00F256A1" w:rsidP="00F256A1">
            <w:pPr>
              <w:numPr>
                <w:ilvl w:val="1"/>
                <w:numId w:val="6"/>
              </w:numPr>
              <w:autoSpaceDE/>
              <w:autoSpaceDN/>
              <w:adjustRightInd/>
              <w:snapToGrid/>
              <w:spacing w:after="0"/>
              <w:jc w:val="left"/>
              <w:rPr>
                <w:rFonts w:eastAsia="Times New Roman"/>
                <w:sz w:val="20"/>
                <w:szCs w:val="16"/>
              </w:rPr>
            </w:pPr>
            <w:r w:rsidRPr="00F256A1">
              <w:rPr>
                <w:rFonts w:eastAsia="Times New Roman"/>
                <w:sz w:val="20"/>
                <w:szCs w:val="16"/>
              </w:rPr>
              <w:t xml:space="preserve">FFS: after initial access, whether a RedCap UE is allowed to operate with an initial DL BWP wider than the maximum RedCap UE bandwidth </w:t>
            </w:r>
          </w:p>
          <w:p w14:paraId="6E1BBD9D" w14:textId="2BC242D1" w:rsidR="00F256A1" w:rsidRPr="00F256A1" w:rsidRDefault="00F256A1" w:rsidP="00D0765E">
            <w:pPr>
              <w:numPr>
                <w:ilvl w:val="2"/>
                <w:numId w:val="6"/>
              </w:numPr>
              <w:autoSpaceDE/>
              <w:autoSpaceDN/>
              <w:adjustRightInd/>
              <w:snapToGrid/>
              <w:spacing w:after="0"/>
              <w:jc w:val="left"/>
              <w:rPr>
                <w:rFonts w:eastAsia="Times New Roman"/>
                <w:szCs w:val="18"/>
              </w:rPr>
            </w:pPr>
            <w:r w:rsidRPr="00F256A1">
              <w:rPr>
                <w:rFonts w:eastAsia="Times New Roman"/>
                <w:sz w:val="20"/>
                <w:szCs w:val="16"/>
              </w:rPr>
              <w:t>Discuss further whether or not it is also applicable during initial access</w:t>
            </w:r>
          </w:p>
        </w:tc>
      </w:tr>
    </w:tbl>
    <w:p w14:paraId="13738081" w14:textId="5115A39D" w:rsidR="00F256A1" w:rsidRDefault="00F256A1" w:rsidP="00D0765E"/>
    <w:p w14:paraId="1469950E" w14:textId="2F864BBF" w:rsidR="00F256A1" w:rsidRDefault="00F256A1" w:rsidP="00F256A1">
      <w:pPr>
        <w:pStyle w:val="Heading3"/>
        <w:numPr>
          <w:ilvl w:val="0"/>
          <w:numId w:val="0"/>
        </w:numPr>
        <w:ind w:left="720" w:hanging="720"/>
      </w:pPr>
      <w:r>
        <w:t>A.1.2</w:t>
      </w:r>
      <w:r>
        <w:tab/>
        <w:t>UL</w:t>
      </w:r>
    </w:p>
    <w:tbl>
      <w:tblPr>
        <w:tblStyle w:val="TableGrid"/>
        <w:tblW w:w="0" w:type="auto"/>
        <w:tblLook w:val="04A0" w:firstRow="1" w:lastRow="0" w:firstColumn="1" w:lastColumn="0" w:noHBand="0" w:noVBand="1"/>
      </w:tblPr>
      <w:tblGrid>
        <w:gridCol w:w="9307"/>
      </w:tblGrid>
      <w:tr w:rsidR="00F256A1" w14:paraId="460506BE" w14:textId="77777777" w:rsidTr="00497642">
        <w:tc>
          <w:tcPr>
            <w:tcW w:w="9307" w:type="dxa"/>
          </w:tcPr>
          <w:p w14:paraId="2A32C104" w14:textId="77777777" w:rsidR="000F5A58" w:rsidRDefault="000F5A58" w:rsidP="000F5A58">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01C34F6F" w14:textId="77777777" w:rsidR="00F256A1" w:rsidRPr="00F256A1" w:rsidRDefault="00F256A1" w:rsidP="00F256A1">
            <w:pPr>
              <w:numPr>
                <w:ilvl w:val="0"/>
                <w:numId w:val="6"/>
              </w:numPr>
              <w:autoSpaceDE/>
              <w:autoSpaceDN/>
              <w:adjustRightInd/>
              <w:snapToGrid/>
              <w:spacing w:after="0"/>
              <w:jc w:val="left"/>
              <w:rPr>
                <w:rFonts w:eastAsia="Times New Roman"/>
                <w:sz w:val="20"/>
                <w:szCs w:val="16"/>
              </w:rPr>
            </w:pPr>
            <w:r w:rsidRPr="00F256A1">
              <w:rPr>
                <w:rFonts w:eastAsia="Times New Roman"/>
                <w:sz w:val="20"/>
                <w:szCs w:val="16"/>
              </w:rPr>
              <w:t>The initial UL BWP (derived based on SIB) for RedCap UEs can be the same as the initial UL BWP for non-RedCap UEs at least when the initial UL BWP is no wider than the RedCap UE bandwidth.</w:t>
            </w:r>
          </w:p>
          <w:p w14:paraId="3CCAFCA9" w14:textId="77777777" w:rsidR="00F256A1" w:rsidRPr="00F256A1" w:rsidRDefault="00F256A1" w:rsidP="00F256A1">
            <w:pPr>
              <w:numPr>
                <w:ilvl w:val="1"/>
                <w:numId w:val="6"/>
              </w:numPr>
              <w:autoSpaceDE/>
              <w:autoSpaceDN/>
              <w:adjustRightInd/>
              <w:snapToGrid/>
              <w:spacing w:after="0"/>
              <w:jc w:val="left"/>
              <w:rPr>
                <w:rFonts w:eastAsia="Times New Roman"/>
                <w:sz w:val="20"/>
                <w:szCs w:val="16"/>
              </w:rPr>
            </w:pPr>
            <w:r w:rsidRPr="00F256A1">
              <w:rPr>
                <w:rFonts w:eastAsia="Times New Roman"/>
                <w:sz w:val="20"/>
                <w:szCs w:val="16"/>
              </w:rPr>
              <w:t>FFS: during and after initial access, whether a RedCap UE is allowed to operate with an initial UL BWP wider than the maximum RedCap UE bandwidth</w:t>
            </w:r>
            <w:r w:rsidRPr="00F256A1">
              <w:rPr>
                <w:rFonts w:eastAsia="Times New Roman"/>
                <w:sz w:val="20"/>
                <w:szCs w:val="16"/>
                <w:u w:val="single"/>
              </w:rPr>
              <w:t xml:space="preserve"> </w:t>
            </w:r>
          </w:p>
          <w:p w14:paraId="524BC719" w14:textId="77777777" w:rsidR="00F256A1" w:rsidRPr="00F256A1" w:rsidRDefault="00F256A1" w:rsidP="00F256A1">
            <w:pPr>
              <w:numPr>
                <w:ilvl w:val="0"/>
                <w:numId w:val="6"/>
              </w:numPr>
              <w:autoSpaceDE/>
              <w:autoSpaceDN/>
              <w:adjustRightInd/>
              <w:snapToGrid/>
              <w:spacing w:after="0"/>
              <w:jc w:val="left"/>
              <w:rPr>
                <w:rFonts w:eastAsia="Times New Roman"/>
                <w:sz w:val="20"/>
                <w:szCs w:val="16"/>
              </w:rPr>
            </w:pPr>
            <w:r w:rsidRPr="00F256A1">
              <w:rPr>
                <w:rFonts w:eastAsia="Times New Roman"/>
                <w:sz w:val="20"/>
                <w:szCs w:val="16"/>
              </w:rPr>
              <w:t>FFS whether or not to further introduce the following (e.g., for offloading purpose, for differentiation of RedCap vs. non RedCap UEs, for different BWP#0 configuration options, etc.)</w:t>
            </w:r>
          </w:p>
          <w:p w14:paraId="4021E38C"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Whether an additional CORESET can be configured for scheduling of RACH (msg2 &amp; msg4)/Paging/SI messages for RedCap UEs</w:t>
            </w:r>
          </w:p>
          <w:p w14:paraId="6F23470D"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Whether the SIB-configured initial DL BWP for RedCap UEs can also be configured to be different from the SIB-configured initial DL BWP for non-RedCap UEs.</w:t>
            </w:r>
          </w:p>
          <w:p w14:paraId="3187E911" w14:textId="5E1D737D" w:rsidR="00F256A1" w:rsidRPr="00F256A1" w:rsidRDefault="00F256A1" w:rsidP="00497642">
            <w:pPr>
              <w:numPr>
                <w:ilvl w:val="0"/>
                <w:numId w:val="7"/>
              </w:numPr>
              <w:autoSpaceDE/>
              <w:autoSpaceDN/>
              <w:adjustRightInd/>
              <w:snapToGrid/>
              <w:spacing w:after="0"/>
              <w:ind w:left="1440"/>
              <w:jc w:val="left"/>
              <w:rPr>
                <w:sz w:val="20"/>
                <w:szCs w:val="16"/>
              </w:rPr>
            </w:pPr>
            <w:r w:rsidRPr="00F256A1">
              <w:rPr>
                <w:sz w:val="20"/>
                <w:szCs w:val="16"/>
              </w:rPr>
              <w:t>Whether the SIB-configured initial UL BWP for RedCap UEs can also be configured to be different from the SIB-configured initial UL BWP for non-RedCap UEs.</w:t>
            </w:r>
          </w:p>
        </w:tc>
      </w:tr>
    </w:tbl>
    <w:p w14:paraId="49E0917F" w14:textId="77777777" w:rsidR="00F256A1" w:rsidRDefault="00F256A1" w:rsidP="00F256A1"/>
    <w:tbl>
      <w:tblPr>
        <w:tblStyle w:val="TableGrid"/>
        <w:tblW w:w="0" w:type="auto"/>
        <w:tblLook w:val="04A0" w:firstRow="1" w:lastRow="0" w:firstColumn="1" w:lastColumn="0" w:noHBand="0" w:noVBand="1"/>
      </w:tblPr>
      <w:tblGrid>
        <w:gridCol w:w="9307"/>
      </w:tblGrid>
      <w:tr w:rsidR="00F256A1" w:rsidRPr="00F256A1" w14:paraId="2E5FBFF0" w14:textId="77777777" w:rsidTr="00F256A1">
        <w:tc>
          <w:tcPr>
            <w:tcW w:w="9307" w:type="dxa"/>
          </w:tcPr>
          <w:p w14:paraId="78237577" w14:textId="77777777" w:rsidR="000F5A58" w:rsidRDefault="000F5A58" w:rsidP="000F5A58">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7F0C1119" w14:textId="77777777" w:rsidR="00F256A1" w:rsidRPr="00F256A1" w:rsidRDefault="00F256A1" w:rsidP="00F256A1">
            <w:pPr>
              <w:pStyle w:val="ListParagraph"/>
              <w:numPr>
                <w:ilvl w:val="0"/>
                <w:numId w:val="8"/>
              </w:numPr>
              <w:spacing w:after="0" w:line="252" w:lineRule="auto"/>
              <w:jc w:val="left"/>
              <w:rPr>
                <w:sz w:val="20"/>
                <w:szCs w:val="16"/>
              </w:rPr>
            </w:pPr>
            <w:r w:rsidRPr="00F256A1">
              <w:rPr>
                <w:sz w:val="20"/>
                <w:szCs w:val="16"/>
              </w:rPr>
              <w:t>Study further how to enable/support that a RACH occasion associated with the best SSB falls within the RedCap UE bandwidth, with the following options:</w:t>
            </w:r>
          </w:p>
          <w:p w14:paraId="0CF8D7E8"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Option 1: Proper RF-retuning for RedCap</w:t>
            </w:r>
          </w:p>
          <w:p w14:paraId="417FA171" w14:textId="77777777" w:rsidR="00F256A1" w:rsidRPr="00F256A1" w:rsidRDefault="00F256A1" w:rsidP="00F256A1">
            <w:pPr>
              <w:numPr>
                <w:ilvl w:val="0"/>
                <w:numId w:val="7"/>
              </w:numPr>
              <w:autoSpaceDE/>
              <w:autoSpaceDN/>
              <w:adjustRightInd/>
              <w:snapToGrid/>
              <w:spacing w:after="0"/>
              <w:ind w:left="1440"/>
              <w:jc w:val="left"/>
              <w:rPr>
                <w:rFonts w:eastAsia="Calibri"/>
                <w:sz w:val="20"/>
                <w:szCs w:val="16"/>
              </w:rPr>
            </w:pPr>
            <w:r w:rsidRPr="00F256A1">
              <w:rPr>
                <w:sz w:val="20"/>
                <w:szCs w:val="16"/>
              </w:rPr>
              <w:t>Option 2: Separate initial UL BWP(s) for RedCap UEs</w:t>
            </w:r>
          </w:p>
          <w:p w14:paraId="586154CD"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Option 3: gNB configuration (e.g., restrictions on existing PRACH configurations, or FDM-ed ROs, or always restricting the initial UL BWP to within RedCap UE bandwidth)</w:t>
            </w:r>
          </w:p>
          <w:p w14:paraId="28FF13C4"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Option 4: Dedicated PRACH configurations (e.g., ROs) for RedCap UEs</w:t>
            </w:r>
          </w:p>
          <w:p w14:paraId="143AC9E3" w14:textId="699FE9D1" w:rsidR="00F256A1" w:rsidRPr="00F256A1" w:rsidRDefault="00F256A1" w:rsidP="00D0765E">
            <w:pPr>
              <w:numPr>
                <w:ilvl w:val="0"/>
                <w:numId w:val="7"/>
              </w:numPr>
              <w:autoSpaceDE/>
              <w:autoSpaceDN/>
              <w:adjustRightInd/>
              <w:snapToGrid/>
              <w:spacing w:after="0"/>
              <w:ind w:left="1440"/>
              <w:jc w:val="left"/>
              <w:rPr>
                <w:sz w:val="20"/>
                <w:szCs w:val="16"/>
              </w:rPr>
            </w:pPr>
            <w:r w:rsidRPr="00F256A1">
              <w:rPr>
                <w:sz w:val="20"/>
                <w:szCs w:val="16"/>
              </w:rPr>
              <w:t>Other options are not precluded</w:t>
            </w:r>
          </w:p>
        </w:tc>
      </w:tr>
    </w:tbl>
    <w:p w14:paraId="03129632" w14:textId="7B18A692" w:rsidR="00F256A1" w:rsidRDefault="00F256A1" w:rsidP="00D0765E"/>
    <w:p w14:paraId="07D609D2" w14:textId="206A31FA" w:rsidR="00F256A1" w:rsidRDefault="00F256A1" w:rsidP="00F256A1">
      <w:pPr>
        <w:pStyle w:val="Heading2"/>
        <w:numPr>
          <w:ilvl w:val="0"/>
          <w:numId w:val="0"/>
        </w:numPr>
        <w:ind w:left="576" w:hanging="576"/>
      </w:pPr>
      <w:r>
        <w:t>A.2</w:t>
      </w:r>
      <w:r>
        <w:tab/>
        <w:t>RAN1#104b</w:t>
      </w:r>
      <w:r w:rsidR="006A247A">
        <w:t xml:space="preserve"> </w:t>
      </w:r>
      <w:r w:rsidR="006A247A">
        <w:fldChar w:fldCharType="begin"/>
      </w:r>
      <w:r w:rsidR="006A247A">
        <w:instrText xml:space="preserve"> REF _Ref70486579 \r \h </w:instrText>
      </w:r>
      <w:r w:rsidR="006A247A">
        <w:fldChar w:fldCharType="separate"/>
      </w:r>
      <w:r w:rsidR="00D40F5E">
        <w:t>[2]</w:t>
      </w:r>
      <w:r w:rsidR="006A247A">
        <w:fldChar w:fldCharType="end"/>
      </w:r>
    </w:p>
    <w:p w14:paraId="3B5203DF" w14:textId="3605C7FD" w:rsidR="00F256A1" w:rsidRDefault="00F256A1" w:rsidP="00F256A1">
      <w:pPr>
        <w:pStyle w:val="Heading3"/>
        <w:numPr>
          <w:ilvl w:val="0"/>
          <w:numId w:val="0"/>
        </w:numPr>
        <w:ind w:left="720" w:hanging="720"/>
      </w:pPr>
      <w:r>
        <w:t>A.2.1</w:t>
      </w:r>
      <w:r>
        <w:tab/>
        <w:t>DL</w:t>
      </w:r>
    </w:p>
    <w:tbl>
      <w:tblPr>
        <w:tblStyle w:val="TableGrid"/>
        <w:tblW w:w="0" w:type="auto"/>
        <w:tblLook w:val="04A0" w:firstRow="1" w:lastRow="0" w:firstColumn="1" w:lastColumn="0" w:noHBand="0" w:noVBand="1"/>
      </w:tblPr>
      <w:tblGrid>
        <w:gridCol w:w="9307"/>
      </w:tblGrid>
      <w:tr w:rsidR="00F256A1" w14:paraId="089DC794" w14:textId="77777777" w:rsidTr="00F256A1">
        <w:tc>
          <w:tcPr>
            <w:tcW w:w="9307" w:type="dxa"/>
          </w:tcPr>
          <w:p w14:paraId="1D2650C8" w14:textId="52069482" w:rsidR="00F256A1" w:rsidRPr="00F256A1" w:rsidRDefault="00F256A1" w:rsidP="00F256A1">
            <w:pPr>
              <w:spacing w:after="0" w:line="252" w:lineRule="auto"/>
              <w:jc w:val="left"/>
            </w:pPr>
            <w:r w:rsidRPr="00F256A1">
              <w:rPr>
                <w:sz w:val="20"/>
                <w:szCs w:val="20"/>
                <w:highlight w:val="darkYellow"/>
              </w:rPr>
              <w:t>Working assumption</w:t>
            </w:r>
          </w:p>
          <w:p w14:paraId="0F62AFD7" w14:textId="211AD33B" w:rsidR="00F256A1" w:rsidRPr="00F256A1" w:rsidRDefault="00F256A1" w:rsidP="00F256A1">
            <w:pPr>
              <w:pStyle w:val="ListParagraph"/>
              <w:numPr>
                <w:ilvl w:val="0"/>
                <w:numId w:val="8"/>
              </w:numPr>
              <w:spacing w:after="0" w:line="252" w:lineRule="auto"/>
              <w:jc w:val="left"/>
            </w:pPr>
            <w:r w:rsidRPr="00F256A1">
              <w:rPr>
                <w:sz w:val="20"/>
                <w:szCs w:val="16"/>
              </w:rPr>
              <w:t>During initial access, the bandwidth of the initial DL BWP for RedCap UEs is not expected to exceed the maximum RedCap UE bandwidth.</w:t>
            </w:r>
          </w:p>
          <w:p w14:paraId="58008746"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 xml:space="preserve">The bandwidth and location of the initial DL BWP for RedCap UEs can be the same as the </w:t>
            </w:r>
            <w:r w:rsidRPr="00F256A1">
              <w:rPr>
                <w:sz w:val="20"/>
                <w:szCs w:val="16"/>
              </w:rPr>
              <w:lastRenderedPageBreak/>
              <w:t>bandwidth and location of the MIB-configured initial DL BWP for non-RedCap UEs.</w:t>
            </w:r>
          </w:p>
          <w:p w14:paraId="27525CCD" w14:textId="77777777" w:rsidR="00F256A1" w:rsidRPr="00F256A1" w:rsidRDefault="00F256A1" w:rsidP="00F256A1">
            <w:pPr>
              <w:numPr>
                <w:ilvl w:val="0"/>
                <w:numId w:val="7"/>
              </w:numPr>
              <w:autoSpaceDE/>
              <w:autoSpaceDN/>
              <w:adjustRightInd/>
              <w:snapToGrid/>
              <w:spacing w:after="0"/>
              <w:ind w:left="1440"/>
              <w:jc w:val="left"/>
              <w:rPr>
                <w:sz w:val="20"/>
                <w:szCs w:val="16"/>
              </w:rPr>
            </w:pPr>
            <w:r w:rsidRPr="00F256A1">
              <w:rPr>
                <w:sz w:val="20"/>
                <w:szCs w:val="16"/>
              </w:rPr>
              <w:t>This does not preclude a SIB-configured initial DL BWP for non-RedCap UEs only with a wider bandwidth than the maximum RedCap UE bandwidth.</w:t>
            </w:r>
          </w:p>
          <w:p w14:paraId="1BBBA460" w14:textId="5BBAF9A9" w:rsidR="00F256A1" w:rsidRPr="00F256A1" w:rsidRDefault="00F256A1" w:rsidP="00F256A1">
            <w:pPr>
              <w:numPr>
                <w:ilvl w:val="0"/>
                <w:numId w:val="7"/>
              </w:numPr>
              <w:autoSpaceDE/>
              <w:autoSpaceDN/>
              <w:adjustRightInd/>
              <w:snapToGrid/>
              <w:spacing w:after="0"/>
              <w:ind w:left="1440"/>
              <w:jc w:val="left"/>
              <w:rPr>
                <w:rFonts w:eastAsia="Calibri"/>
                <w:lang w:val="sv-SE"/>
              </w:rPr>
            </w:pPr>
            <w:r w:rsidRPr="00F256A1">
              <w:rPr>
                <w:sz w:val="20"/>
                <w:szCs w:val="16"/>
              </w:rPr>
              <w:t>This does not preclude separate or additional bandwidth and location for initial DL BWP for RedCap UEs (FFS).</w:t>
            </w:r>
          </w:p>
        </w:tc>
      </w:tr>
    </w:tbl>
    <w:p w14:paraId="7BBB27E6" w14:textId="55F692DF" w:rsidR="00F256A1" w:rsidRDefault="00F256A1" w:rsidP="00D0765E"/>
    <w:tbl>
      <w:tblPr>
        <w:tblStyle w:val="TableGrid"/>
        <w:tblW w:w="0" w:type="auto"/>
        <w:tblLook w:val="04A0" w:firstRow="1" w:lastRow="0" w:firstColumn="1" w:lastColumn="0" w:noHBand="0" w:noVBand="1"/>
      </w:tblPr>
      <w:tblGrid>
        <w:gridCol w:w="9307"/>
      </w:tblGrid>
      <w:tr w:rsidR="00F256A1" w14:paraId="7CE57D83" w14:textId="77777777" w:rsidTr="00497642">
        <w:tc>
          <w:tcPr>
            <w:tcW w:w="9307" w:type="dxa"/>
          </w:tcPr>
          <w:p w14:paraId="6494BC4C" w14:textId="456FBF9E" w:rsidR="00F256A1" w:rsidRPr="00F256A1" w:rsidRDefault="00F256A1" w:rsidP="00F256A1">
            <w:pPr>
              <w:spacing w:after="0" w:line="252" w:lineRule="auto"/>
              <w:jc w:val="left"/>
            </w:pPr>
            <w:r w:rsidRPr="00F256A1">
              <w:rPr>
                <w:sz w:val="20"/>
                <w:szCs w:val="20"/>
                <w:highlight w:val="darkYellow"/>
              </w:rPr>
              <w:t>Working assumption</w:t>
            </w:r>
            <w:r>
              <w:t xml:space="preserve">: </w:t>
            </w:r>
            <w:r w:rsidRPr="00F256A1">
              <w:rPr>
                <w:sz w:val="20"/>
                <w:szCs w:val="16"/>
              </w:rPr>
              <w:t>After initial access, at least for BWP#0 configuration option 1 (as in 38.331, Appendix B2), a RedCap UE is not expected to operate with an initial DL BWP wider than the maximum RedCap UE bandwidth.</w:t>
            </w:r>
          </w:p>
          <w:p w14:paraId="4E1E5667" w14:textId="471B3CA2" w:rsidR="00F256A1" w:rsidRPr="00F256A1" w:rsidRDefault="00F256A1" w:rsidP="00F256A1">
            <w:pPr>
              <w:pStyle w:val="ListParagraph"/>
              <w:numPr>
                <w:ilvl w:val="0"/>
                <w:numId w:val="8"/>
              </w:numPr>
              <w:spacing w:after="0" w:line="252" w:lineRule="auto"/>
              <w:jc w:val="left"/>
              <w:rPr>
                <w:sz w:val="20"/>
                <w:szCs w:val="16"/>
              </w:rPr>
            </w:pPr>
            <w:r w:rsidRPr="00F256A1">
              <w:rPr>
                <w:sz w:val="20"/>
                <w:szCs w:val="16"/>
              </w:rPr>
              <w:t>FFS: BWP#0 configuration option 2 (as in 38.331, Appendix B2)</w:t>
            </w:r>
          </w:p>
        </w:tc>
      </w:tr>
    </w:tbl>
    <w:p w14:paraId="0B0D1177" w14:textId="77777777" w:rsidR="00F256A1" w:rsidRDefault="00F256A1" w:rsidP="00F256A1"/>
    <w:p w14:paraId="6F6D59A3" w14:textId="5114C03E" w:rsidR="00F256A1" w:rsidRDefault="00F256A1" w:rsidP="00D0765E"/>
    <w:p w14:paraId="57D45D22" w14:textId="0EA0A0F1" w:rsidR="000F5A58" w:rsidRDefault="000F5A58" w:rsidP="000F5A58">
      <w:pPr>
        <w:pStyle w:val="Heading3"/>
        <w:numPr>
          <w:ilvl w:val="0"/>
          <w:numId w:val="0"/>
        </w:numPr>
        <w:ind w:left="720" w:hanging="720"/>
      </w:pPr>
      <w:r>
        <w:t>A.2.2</w:t>
      </w:r>
      <w:r>
        <w:tab/>
        <w:t>UL</w:t>
      </w:r>
    </w:p>
    <w:tbl>
      <w:tblPr>
        <w:tblStyle w:val="TableGrid"/>
        <w:tblW w:w="0" w:type="auto"/>
        <w:tblLook w:val="04A0" w:firstRow="1" w:lastRow="0" w:firstColumn="1" w:lastColumn="0" w:noHBand="0" w:noVBand="1"/>
      </w:tblPr>
      <w:tblGrid>
        <w:gridCol w:w="9307"/>
      </w:tblGrid>
      <w:tr w:rsidR="000F5A58" w:rsidRPr="00F256A1" w14:paraId="5B169B54" w14:textId="77777777" w:rsidTr="00497642">
        <w:tc>
          <w:tcPr>
            <w:tcW w:w="9307" w:type="dxa"/>
          </w:tcPr>
          <w:p w14:paraId="4BDCAC3D" w14:textId="77777777" w:rsidR="000F5A58" w:rsidRDefault="000F5A58" w:rsidP="00497642">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13107DAA" w14:textId="77777777" w:rsidR="000F5A58" w:rsidRPr="000F5A58" w:rsidRDefault="000F5A58" w:rsidP="000F5A58">
            <w:pPr>
              <w:pStyle w:val="ListParagraph"/>
              <w:numPr>
                <w:ilvl w:val="0"/>
                <w:numId w:val="7"/>
              </w:numPr>
              <w:spacing w:after="0" w:line="240" w:lineRule="auto"/>
              <w:contextualSpacing w:val="0"/>
              <w:jc w:val="left"/>
              <w:rPr>
                <w:rFonts w:eastAsia="Times New Roman"/>
                <w:sz w:val="20"/>
                <w:szCs w:val="20"/>
              </w:rPr>
            </w:pPr>
            <w:r w:rsidRPr="000F5A58">
              <w:rPr>
                <w:rFonts w:eastAsia="Times New Roman"/>
                <w:sz w:val="20"/>
                <w:szCs w:val="20"/>
              </w:rPr>
              <w:t>During initial access, for the scenario where the initial UL BWP for non-RedCap UEs is configured to be wider than the RedCap UE bandwidth, down select among the following options in RAN1#105-e</w:t>
            </w:r>
          </w:p>
          <w:p w14:paraId="7AB1A4B1" w14:textId="77777777" w:rsidR="000F5A58" w:rsidRPr="000F5A58" w:rsidRDefault="000F5A58" w:rsidP="000F5A58">
            <w:pPr>
              <w:pStyle w:val="ListParagraph"/>
              <w:numPr>
                <w:ilvl w:val="1"/>
                <w:numId w:val="7"/>
              </w:numPr>
              <w:spacing w:after="0" w:line="240" w:lineRule="auto"/>
              <w:contextualSpacing w:val="0"/>
              <w:jc w:val="left"/>
              <w:rPr>
                <w:rFonts w:eastAsia="Times New Roman"/>
                <w:sz w:val="20"/>
                <w:szCs w:val="20"/>
              </w:rPr>
            </w:pPr>
            <w:r w:rsidRPr="000F5A58">
              <w:rPr>
                <w:rFonts w:eastAsia="Times New Roman"/>
                <w:sz w:val="20"/>
                <w:szCs w:val="20"/>
              </w:rPr>
              <w:t>Option 1: The scenario is allowed, and a RedCap UE can use the same UL BWP.</w:t>
            </w:r>
          </w:p>
          <w:p w14:paraId="0C081483" w14:textId="77777777" w:rsidR="000F5A58" w:rsidRPr="000F5A58" w:rsidRDefault="000F5A58" w:rsidP="000F5A58">
            <w:pPr>
              <w:pStyle w:val="ListParagraph"/>
              <w:numPr>
                <w:ilvl w:val="1"/>
                <w:numId w:val="7"/>
              </w:numPr>
              <w:spacing w:after="0" w:line="240" w:lineRule="auto"/>
              <w:contextualSpacing w:val="0"/>
              <w:jc w:val="left"/>
              <w:rPr>
                <w:rFonts w:eastAsia="Times New Roman"/>
                <w:sz w:val="20"/>
                <w:szCs w:val="20"/>
              </w:rPr>
            </w:pPr>
            <w:r w:rsidRPr="000F5A58">
              <w:rPr>
                <w:rFonts w:eastAsia="Times New Roman"/>
                <w:sz w:val="20"/>
                <w:szCs w:val="20"/>
              </w:rPr>
              <w:t>Option 2: The scenario is allowed, but a separate initial UL BWP no wider than the RedCap UE maximum bandwidth is configured/defined for RedCap UEs.</w:t>
            </w:r>
          </w:p>
          <w:p w14:paraId="05CE6C1F" w14:textId="4A626870" w:rsidR="000F5A58" w:rsidRPr="000F5A58" w:rsidRDefault="000F5A58" w:rsidP="000F5A58">
            <w:pPr>
              <w:pStyle w:val="ListParagraph"/>
              <w:numPr>
                <w:ilvl w:val="1"/>
                <w:numId w:val="7"/>
              </w:numPr>
              <w:spacing w:after="0" w:line="240" w:lineRule="auto"/>
              <w:contextualSpacing w:val="0"/>
              <w:jc w:val="left"/>
              <w:rPr>
                <w:rFonts w:eastAsia="Times New Roman"/>
              </w:rPr>
            </w:pPr>
            <w:r w:rsidRPr="000F5A58">
              <w:rPr>
                <w:rFonts w:eastAsia="Times New Roman"/>
                <w:sz w:val="20"/>
                <w:szCs w:val="20"/>
              </w:rPr>
              <w:t>Option 3: The scenario is not allowed, and a RedCap UE is not expected to operate in an initial UL BWP wider than the RedCap UE maximum bandwidth.</w:t>
            </w:r>
          </w:p>
        </w:tc>
      </w:tr>
    </w:tbl>
    <w:p w14:paraId="0D51DCF4" w14:textId="77777777" w:rsidR="000F5A58" w:rsidRDefault="000F5A58" w:rsidP="000F5A58"/>
    <w:tbl>
      <w:tblPr>
        <w:tblStyle w:val="TableGrid"/>
        <w:tblW w:w="0" w:type="auto"/>
        <w:tblLook w:val="04A0" w:firstRow="1" w:lastRow="0" w:firstColumn="1" w:lastColumn="0" w:noHBand="0" w:noVBand="1"/>
      </w:tblPr>
      <w:tblGrid>
        <w:gridCol w:w="9307"/>
      </w:tblGrid>
      <w:tr w:rsidR="000F5A58" w:rsidRPr="00F256A1" w14:paraId="05C30513" w14:textId="77777777" w:rsidTr="00497642">
        <w:tc>
          <w:tcPr>
            <w:tcW w:w="9307" w:type="dxa"/>
          </w:tcPr>
          <w:p w14:paraId="10104EEB" w14:textId="77777777" w:rsidR="000F5A58" w:rsidRDefault="000F5A58" w:rsidP="00497642">
            <w:pPr>
              <w:autoSpaceDE/>
              <w:autoSpaceDN/>
              <w:adjustRightInd/>
              <w:snapToGrid/>
              <w:spacing w:after="0"/>
              <w:jc w:val="left"/>
              <w:rPr>
                <w:rFonts w:eastAsia="Times New Roman"/>
                <w:sz w:val="20"/>
                <w:szCs w:val="16"/>
              </w:rPr>
            </w:pPr>
            <w:r w:rsidRPr="00F256A1">
              <w:rPr>
                <w:sz w:val="20"/>
                <w:szCs w:val="20"/>
                <w:highlight w:val="green"/>
              </w:rPr>
              <w:t>Agreements:</w:t>
            </w:r>
            <w:r w:rsidRPr="00F256A1">
              <w:rPr>
                <w:rFonts w:eastAsia="Times New Roman"/>
                <w:sz w:val="20"/>
                <w:szCs w:val="16"/>
              </w:rPr>
              <w:t xml:space="preserve"> </w:t>
            </w:r>
          </w:p>
          <w:p w14:paraId="4CEFA72D" w14:textId="77777777" w:rsidR="000F5A58" w:rsidRPr="000F5A58" w:rsidRDefault="000F5A58" w:rsidP="000F5A58">
            <w:pPr>
              <w:pStyle w:val="ListParagraph"/>
              <w:numPr>
                <w:ilvl w:val="0"/>
                <w:numId w:val="7"/>
              </w:numPr>
              <w:spacing w:after="0" w:line="240" w:lineRule="auto"/>
              <w:contextualSpacing w:val="0"/>
              <w:jc w:val="left"/>
              <w:rPr>
                <w:rFonts w:eastAsia="Times New Roman"/>
                <w:sz w:val="20"/>
                <w:szCs w:val="20"/>
              </w:rPr>
            </w:pPr>
            <w:r w:rsidRPr="000F5A58">
              <w:rPr>
                <w:rFonts w:eastAsia="Times New Roman"/>
                <w:sz w:val="20"/>
                <w:szCs w:val="20"/>
              </w:rPr>
              <w:t>After initial access, for the scenario where the initial UL BWP for non-RedCap UEs is configured to be wider than the RedCap UE bandwidth, down select among the following options in RAN1#105-e:</w:t>
            </w:r>
          </w:p>
          <w:p w14:paraId="20ED5672" w14:textId="77777777" w:rsidR="000F5A58" w:rsidRPr="000F5A58" w:rsidRDefault="000F5A58" w:rsidP="000F5A58">
            <w:pPr>
              <w:pStyle w:val="ListParagraph"/>
              <w:numPr>
                <w:ilvl w:val="1"/>
                <w:numId w:val="7"/>
              </w:numPr>
              <w:spacing w:after="0" w:line="240" w:lineRule="auto"/>
              <w:contextualSpacing w:val="0"/>
              <w:jc w:val="left"/>
              <w:rPr>
                <w:rFonts w:eastAsia="Times New Roman"/>
                <w:sz w:val="20"/>
                <w:szCs w:val="20"/>
              </w:rPr>
            </w:pPr>
            <w:r w:rsidRPr="000F5A58">
              <w:rPr>
                <w:rFonts w:eastAsia="Times New Roman"/>
                <w:sz w:val="20"/>
                <w:szCs w:val="20"/>
              </w:rPr>
              <w:t>Option 1: The scenario is allowed, and a RedCap UE can use the same UL BWP.</w:t>
            </w:r>
          </w:p>
          <w:p w14:paraId="4C1A18DF" w14:textId="77777777" w:rsidR="000F5A58" w:rsidRPr="000F5A58" w:rsidRDefault="000F5A58" w:rsidP="000F5A58">
            <w:pPr>
              <w:pStyle w:val="ListParagraph"/>
              <w:numPr>
                <w:ilvl w:val="1"/>
                <w:numId w:val="7"/>
              </w:numPr>
              <w:spacing w:after="0" w:line="240" w:lineRule="auto"/>
              <w:contextualSpacing w:val="0"/>
              <w:jc w:val="left"/>
              <w:rPr>
                <w:rFonts w:eastAsia="Times New Roman"/>
                <w:sz w:val="20"/>
                <w:szCs w:val="20"/>
              </w:rPr>
            </w:pPr>
            <w:r w:rsidRPr="000F5A58">
              <w:rPr>
                <w:rFonts w:eastAsia="Times New Roman"/>
                <w:sz w:val="20"/>
                <w:szCs w:val="20"/>
              </w:rPr>
              <w:t>Option 2: The scenario is allowed, but a separate initial UL BWP no wider than the RedCap UE maximum bandwidth is configured/defined for RedCap UEs.</w:t>
            </w:r>
          </w:p>
          <w:p w14:paraId="30A003EA" w14:textId="3BBD97C1" w:rsidR="000F5A58" w:rsidRPr="000F5A58" w:rsidRDefault="000F5A58" w:rsidP="000F5A58">
            <w:pPr>
              <w:pStyle w:val="ListParagraph"/>
              <w:numPr>
                <w:ilvl w:val="1"/>
                <w:numId w:val="7"/>
              </w:numPr>
              <w:spacing w:after="0" w:line="240" w:lineRule="auto"/>
              <w:contextualSpacing w:val="0"/>
              <w:jc w:val="left"/>
              <w:rPr>
                <w:rFonts w:eastAsia="SimSun"/>
              </w:rPr>
            </w:pPr>
            <w:r w:rsidRPr="000F5A58">
              <w:rPr>
                <w:rFonts w:eastAsia="Times New Roman"/>
                <w:sz w:val="20"/>
                <w:szCs w:val="20"/>
              </w:rPr>
              <w:t>Option 3: The scenario is not allowed, and a RedCap UE is not expected to operate in an initial UL BWP wider than the RedCap UE maximum bandwidth.</w:t>
            </w:r>
          </w:p>
        </w:tc>
      </w:tr>
    </w:tbl>
    <w:p w14:paraId="25A64DF2" w14:textId="77777777" w:rsidR="000F5A58" w:rsidRDefault="000F5A58" w:rsidP="000F5A58"/>
    <w:p w14:paraId="2C443445" w14:textId="06A879AB" w:rsidR="000F5A58" w:rsidRDefault="000F5A58" w:rsidP="000F5A58">
      <w:pPr>
        <w:pStyle w:val="Heading3"/>
        <w:numPr>
          <w:ilvl w:val="0"/>
          <w:numId w:val="0"/>
        </w:numPr>
        <w:ind w:left="720" w:hanging="720"/>
      </w:pPr>
      <w:r>
        <w:t>A.2.3</w:t>
      </w:r>
      <w:r>
        <w:tab/>
        <w:t>General</w:t>
      </w:r>
    </w:p>
    <w:tbl>
      <w:tblPr>
        <w:tblStyle w:val="TableGrid"/>
        <w:tblW w:w="0" w:type="auto"/>
        <w:tblLook w:val="04A0" w:firstRow="1" w:lastRow="0" w:firstColumn="1" w:lastColumn="0" w:noHBand="0" w:noVBand="1"/>
      </w:tblPr>
      <w:tblGrid>
        <w:gridCol w:w="9307"/>
      </w:tblGrid>
      <w:tr w:rsidR="000F5A58" w14:paraId="330EDD23" w14:textId="77777777" w:rsidTr="000F5A58">
        <w:tc>
          <w:tcPr>
            <w:tcW w:w="9307" w:type="dxa"/>
          </w:tcPr>
          <w:p w14:paraId="41371F6F" w14:textId="1052A7A3" w:rsidR="000F5A58" w:rsidRPr="00CA64BA" w:rsidRDefault="000F5A58" w:rsidP="00CA64BA">
            <w:pPr>
              <w:spacing w:after="0"/>
              <w:jc w:val="left"/>
              <w:rPr>
                <w:sz w:val="20"/>
                <w:szCs w:val="20"/>
              </w:rPr>
            </w:pPr>
            <w:r w:rsidRPr="00CA64BA">
              <w:rPr>
                <w:sz w:val="20"/>
                <w:szCs w:val="20"/>
                <w:highlight w:val="darkYellow"/>
              </w:rPr>
              <w:t>Working assumption</w:t>
            </w:r>
            <w:r w:rsidRPr="00CA64BA">
              <w:rPr>
                <w:sz w:val="20"/>
                <w:szCs w:val="20"/>
              </w:rPr>
              <w:t xml:space="preserve"> A RedCap UE cannot be configured with a non-initial (DL or UL) BWP (i.e., a BWP with a non-zero index) wider than the maximum bandwidth of the RedCap UE.</w:t>
            </w:r>
          </w:p>
          <w:p w14:paraId="3C80C4E8" w14:textId="535BEA1D" w:rsidR="000F5A58" w:rsidRDefault="000F5A58" w:rsidP="000F5A58">
            <w:pPr>
              <w:pStyle w:val="ListParagraph"/>
              <w:numPr>
                <w:ilvl w:val="0"/>
                <w:numId w:val="7"/>
              </w:numPr>
              <w:spacing w:after="0" w:line="240" w:lineRule="auto"/>
              <w:contextualSpacing w:val="0"/>
              <w:jc w:val="left"/>
            </w:pPr>
            <w:r w:rsidRPr="000F5A58">
              <w:rPr>
                <w:rFonts w:eastAsia="Times New Roman"/>
                <w:sz w:val="20"/>
                <w:szCs w:val="20"/>
              </w:rPr>
              <w:t>At least for FR1, FG 6-1 ("Basic BWP operation with restriction" as described in TR 38.822) is used as a starting point for the RedCap UE type capability.</w:t>
            </w:r>
          </w:p>
        </w:tc>
      </w:tr>
    </w:tbl>
    <w:p w14:paraId="241FF872" w14:textId="798AF2CB" w:rsidR="00F256A1" w:rsidRDefault="00F256A1" w:rsidP="00D0765E"/>
    <w:p w14:paraId="62915D97" w14:textId="7DC04FD4" w:rsidR="00F256A1" w:rsidRDefault="00F256A1" w:rsidP="00D0765E"/>
    <w:p w14:paraId="3FBB844F" w14:textId="59EC6FD2" w:rsidR="00CA64BA" w:rsidRDefault="00CA64BA" w:rsidP="00CA64BA">
      <w:pPr>
        <w:pStyle w:val="Heading2"/>
        <w:numPr>
          <w:ilvl w:val="0"/>
          <w:numId w:val="0"/>
        </w:numPr>
        <w:ind w:left="576" w:hanging="576"/>
      </w:pPr>
      <w:r>
        <w:t>A.3</w:t>
      </w:r>
      <w:r>
        <w:tab/>
        <w:t>RAN1#105</w:t>
      </w:r>
      <w:r w:rsidR="006A247A">
        <w:t xml:space="preserve"> </w:t>
      </w:r>
      <w:r w:rsidR="006A247A">
        <w:fldChar w:fldCharType="begin"/>
      </w:r>
      <w:r w:rsidR="006A247A">
        <w:instrText xml:space="preserve"> REF _Ref67908436 \r \h </w:instrText>
      </w:r>
      <w:r w:rsidR="006A247A">
        <w:fldChar w:fldCharType="separate"/>
      </w:r>
      <w:r w:rsidR="00D40F5E">
        <w:t>[4]</w:t>
      </w:r>
      <w:r w:rsidR="006A247A">
        <w:fldChar w:fldCharType="end"/>
      </w:r>
    </w:p>
    <w:tbl>
      <w:tblPr>
        <w:tblStyle w:val="TableGrid"/>
        <w:tblW w:w="0" w:type="auto"/>
        <w:tblLook w:val="04A0" w:firstRow="1" w:lastRow="0" w:firstColumn="1" w:lastColumn="0" w:noHBand="0" w:noVBand="1"/>
      </w:tblPr>
      <w:tblGrid>
        <w:gridCol w:w="9307"/>
      </w:tblGrid>
      <w:tr w:rsidR="00CA64BA" w14:paraId="0788A1BD" w14:textId="77777777" w:rsidTr="00CA64BA">
        <w:tc>
          <w:tcPr>
            <w:tcW w:w="9307" w:type="dxa"/>
          </w:tcPr>
          <w:p w14:paraId="2792CBB5" w14:textId="2C6A6B31" w:rsidR="00CA64BA" w:rsidRPr="00CA64BA" w:rsidRDefault="00CA64BA" w:rsidP="00CA64BA">
            <w:pPr>
              <w:rPr>
                <w:rFonts w:eastAsia="Batang"/>
                <w:sz w:val="20"/>
                <w:szCs w:val="20"/>
              </w:rPr>
            </w:pPr>
            <w:r w:rsidRPr="00CA64BA">
              <w:rPr>
                <w:sz w:val="20"/>
                <w:szCs w:val="20"/>
                <w:highlight w:val="green"/>
              </w:rPr>
              <w:t>Agreement</w:t>
            </w:r>
            <w:r w:rsidRPr="00CA64BA">
              <w:rPr>
                <w:sz w:val="20"/>
                <w:szCs w:val="20"/>
              </w:rPr>
              <w:t>:</w:t>
            </w:r>
            <w:r>
              <w:rPr>
                <w:sz w:val="20"/>
                <w:szCs w:val="20"/>
              </w:rPr>
              <w:t xml:space="preserve"> </w:t>
            </w:r>
            <w:r w:rsidRPr="00CA64BA">
              <w:rPr>
                <w:sz w:val="20"/>
                <w:szCs w:val="20"/>
              </w:rPr>
              <w:t>Take the following as an agreement, revised from the RAN1#104bis-e working assumption:</w:t>
            </w:r>
          </w:p>
          <w:p w14:paraId="459D9C92" w14:textId="77777777" w:rsidR="00CA64BA" w:rsidRPr="00CA64BA" w:rsidRDefault="00CA64BA" w:rsidP="00CA64BA">
            <w:pPr>
              <w:numPr>
                <w:ilvl w:val="0"/>
                <w:numId w:val="13"/>
              </w:numPr>
              <w:autoSpaceDE/>
              <w:autoSpaceDN/>
              <w:adjustRightInd/>
              <w:snapToGrid/>
              <w:spacing w:after="0"/>
              <w:jc w:val="left"/>
              <w:rPr>
                <w:rFonts w:eastAsia="Times New Roman"/>
                <w:sz w:val="20"/>
                <w:szCs w:val="20"/>
                <w:lang w:eastAsia="ja-JP"/>
              </w:rPr>
            </w:pPr>
            <w:r w:rsidRPr="00CA64BA">
              <w:rPr>
                <w:rFonts w:eastAsia="Times New Roman"/>
                <w:sz w:val="20"/>
                <w:szCs w:val="20"/>
                <w:lang w:eastAsia="ja-JP"/>
              </w:rPr>
              <w:t>A RedCap UE cannot be configured with a non-initial (DL or UL) BWP (i.e., a BWP with a non-zero index) wider than the maximum bandwidth of the RedCap UE.</w:t>
            </w:r>
          </w:p>
          <w:p w14:paraId="4A8C6142" w14:textId="77777777" w:rsidR="00CA64BA" w:rsidRPr="00CA64BA" w:rsidRDefault="00CA64BA" w:rsidP="00CA64BA">
            <w:pPr>
              <w:numPr>
                <w:ilvl w:val="1"/>
                <w:numId w:val="13"/>
              </w:numPr>
              <w:autoSpaceDE/>
              <w:autoSpaceDN/>
              <w:adjustRightInd/>
              <w:snapToGrid/>
              <w:spacing w:after="0"/>
              <w:jc w:val="left"/>
              <w:rPr>
                <w:rFonts w:eastAsia="Times New Roman"/>
                <w:sz w:val="20"/>
                <w:szCs w:val="20"/>
                <w:lang w:eastAsia="ja-JP"/>
              </w:rPr>
            </w:pPr>
            <w:r w:rsidRPr="00CA64BA">
              <w:rPr>
                <w:rFonts w:eastAsia="Times New Roman"/>
                <w:sz w:val="20"/>
                <w:szCs w:val="20"/>
                <w:lang w:eastAsia="ja-JP"/>
              </w:rPr>
              <w:t xml:space="preserve">At least for FR1, FG 6-1 (“Basic BWP operation with restriction” as described in TR 38.822) is used as a starting point for the </w:t>
            </w:r>
            <w:r w:rsidRPr="00CA64BA">
              <w:rPr>
                <w:rFonts w:eastAsia="Times New Roman"/>
                <w:sz w:val="20"/>
                <w:szCs w:val="20"/>
                <w:u w:val="single"/>
                <w:lang w:eastAsia="ja-JP"/>
              </w:rPr>
              <w:t>mandatory</w:t>
            </w:r>
            <w:r w:rsidRPr="00CA64BA">
              <w:rPr>
                <w:rFonts w:eastAsia="Times New Roman"/>
                <w:sz w:val="20"/>
                <w:szCs w:val="20"/>
                <w:lang w:eastAsia="ja-JP"/>
              </w:rPr>
              <w:t xml:space="preserve"> RedCap UE type capability.</w:t>
            </w:r>
          </w:p>
          <w:p w14:paraId="652996BC" w14:textId="5EA712E8" w:rsidR="00CA64BA" w:rsidRPr="00CA64BA" w:rsidRDefault="00CA64BA" w:rsidP="00D0765E">
            <w:pPr>
              <w:numPr>
                <w:ilvl w:val="2"/>
                <w:numId w:val="13"/>
              </w:numPr>
              <w:autoSpaceDE/>
              <w:autoSpaceDN/>
              <w:adjustRightInd/>
              <w:snapToGrid/>
              <w:spacing w:after="0"/>
              <w:jc w:val="left"/>
              <w:rPr>
                <w:rFonts w:eastAsia="Times New Roman"/>
                <w:u w:val="single"/>
                <w:lang w:eastAsia="ja-JP"/>
              </w:rPr>
            </w:pPr>
            <w:r w:rsidRPr="00CA64BA">
              <w:rPr>
                <w:rFonts w:eastAsia="Times New Roman"/>
                <w:sz w:val="20"/>
                <w:szCs w:val="20"/>
                <w:u w:val="single"/>
                <w:lang w:eastAsia="ja-JP"/>
              </w:rPr>
              <w:t>This does not preclude support of FG 6-1a (</w:t>
            </w:r>
            <w:r w:rsidRPr="00CA64BA">
              <w:rPr>
                <w:rFonts w:eastAsia="Times New Roman" w:cs="Times"/>
                <w:sz w:val="20"/>
                <w:szCs w:val="20"/>
                <w:u w:val="single"/>
                <w:lang w:eastAsia="ja-JP"/>
              </w:rPr>
              <w:t>“BWP operation without restriction on BW of BWP(s)” as described in TR 38.822</w:t>
            </w:r>
            <w:r w:rsidRPr="00CA64BA">
              <w:rPr>
                <w:rFonts w:eastAsia="Times New Roman"/>
                <w:sz w:val="20"/>
                <w:szCs w:val="20"/>
                <w:u w:val="single"/>
                <w:lang w:eastAsia="ja-JP"/>
              </w:rPr>
              <w:t>) as a UE capability for RedCap UEs.</w:t>
            </w:r>
          </w:p>
        </w:tc>
      </w:tr>
    </w:tbl>
    <w:p w14:paraId="55C38062" w14:textId="48211FEB" w:rsidR="00F256A1" w:rsidRDefault="00F256A1" w:rsidP="00D0765E"/>
    <w:p w14:paraId="6D8756A3" w14:textId="77777777" w:rsidR="001A2127" w:rsidRPr="0053647E" w:rsidRDefault="001A2127" w:rsidP="002F718C">
      <w:pPr>
        <w:rPr>
          <w:lang w:eastAsia="zh-CN"/>
        </w:rPr>
      </w:pPr>
    </w:p>
    <w:sectPr w:rsidR="001A2127" w:rsidRPr="005364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E8FAD" w14:textId="77777777" w:rsidR="009B31EC" w:rsidRDefault="009B31EC">
      <w:r>
        <w:separator/>
      </w:r>
    </w:p>
  </w:endnote>
  <w:endnote w:type="continuationSeparator" w:id="0">
    <w:p w14:paraId="2DB8FE01" w14:textId="77777777" w:rsidR="009B31EC" w:rsidRDefault="009B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0457B" w14:textId="77777777" w:rsidR="009B31EC" w:rsidRDefault="009B31EC">
      <w:r>
        <w:separator/>
      </w:r>
    </w:p>
  </w:footnote>
  <w:footnote w:type="continuationSeparator" w:id="0">
    <w:p w14:paraId="21C47882" w14:textId="77777777" w:rsidR="009B31EC" w:rsidRDefault="009B3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1CC8"/>
    <w:multiLevelType w:val="hybridMultilevel"/>
    <w:tmpl w:val="96FCB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36E68"/>
    <w:multiLevelType w:val="hybridMultilevel"/>
    <w:tmpl w:val="6206D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5253E"/>
    <w:multiLevelType w:val="hybridMultilevel"/>
    <w:tmpl w:val="8DEC1DBA"/>
    <w:lvl w:ilvl="0" w:tplc="9B18760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F1B16"/>
    <w:multiLevelType w:val="hybridMultilevel"/>
    <w:tmpl w:val="A0320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BC714D"/>
    <w:multiLevelType w:val="hybridMultilevel"/>
    <w:tmpl w:val="07525334"/>
    <w:lvl w:ilvl="0" w:tplc="210C1C1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7372F"/>
    <w:multiLevelType w:val="hybridMultilevel"/>
    <w:tmpl w:val="7B608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7A52D6"/>
    <w:multiLevelType w:val="hybridMultilevel"/>
    <w:tmpl w:val="51D6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E43737"/>
    <w:multiLevelType w:val="hybridMultilevel"/>
    <w:tmpl w:val="309C219A"/>
    <w:lvl w:ilvl="0" w:tplc="DC8A509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E87DCD"/>
    <w:multiLevelType w:val="hybridMultilevel"/>
    <w:tmpl w:val="48E280AA"/>
    <w:lvl w:ilvl="0" w:tplc="7210642A">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7C68075C">
      <w:numFmt w:val="bullet"/>
      <w:lvlText w:val="•"/>
      <w:lvlJc w:val="left"/>
      <w:pPr>
        <w:ind w:left="2235" w:hanging="435"/>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D0E02"/>
    <w:multiLevelType w:val="hybridMultilevel"/>
    <w:tmpl w:val="42EE3684"/>
    <w:lvl w:ilvl="0" w:tplc="7210642A">
      <w:numFmt w:val="bullet"/>
      <w:lvlText w:val=""/>
      <w:lvlJc w:val="left"/>
      <w:pPr>
        <w:ind w:left="773" w:hanging="360"/>
      </w:pPr>
      <w:rPr>
        <w:rFonts w:ascii="Symbol" w:eastAsia="Yu Mincho"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C136E1D"/>
    <w:multiLevelType w:val="hybridMultilevel"/>
    <w:tmpl w:val="1E40CC54"/>
    <w:lvl w:ilvl="0" w:tplc="F90E1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E20179E"/>
    <w:multiLevelType w:val="hybridMultilevel"/>
    <w:tmpl w:val="0516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5" w15:restartNumberingAfterBreak="0">
    <w:nsid w:val="799B6F63"/>
    <w:multiLevelType w:val="hybridMultilevel"/>
    <w:tmpl w:val="EB9415AA"/>
    <w:lvl w:ilvl="0" w:tplc="8D78DA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B736B"/>
    <w:multiLevelType w:val="hybridMultilevel"/>
    <w:tmpl w:val="4470C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9"/>
  </w:num>
  <w:num w:numId="4">
    <w:abstractNumId w:val="24"/>
  </w:num>
  <w:num w:numId="5">
    <w:abstractNumId w:val="13"/>
  </w:num>
  <w:num w:numId="6">
    <w:abstractNumId w:val="9"/>
  </w:num>
  <w:num w:numId="7">
    <w:abstractNumId w:val="22"/>
  </w:num>
  <w:num w:numId="8">
    <w:abstractNumId w:val="8"/>
  </w:num>
  <w:num w:numId="9">
    <w:abstractNumId w:val="5"/>
  </w:num>
  <w:num w:numId="10">
    <w:abstractNumId w:val="14"/>
  </w:num>
  <w:num w:numId="11">
    <w:abstractNumId w:val="20"/>
  </w:num>
  <w:num w:numId="12">
    <w:abstractNumId w:val="2"/>
  </w:num>
  <w:num w:numId="13">
    <w:abstractNumId w:val="4"/>
  </w:num>
  <w:num w:numId="14">
    <w:abstractNumId w:val="16"/>
  </w:num>
  <w:num w:numId="15">
    <w:abstractNumId w:val="17"/>
  </w:num>
  <w:num w:numId="16">
    <w:abstractNumId w:val="11"/>
  </w:num>
  <w:num w:numId="17">
    <w:abstractNumId w:val="7"/>
  </w:num>
  <w:num w:numId="18">
    <w:abstractNumId w:val="15"/>
  </w:num>
  <w:num w:numId="19">
    <w:abstractNumId w:val="6"/>
  </w:num>
  <w:num w:numId="20">
    <w:abstractNumId w:val="21"/>
  </w:num>
  <w:num w:numId="21">
    <w:abstractNumId w:val="1"/>
  </w:num>
  <w:num w:numId="22">
    <w:abstractNumId w:val="10"/>
  </w:num>
  <w:num w:numId="23">
    <w:abstractNumId w:val="10"/>
  </w:num>
  <w:num w:numId="24">
    <w:abstractNumId w:val="10"/>
  </w:num>
  <w:num w:numId="25">
    <w:abstractNumId w:val="10"/>
  </w:num>
  <w:num w:numId="26">
    <w:abstractNumId w:val="18"/>
  </w:num>
  <w:num w:numId="27">
    <w:abstractNumId w:val="26"/>
  </w:num>
  <w:num w:numId="28">
    <w:abstractNumId w:val="3"/>
  </w:num>
  <w:num w:numId="29">
    <w:abstractNumId w:val="25"/>
  </w:num>
  <w:num w:numId="30">
    <w:abstractNumId w:val="23"/>
  </w:num>
  <w:num w:numId="3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D92"/>
    <w:rsid w:val="000020F6"/>
    <w:rsid w:val="00002893"/>
    <w:rsid w:val="00002CB0"/>
    <w:rsid w:val="000033A3"/>
    <w:rsid w:val="00003605"/>
    <w:rsid w:val="00003B0B"/>
    <w:rsid w:val="00003C56"/>
    <w:rsid w:val="00003EC2"/>
    <w:rsid w:val="00003FD2"/>
    <w:rsid w:val="000040A9"/>
    <w:rsid w:val="000040D7"/>
    <w:rsid w:val="0000451C"/>
    <w:rsid w:val="0000458E"/>
    <w:rsid w:val="0000492C"/>
    <w:rsid w:val="00004E70"/>
    <w:rsid w:val="000056C4"/>
    <w:rsid w:val="00005C10"/>
    <w:rsid w:val="00005E66"/>
    <w:rsid w:val="00005F1E"/>
    <w:rsid w:val="000067E8"/>
    <w:rsid w:val="00006B4B"/>
    <w:rsid w:val="00007086"/>
    <w:rsid w:val="000072B6"/>
    <w:rsid w:val="000072DD"/>
    <w:rsid w:val="000073C9"/>
    <w:rsid w:val="00007813"/>
    <w:rsid w:val="0000790C"/>
    <w:rsid w:val="000102D7"/>
    <w:rsid w:val="000109E6"/>
    <w:rsid w:val="00010CD9"/>
    <w:rsid w:val="0001116D"/>
    <w:rsid w:val="00011278"/>
    <w:rsid w:val="00011D52"/>
    <w:rsid w:val="00011F67"/>
    <w:rsid w:val="00012862"/>
    <w:rsid w:val="000128E6"/>
    <w:rsid w:val="00012F77"/>
    <w:rsid w:val="00013371"/>
    <w:rsid w:val="00013612"/>
    <w:rsid w:val="0001410B"/>
    <w:rsid w:val="0001411C"/>
    <w:rsid w:val="00014278"/>
    <w:rsid w:val="00014395"/>
    <w:rsid w:val="00014B9E"/>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BEE"/>
    <w:rsid w:val="00027C82"/>
    <w:rsid w:val="0003024C"/>
    <w:rsid w:val="00030533"/>
    <w:rsid w:val="0003083D"/>
    <w:rsid w:val="0003095F"/>
    <w:rsid w:val="00031ADB"/>
    <w:rsid w:val="00032056"/>
    <w:rsid w:val="000328CA"/>
    <w:rsid w:val="00032E40"/>
    <w:rsid w:val="0003376B"/>
    <w:rsid w:val="000344E1"/>
    <w:rsid w:val="00034676"/>
    <w:rsid w:val="000346E6"/>
    <w:rsid w:val="000352B3"/>
    <w:rsid w:val="00035DFA"/>
    <w:rsid w:val="00036660"/>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3AD"/>
    <w:rsid w:val="000434B7"/>
    <w:rsid w:val="000435E4"/>
    <w:rsid w:val="000448C0"/>
    <w:rsid w:val="00045314"/>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527"/>
    <w:rsid w:val="00060AB2"/>
    <w:rsid w:val="00060E7E"/>
    <w:rsid w:val="000612E1"/>
    <w:rsid w:val="000614FE"/>
    <w:rsid w:val="00061C0B"/>
    <w:rsid w:val="00062839"/>
    <w:rsid w:val="0006295E"/>
    <w:rsid w:val="00063C08"/>
    <w:rsid w:val="000640AB"/>
    <w:rsid w:val="0006422F"/>
    <w:rsid w:val="000655D0"/>
    <w:rsid w:val="00065789"/>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D7"/>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7913"/>
    <w:rsid w:val="00087F03"/>
    <w:rsid w:val="00087FD5"/>
    <w:rsid w:val="000902DC"/>
    <w:rsid w:val="000904CB"/>
    <w:rsid w:val="00090946"/>
    <w:rsid w:val="000911AE"/>
    <w:rsid w:val="00092DF7"/>
    <w:rsid w:val="00093697"/>
    <w:rsid w:val="00093D42"/>
    <w:rsid w:val="00093DD0"/>
    <w:rsid w:val="0009428E"/>
    <w:rsid w:val="00094A16"/>
    <w:rsid w:val="00094DE6"/>
    <w:rsid w:val="00095182"/>
    <w:rsid w:val="000951B8"/>
    <w:rsid w:val="00095799"/>
    <w:rsid w:val="00096356"/>
    <w:rsid w:val="00096372"/>
    <w:rsid w:val="00096F01"/>
    <w:rsid w:val="0009798B"/>
    <w:rsid w:val="00097C40"/>
    <w:rsid w:val="00097C99"/>
    <w:rsid w:val="000A0B2A"/>
    <w:rsid w:val="000A0F14"/>
    <w:rsid w:val="000A1421"/>
    <w:rsid w:val="000A1441"/>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6351"/>
    <w:rsid w:val="000A63D6"/>
    <w:rsid w:val="000A66B4"/>
    <w:rsid w:val="000A7783"/>
    <w:rsid w:val="000A7A64"/>
    <w:rsid w:val="000A7ABF"/>
    <w:rsid w:val="000A7B38"/>
    <w:rsid w:val="000A7E9E"/>
    <w:rsid w:val="000A7F11"/>
    <w:rsid w:val="000B0343"/>
    <w:rsid w:val="000B13B8"/>
    <w:rsid w:val="000B19A9"/>
    <w:rsid w:val="000B1FE1"/>
    <w:rsid w:val="000B2063"/>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B7A65"/>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C2C"/>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C3C"/>
    <w:rsid w:val="000D31B0"/>
    <w:rsid w:val="000D31C8"/>
    <w:rsid w:val="000D36AE"/>
    <w:rsid w:val="000D38A1"/>
    <w:rsid w:val="000D3C4B"/>
    <w:rsid w:val="000D4211"/>
    <w:rsid w:val="000D4B26"/>
    <w:rsid w:val="000D4C4E"/>
    <w:rsid w:val="000D502B"/>
    <w:rsid w:val="000D5077"/>
    <w:rsid w:val="000D51C3"/>
    <w:rsid w:val="000D5362"/>
    <w:rsid w:val="000D57F8"/>
    <w:rsid w:val="000D5851"/>
    <w:rsid w:val="000D5C60"/>
    <w:rsid w:val="000D694B"/>
    <w:rsid w:val="000D710A"/>
    <w:rsid w:val="000D715A"/>
    <w:rsid w:val="000D71E2"/>
    <w:rsid w:val="000D73A5"/>
    <w:rsid w:val="000D78F4"/>
    <w:rsid w:val="000E025B"/>
    <w:rsid w:val="000E07D6"/>
    <w:rsid w:val="000E0D7C"/>
    <w:rsid w:val="000E12C1"/>
    <w:rsid w:val="000E1380"/>
    <w:rsid w:val="000E18DF"/>
    <w:rsid w:val="000E1A27"/>
    <w:rsid w:val="000E1CC7"/>
    <w:rsid w:val="000E2BD7"/>
    <w:rsid w:val="000E3123"/>
    <w:rsid w:val="000E3DB1"/>
    <w:rsid w:val="000E4761"/>
    <w:rsid w:val="000E48AF"/>
    <w:rsid w:val="000E59A0"/>
    <w:rsid w:val="000E71DC"/>
    <w:rsid w:val="000E7403"/>
    <w:rsid w:val="000E77C7"/>
    <w:rsid w:val="000E7A84"/>
    <w:rsid w:val="000F0B0C"/>
    <w:rsid w:val="000F15BC"/>
    <w:rsid w:val="000F180A"/>
    <w:rsid w:val="000F1C92"/>
    <w:rsid w:val="000F1E81"/>
    <w:rsid w:val="000F2D25"/>
    <w:rsid w:val="000F2EEE"/>
    <w:rsid w:val="000F3238"/>
    <w:rsid w:val="000F33A2"/>
    <w:rsid w:val="000F3697"/>
    <w:rsid w:val="000F407D"/>
    <w:rsid w:val="000F4BD7"/>
    <w:rsid w:val="000F5A58"/>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0C5"/>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17CC5"/>
    <w:rsid w:val="001203A0"/>
    <w:rsid w:val="00120B13"/>
    <w:rsid w:val="00120CB2"/>
    <w:rsid w:val="00121162"/>
    <w:rsid w:val="001223CC"/>
    <w:rsid w:val="00122412"/>
    <w:rsid w:val="00122B25"/>
    <w:rsid w:val="001233BB"/>
    <w:rsid w:val="00124258"/>
    <w:rsid w:val="0012449B"/>
    <w:rsid w:val="00124875"/>
    <w:rsid w:val="00124D84"/>
    <w:rsid w:val="00124D97"/>
    <w:rsid w:val="001250DD"/>
    <w:rsid w:val="001251AE"/>
    <w:rsid w:val="00125733"/>
    <w:rsid w:val="001260D2"/>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3FED"/>
    <w:rsid w:val="00134184"/>
    <w:rsid w:val="00134B88"/>
    <w:rsid w:val="00135A01"/>
    <w:rsid w:val="0013636C"/>
    <w:rsid w:val="00136A23"/>
    <w:rsid w:val="00136B99"/>
    <w:rsid w:val="0014063E"/>
    <w:rsid w:val="0014087D"/>
    <w:rsid w:val="00140F74"/>
    <w:rsid w:val="00141191"/>
    <w:rsid w:val="0014159C"/>
    <w:rsid w:val="00141C30"/>
    <w:rsid w:val="001421AF"/>
    <w:rsid w:val="00142665"/>
    <w:rsid w:val="00142820"/>
    <w:rsid w:val="00143123"/>
    <w:rsid w:val="0014384A"/>
    <w:rsid w:val="00143D12"/>
    <w:rsid w:val="001443DB"/>
    <w:rsid w:val="0014450F"/>
    <w:rsid w:val="001449E0"/>
    <w:rsid w:val="00144D8F"/>
    <w:rsid w:val="00144DCF"/>
    <w:rsid w:val="001453EC"/>
    <w:rsid w:val="00145C74"/>
    <w:rsid w:val="00145E53"/>
    <w:rsid w:val="001462E9"/>
    <w:rsid w:val="00146B4B"/>
    <w:rsid w:val="00146E32"/>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4A5"/>
    <w:rsid w:val="00163CD9"/>
    <w:rsid w:val="0016422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0EF"/>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0AC2"/>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217"/>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64"/>
    <w:rsid w:val="001A1BAC"/>
    <w:rsid w:val="001A2127"/>
    <w:rsid w:val="001A23CE"/>
    <w:rsid w:val="001A2B22"/>
    <w:rsid w:val="001A2C89"/>
    <w:rsid w:val="001A3BB2"/>
    <w:rsid w:val="001A403C"/>
    <w:rsid w:val="001A488C"/>
    <w:rsid w:val="001A4965"/>
    <w:rsid w:val="001A4D5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56E"/>
    <w:rsid w:val="001B463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34EB"/>
    <w:rsid w:val="001C3946"/>
    <w:rsid w:val="001C3EE9"/>
    <w:rsid w:val="001C3FA4"/>
    <w:rsid w:val="001C3FAF"/>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01A"/>
    <w:rsid w:val="001D6567"/>
    <w:rsid w:val="001D695C"/>
    <w:rsid w:val="001D6FD9"/>
    <w:rsid w:val="001D780E"/>
    <w:rsid w:val="001D7A29"/>
    <w:rsid w:val="001E05C3"/>
    <w:rsid w:val="001E0AB0"/>
    <w:rsid w:val="001E0AD3"/>
    <w:rsid w:val="001E1046"/>
    <w:rsid w:val="001E1982"/>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3623"/>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BF1"/>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2C6"/>
    <w:rsid w:val="0022565B"/>
    <w:rsid w:val="00225905"/>
    <w:rsid w:val="00225A6A"/>
    <w:rsid w:val="00225AC7"/>
    <w:rsid w:val="00225ACC"/>
    <w:rsid w:val="00225DE1"/>
    <w:rsid w:val="0022780F"/>
    <w:rsid w:val="00227DBD"/>
    <w:rsid w:val="00230F88"/>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39B6"/>
    <w:rsid w:val="00244675"/>
    <w:rsid w:val="00244C2D"/>
    <w:rsid w:val="002451C5"/>
    <w:rsid w:val="00245E6C"/>
    <w:rsid w:val="00245F1F"/>
    <w:rsid w:val="00245F5E"/>
    <w:rsid w:val="00246335"/>
    <w:rsid w:val="0024663B"/>
    <w:rsid w:val="00246CE1"/>
    <w:rsid w:val="00246F24"/>
    <w:rsid w:val="00247103"/>
    <w:rsid w:val="00247174"/>
    <w:rsid w:val="0024729C"/>
    <w:rsid w:val="00250067"/>
    <w:rsid w:val="00250AE9"/>
    <w:rsid w:val="00250C79"/>
    <w:rsid w:val="00250FCC"/>
    <w:rsid w:val="002516DE"/>
    <w:rsid w:val="00251F81"/>
    <w:rsid w:val="002525D7"/>
    <w:rsid w:val="00252BE0"/>
    <w:rsid w:val="00252FEB"/>
    <w:rsid w:val="0025340A"/>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CAB"/>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1B7B"/>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77A83"/>
    <w:rsid w:val="00280136"/>
    <w:rsid w:val="00280AB1"/>
    <w:rsid w:val="002811A6"/>
    <w:rsid w:val="00281274"/>
    <w:rsid w:val="00281730"/>
    <w:rsid w:val="002822B5"/>
    <w:rsid w:val="00282A9D"/>
    <w:rsid w:val="0028344F"/>
    <w:rsid w:val="00283571"/>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5B7"/>
    <w:rsid w:val="002A0749"/>
    <w:rsid w:val="002A0B8D"/>
    <w:rsid w:val="002A0E29"/>
    <w:rsid w:val="002A16D5"/>
    <w:rsid w:val="002A19A4"/>
    <w:rsid w:val="002A1E92"/>
    <w:rsid w:val="002A1E9C"/>
    <w:rsid w:val="002A204D"/>
    <w:rsid w:val="002A2616"/>
    <w:rsid w:val="002A26E1"/>
    <w:rsid w:val="002A2C30"/>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A7651"/>
    <w:rsid w:val="002B0A7D"/>
    <w:rsid w:val="002B0BC8"/>
    <w:rsid w:val="002B1A69"/>
    <w:rsid w:val="002B1BD3"/>
    <w:rsid w:val="002B1F96"/>
    <w:rsid w:val="002B20D7"/>
    <w:rsid w:val="002B2141"/>
    <w:rsid w:val="002B2723"/>
    <w:rsid w:val="002B2778"/>
    <w:rsid w:val="002B2DBC"/>
    <w:rsid w:val="002B2E4A"/>
    <w:rsid w:val="002B303A"/>
    <w:rsid w:val="002B3066"/>
    <w:rsid w:val="002B41ED"/>
    <w:rsid w:val="002B538E"/>
    <w:rsid w:val="002B5DCA"/>
    <w:rsid w:val="002B6BDC"/>
    <w:rsid w:val="002B6CB1"/>
    <w:rsid w:val="002B73B9"/>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47EA"/>
    <w:rsid w:val="002C51A7"/>
    <w:rsid w:val="002C5AFA"/>
    <w:rsid w:val="002C73E3"/>
    <w:rsid w:val="002C7DF5"/>
    <w:rsid w:val="002D0439"/>
    <w:rsid w:val="002D084A"/>
    <w:rsid w:val="002D11B7"/>
    <w:rsid w:val="002D13CB"/>
    <w:rsid w:val="002D18FC"/>
    <w:rsid w:val="002D26B4"/>
    <w:rsid w:val="002D2D24"/>
    <w:rsid w:val="002D3055"/>
    <w:rsid w:val="002D361F"/>
    <w:rsid w:val="002D3AF5"/>
    <w:rsid w:val="002D3BBC"/>
    <w:rsid w:val="002D3C29"/>
    <w:rsid w:val="002D3D3F"/>
    <w:rsid w:val="002D4171"/>
    <w:rsid w:val="002D438A"/>
    <w:rsid w:val="002D44C1"/>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685D"/>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421"/>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3E5"/>
    <w:rsid w:val="00314A18"/>
    <w:rsid w:val="00316149"/>
    <w:rsid w:val="00316DFF"/>
    <w:rsid w:val="003178DA"/>
    <w:rsid w:val="00317DB8"/>
    <w:rsid w:val="00317E6F"/>
    <w:rsid w:val="00320085"/>
    <w:rsid w:val="003203AC"/>
    <w:rsid w:val="00320618"/>
    <w:rsid w:val="00320F61"/>
    <w:rsid w:val="0032100B"/>
    <w:rsid w:val="003210C4"/>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4F26"/>
    <w:rsid w:val="00335B75"/>
    <w:rsid w:val="00335D8C"/>
    <w:rsid w:val="00335DA8"/>
    <w:rsid w:val="00336072"/>
    <w:rsid w:val="003362EB"/>
    <w:rsid w:val="003363A1"/>
    <w:rsid w:val="0033668B"/>
    <w:rsid w:val="00337365"/>
    <w:rsid w:val="003373D2"/>
    <w:rsid w:val="00337F31"/>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336"/>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5411"/>
    <w:rsid w:val="003655E9"/>
    <w:rsid w:val="00365904"/>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32C"/>
    <w:rsid w:val="00374780"/>
    <w:rsid w:val="003748F7"/>
    <w:rsid w:val="00374F16"/>
    <w:rsid w:val="0037535B"/>
    <w:rsid w:val="00375394"/>
    <w:rsid w:val="0037552D"/>
    <w:rsid w:val="003756DB"/>
    <w:rsid w:val="00375AD7"/>
    <w:rsid w:val="00376991"/>
    <w:rsid w:val="003770BB"/>
    <w:rsid w:val="0037771A"/>
    <w:rsid w:val="003777A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9B8"/>
    <w:rsid w:val="00383C8D"/>
    <w:rsid w:val="00384591"/>
    <w:rsid w:val="0038477C"/>
    <w:rsid w:val="003852FB"/>
    <w:rsid w:val="00385429"/>
    <w:rsid w:val="0038560A"/>
    <w:rsid w:val="003857FE"/>
    <w:rsid w:val="00385B05"/>
    <w:rsid w:val="00386382"/>
    <w:rsid w:val="00386528"/>
    <w:rsid w:val="003865EF"/>
    <w:rsid w:val="00386BA9"/>
    <w:rsid w:val="00386C14"/>
    <w:rsid w:val="00386DE5"/>
    <w:rsid w:val="00387228"/>
    <w:rsid w:val="0038776D"/>
    <w:rsid w:val="00390017"/>
    <w:rsid w:val="003901A3"/>
    <w:rsid w:val="0039072F"/>
    <w:rsid w:val="00390EC7"/>
    <w:rsid w:val="0039196E"/>
    <w:rsid w:val="003919F6"/>
    <w:rsid w:val="00391C61"/>
    <w:rsid w:val="00391D79"/>
    <w:rsid w:val="0039218D"/>
    <w:rsid w:val="00392B93"/>
    <w:rsid w:val="003940CE"/>
    <w:rsid w:val="00394739"/>
    <w:rsid w:val="00394A93"/>
    <w:rsid w:val="00395826"/>
    <w:rsid w:val="00396463"/>
    <w:rsid w:val="00396D33"/>
    <w:rsid w:val="00396F22"/>
    <w:rsid w:val="0039738B"/>
    <w:rsid w:val="00397C1D"/>
    <w:rsid w:val="00397C44"/>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9C8"/>
    <w:rsid w:val="003A4C3F"/>
    <w:rsid w:val="003A597E"/>
    <w:rsid w:val="003A5A11"/>
    <w:rsid w:val="003A5A88"/>
    <w:rsid w:val="003A5BAD"/>
    <w:rsid w:val="003A7646"/>
    <w:rsid w:val="003A7702"/>
    <w:rsid w:val="003A7834"/>
    <w:rsid w:val="003B0B5B"/>
    <w:rsid w:val="003B0CE2"/>
    <w:rsid w:val="003B0D8E"/>
    <w:rsid w:val="003B0E79"/>
    <w:rsid w:val="003B19A2"/>
    <w:rsid w:val="003B2DA3"/>
    <w:rsid w:val="003B31B1"/>
    <w:rsid w:val="003B3575"/>
    <w:rsid w:val="003B38D1"/>
    <w:rsid w:val="003B4EE5"/>
    <w:rsid w:val="003B501A"/>
    <w:rsid w:val="003B50BC"/>
    <w:rsid w:val="003B567C"/>
    <w:rsid w:val="003B5B02"/>
    <w:rsid w:val="003B5D97"/>
    <w:rsid w:val="003B5EB8"/>
    <w:rsid w:val="003B5FD7"/>
    <w:rsid w:val="003B63A4"/>
    <w:rsid w:val="003B68FE"/>
    <w:rsid w:val="003B6D7D"/>
    <w:rsid w:val="003B7D7E"/>
    <w:rsid w:val="003C04B9"/>
    <w:rsid w:val="003C1012"/>
    <w:rsid w:val="003C11C9"/>
    <w:rsid w:val="003C1229"/>
    <w:rsid w:val="003C12B0"/>
    <w:rsid w:val="003C149B"/>
    <w:rsid w:val="003C1FD4"/>
    <w:rsid w:val="003C213D"/>
    <w:rsid w:val="003C243C"/>
    <w:rsid w:val="003C25AD"/>
    <w:rsid w:val="003C291D"/>
    <w:rsid w:val="003C298B"/>
    <w:rsid w:val="003C2B3A"/>
    <w:rsid w:val="003C2D21"/>
    <w:rsid w:val="003C3559"/>
    <w:rsid w:val="003C3F62"/>
    <w:rsid w:val="003C4135"/>
    <w:rsid w:val="003C4503"/>
    <w:rsid w:val="003C52AA"/>
    <w:rsid w:val="003C56F7"/>
    <w:rsid w:val="003C5E58"/>
    <w:rsid w:val="003C5E6B"/>
    <w:rsid w:val="003C5ED6"/>
    <w:rsid w:val="003C645E"/>
    <w:rsid w:val="003C652F"/>
    <w:rsid w:val="003C6B63"/>
    <w:rsid w:val="003C6B81"/>
    <w:rsid w:val="003C7AD7"/>
    <w:rsid w:val="003D0936"/>
    <w:rsid w:val="003D0992"/>
    <w:rsid w:val="003D0FC3"/>
    <w:rsid w:val="003D12D0"/>
    <w:rsid w:val="003D17FD"/>
    <w:rsid w:val="003D1902"/>
    <w:rsid w:val="003D19D5"/>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2D4F"/>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CD2"/>
    <w:rsid w:val="003F788D"/>
    <w:rsid w:val="003F7936"/>
    <w:rsid w:val="003F7966"/>
    <w:rsid w:val="003F7FCA"/>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A9F"/>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7488"/>
    <w:rsid w:val="0047083E"/>
    <w:rsid w:val="004709A1"/>
    <w:rsid w:val="00470B8A"/>
    <w:rsid w:val="00470EB5"/>
    <w:rsid w:val="00471030"/>
    <w:rsid w:val="004713C3"/>
    <w:rsid w:val="00471F83"/>
    <w:rsid w:val="00472419"/>
    <w:rsid w:val="0047286B"/>
    <w:rsid w:val="00472E27"/>
    <w:rsid w:val="00472E55"/>
    <w:rsid w:val="00473356"/>
    <w:rsid w:val="00473A69"/>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47B"/>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081"/>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C6D"/>
    <w:rsid w:val="004B6DFA"/>
    <w:rsid w:val="004B7E99"/>
    <w:rsid w:val="004C01A8"/>
    <w:rsid w:val="004C0C37"/>
    <w:rsid w:val="004C1840"/>
    <w:rsid w:val="004C24C9"/>
    <w:rsid w:val="004C252E"/>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22C3"/>
    <w:rsid w:val="004D25D9"/>
    <w:rsid w:val="004D2D7B"/>
    <w:rsid w:val="004D2E1A"/>
    <w:rsid w:val="004D3EFF"/>
    <w:rsid w:val="004D40AE"/>
    <w:rsid w:val="004D41C6"/>
    <w:rsid w:val="004D4417"/>
    <w:rsid w:val="004D4924"/>
    <w:rsid w:val="004D4D31"/>
    <w:rsid w:val="004D5052"/>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4A4B"/>
    <w:rsid w:val="004F517A"/>
    <w:rsid w:val="004F52B6"/>
    <w:rsid w:val="004F5479"/>
    <w:rsid w:val="004F5EEE"/>
    <w:rsid w:val="004F6C73"/>
    <w:rsid w:val="004F7289"/>
    <w:rsid w:val="004F7528"/>
    <w:rsid w:val="004F7BCA"/>
    <w:rsid w:val="004F7D89"/>
    <w:rsid w:val="0050060A"/>
    <w:rsid w:val="00500A0F"/>
    <w:rsid w:val="00501981"/>
    <w:rsid w:val="00501A85"/>
    <w:rsid w:val="00501BB3"/>
    <w:rsid w:val="005021DD"/>
    <w:rsid w:val="005026CA"/>
    <w:rsid w:val="00502ACF"/>
    <w:rsid w:val="00502B72"/>
    <w:rsid w:val="00502D50"/>
    <w:rsid w:val="00502FB1"/>
    <w:rsid w:val="0050376D"/>
    <w:rsid w:val="005037CB"/>
    <w:rsid w:val="00504009"/>
    <w:rsid w:val="0050438C"/>
    <w:rsid w:val="00504BC1"/>
    <w:rsid w:val="00504D67"/>
    <w:rsid w:val="00505134"/>
    <w:rsid w:val="005056C9"/>
    <w:rsid w:val="00505C04"/>
    <w:rsid w:val="005062B1"/>
    <w:rsid w:val="00506853"/>
    <w:rsid w:val="00506CF3"/>
    <w:rsid w:val="005076EC"/>
    <w:rsid w:val="005109C3"/>
    <w:rsid w:val="00511277"/>
    <w:rsid w:val="005114B7"/>
    <w:rsid w:val="005118E5"/>
    <w:rsid w:val="00511F15"/>
    <w:rsid w:val="0051318C"/>
    <w:rsid w:val="0051344E"/>
    <w:rsid w:val="005140F5"/>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371E"/>
    <w:rsid w:val="00524204"/>
    <w:rsid w:val="00524489"/>
    <w:rsid w:val="00524545"/>
    <w:rsid w:val="005246AA"/>
    <w:rsid w:val="00524937"/>
    <w:rsid w:val="005255BF"/>
    <w:rsid w:val="005257DE"/>
    <w:rsid w:val="00525CCD"/>
    <w:rsid w:val="00526C15"/>
    <w:rsid w:val="005270F1"/>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47E"/>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A40"/>
    <w:rsid w:val="00543EBF"/>
    <w:rsid w:val="005444EA"/>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3AE1"/>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1399"/>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A63"/>
    <w:rsid w:val="00590DA6"/>
    <w:rsid w:val="00590FF4"/>
    <w:rsid w:val="005910E3"/>
    <w:rsid w:val="00591C7D"/>
    <w:rsid w:val="0059239D"/>
    <w:rsid w:val="00592A47"/>
    <w:rsid w:val="00592B03"/>
    <w:rsid w:val="005935FD"/>
    <w:rsid w:val="00593AB9"/>
    <w:rsid w:val="0059491C"/>
    <w:rsid w:val="005949A6"/>
    <w:rsid w:val="00594ABB"/>
    <w:rsid w:val="00594BCB"/>
    <w:rsid w:val="00594D1C"/>
    <w:rsid w:val="00594E36"/>
    <w:rsid w:val="00594F0A"/>
    <w:rsid w:val="00595255"/>
    <w:rsid w:val="0059525E"/>
    <w:rsid w:val="00595887"/>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BF0"/>
    <w:rsid w:val="005A1DB7"/>
    <w:rsid w:val="005A269F"/>
    <w:rsid w:val="005A305E"/>
    <w:rsid w:val="005A30BB"/>
    <w:rsid w:val="005A3887"/>
    <w:rsid w:val="005A3E23"/>
    <w:rsid w:val="005A55BF"/>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34E"/>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00B"/>
    <w:rsid w:val="005C5967"/>
    <w:rsid w:val="005C5CCE"/>
    <w:rsid w:val="005C658D"/>
    <w:rsid w:val="005C67E4"/>
    <w:rsid w:val="005C6C52"/>
    <w:rsid w:val="005C6E4A"/>
    <w:rsid w:val="005C712D"/>
    <w:rsid w:val="005C7B39"/>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6E06"/>
    <w:rsid w:val="005D706C"/>
    <w:rsid w:val="005D7E0D"/>
    <w:rsid w:val="005D7FF5"/>
    <w:rsid w:val="005E0355"/>
    <w:rsid w:val="005E0623"/>
    <w:rsid w:val="005E0B3F"/>
    <w:rsid w:val="005E1FBC"/>
    <w:rsid w:val="005E234A"/>
    <w:rsid w:val="005E2867"/>
    <w:rsid w:val="005E35CC"/>
    <w:rsid w:val="005E371E"/>
    <w:rsid w:val="005E3A43"/>
    <w:rsid w:val="005E4140"/>
    <w:rsid w:val="005E53F9"/>
    <w:rsid w:val="005E5BB6"/>
    <w:rsid w:val="005E5E9E"/>
    <w:rsid w:val="005E6EE7"/>
    <w:rsid w:val="005E705C"/>
    <w:rsid w:val="005E7614"/>
    <w:rsid w:val="005E775D"/>
    <w:rsid w:val="005F0551"/>
    <w:rsid w:val="005F0A43"/>
    <w:rsid w:val="005F0E91"/>
    <w:rsid w:val="005F1498"/>
    <w:rsid w:val="005F18FC"/>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1C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979"/>
    <w:rsid w:val="006068A8"/>
    <w:rsid w:val="00606970"/>
    <w:rsid w:val="00606A20"/>
    <w:rsid w:val="00606AC4"/>
    <w:rsid w:val="006072C6"/>
    <w:rsid w:val="00607A2E"/>
    <w:rsid w:val="00607AA4"/>
    <w:rsid w:val="00607D8D"/>
    <w:rsid w:val="00607DCE"/>
    <w:rsid w:val="00607F2E"/>
    <w:rsid w:val="00610717"/>
    <w:rsid w:val="00610D72"/>
    <w:rsid w:val="006121CB"/>
    <w:rsid w:val="006130F7"/>
    <w:rsid w:val="00613AF8"/>
    <w:rsid w:val="00613D8E"/>
    <w:rsid w:val="006142E0"/>
    <w:rsid w:val="0061444B"/>
    <w:rsid w:val="00614454"/>
    <w:rsid w:val="00616112"/>
    <w:rsid w:val="00616375"/>
    <w:rsid w:val="00616768"/>
    <w:rsid w:val="00617066"/>
    <w:rsid w:val="00617234"/>
    <w:rsid w:val="00617332"/>
    <w:rsid w:val="006173CF"/>
    <w:rsid w:val="006175A0"/>
    <w:rsid w:val="00617CF5"/>
    <w:rsid w:val="00620035"/>
    <w:rsid w:val="006205CA"/>
    <w:rsid w:val="00620DC4"/>
    <w:rsid w:val="00621CF4"/>
    <w:rsid w:val="00621F53"/>
    <w:rsid w:val="00622E2A"/>
    <w:rsid w:val="00622FD6"/>
    <w:rsid w:val="00623089"/>
    <w:rsid w:val="0062308E"/>
    <w:rsid w:val="006234C4"/>
    <w:rsid w:val="006234FD"/>
    <w:rsid w:val="00623A6F"/>
    <w:rsid w:val="00623B34"/>
    <w:rsid w:val="00624174"/>
    <w:rsid w:val="00624211"/>
    <w:rsid w:val="006244C9"/>
    <w:rsid w:val="006245F6"/>
    <w:rsid w:val="0062475D"/>
    <w:rsid w:val="0062495F"/>
    <w:rsid w:val="0062496B"/>
    <w:rsid w:val="006254D6"/>
    <w:rsid w:val="00625C0B"/>
    <w:rsid w:val="0062651B"/>
    <w:rsid w:val="0062660B"/>
    <w:rsid w:val="00626AD1"/>
    <w:rsid w:val="006272A4"/>
    <w:rsid w:val="00627A58"/>
    <w:rsid w:val="006300E9"/>
    <w:rsid w:val="006304BC"/>
    <w:rsid w:val="006305D4"/>
    <w:rsid w:val="00630DCE"/>
    <w:rsid w:val="0063120A"/>
    <w:rsid w:val="0063150B"/>
    <w:rsid w:val="00631585"/>
    <w:rsid w:val="00632303"/>
    <w:rsid w:val="00633BC1"/>
    <w:rsid w:val="00634ACF"/>
    <w:rsid w:val="00634BC4"/>
    <w:rsid w:val="00635035"/>
    <w:rsid w:val="0063580D"/>
    <w:rsid w:val="00635CAE"/>
    <w:rsid w:val="00635CB2"/>
    <w:rsid w:val="00637240"/>
    <w:rsid w:val="0063747B"/>
    <w:rsid w:val="0063793A"/>
    <w:rsid w:val="00637C5D"/>
    <w:rsid w:val="00641457"/>
    <w:rsid w:val="006424A8"/>
    <w:rsid w:val="006425F7"/>
    <w:rsid w:val="00643607"/>
    <w:rsid w:val="00643660"/>
    <w:rsid w:val="00643D72"/>
    <w:rsid w:val="00643F37"/>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600E"/>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87804"/>
    <w:rsid w:val="00690A49"/>
    <w:rsid w:val="00690AED"/>
    <w:rsid w:val="00690B11"/>
    <w:rsid w:val="00690BB6"/>
    <w:rsid w:val="0069135B"/>
    <w:rsid w:val="00691610"/>
    <w:rsid w:val="00691B30"/>
    <w:rsid w:val="00691E5A"/>
    <w:rsid w:val="00691F01"/>
    <w:rsid w:val="00692012"/>
    <w:rsid w:val="00692CA4"/>
    <w:rsid w:val="0069334D"/>
    <w:rsid w:val="00693C6D"/>
    <w:rsid w:val="00693E1F"/>
    <w:rsid w:val="00693ECB"/>
    <w:rsid w:val="00694097"/>
    <w:rsid w:val="00694482"/>
    <w:rsid w:val="00694797"/>
    <w:rsid w:val="00694F2D"/>
    <w:rsid w:val="00695246"/>
    <w:rsid w:val="00695257"/>
    <w:rsid w:val="00695887"/>
    <w:rsid w:val="00695C40"/>
    <w:rsid w:val="00695F6D"/>
    <w:rsid w:val="00697068"/>
    <w:rsid w:val="006974FA"/>
    <w:rsid w:val="00697733"/>
    <w:rsid w:val="006A112B"/>
    <w:rsid w:val="006A126B"/>
    <w:rsid w:val="006A139F"/>
    <w:rsid w:val="006A247A"/>
    <w:rsid w:val="006A254E"/>
    <w:rsid w:val="006A285F"/>
    <w:rsid w:val="006A2B68"/>
    <w:rsid w:val="006A2C30"/>
    <w:rsid w:val="006A301C"/>
    <w:rsid w:val="006A307F"/>
    <w:rsid w:val="006A36DB"/>
    <w:rsid w:val="006A3E2B"/>
    <w:rsid w:val="006A3FF2"/>
    <w:rsid w:val="006A444C"/>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8E0"/>
    <w:rsid w:val="006B4BF1"/>
    <w:rsid w:val="006B4EF8"/>
    <w:rsid w:val="006B506C"/>
    <w:rsid w:val="006B555A"/>
    <w:rsid w:val="006B5870"/>
    <w:rsid w:val="006B5BD6"/>
    <w:rsid w:val="006B600A"/>
    <w:rsid w:val="006B6341"/>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4F3"/>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2C1"/>
    <w:rsid w:val="006D6450"/>
    <w:rsid w:val="006D6939"/>
    <w:rsid w:val="006D6B77"/>
    <w:rsid w:val="006D6F42"/>
    <w:rsid w:val="006D75A1"/>
    <w:rsid w:val="006D7EB0"/>
    <w:rsid w:val="006E0138"/>
    <w:rsid w:val="006E06E9"/>
    <w:rsid w:val="006E0BB0"/>
    <w:rsid w:val="006E12C3"/>
    <w:rsid w:val="006E1956"/>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09A2"/>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5AE"/>
    <w:rsid w:val="0070695A"/>
    <w:rsid w:val="007072EB"/>
    <w:rsid w:val="0070782D"/>
    <w:rsid w:val="00707887"/>
    <w:rsid w:val="00707BE2"/>
    <w:rsid w:val="00707D16"/>
    <w:rsid w:val="007109C2"/>
    <w:rsid w:val="00711250"/>
    <w:rsid w:val="00711340"/>
    <w:rsid w:val="007113EC"/>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6D4E"/>
    <w:rsid w:val="00717CCE"/>
    <w:rsid w:val="00717E40"/>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9CB"/>
    <w:rsid w:val="00725C99"/>
    <w:rsid w:val="00726036"/>
    <w:rsid w:val="00726110"/>
    <w:rsid w:val="00726279"/>
    <w:rsid w:val="0072677F"/>
    <w:rsid w:val="0072692D"/>
    <w:rsid w:val="00726A9B"/>
    <w:rsid w:val="00726D75"/>
    <w:rsid w:val="00726E28"/>
    <w:rsid w:val="00727530"/>
    <w:rsid w:val="0072757A"/>
    <w:rsid w:val="007275F1"/>
    <w:rsid w:val="007311C4"/>
    <w:rsid w:val="007314DD"/>
    <w:rsid w:val="007314F0"/>
    <w:rsid w:val="00731E7C"/>
    <w:rsid w:val="00732852"/>
    <w:rsid w:val="007329EF"/>
    <w:rsid w:val="0073327A"/>
    <w:rsid w:val="00733E84"/>
    <w:rsid w:val="00734539"/>
    <w:rsid w:val="007347A5"/>
    <w:rsid w:val="00734EBE"/>
    <w:rsid w:val="00734F68"/>
    <w:rsid w:val="00735549"/>
    <w:rsid w:val="00735CC8"/>
    <w:rsid w:val="00735DD7"/>
    <w:rsid w:val="00735EA8"/>
    <w:rsid w:val="007363B0"/>
    <w:rsid w:val="007368FD"/>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192"/>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6C6"/>
    <w:rsid w:val="00761A5B"/>
    <w:rsid w:val="00761FDA"/>
    <w:rsid w:val="007620E8"/>
    <w:rsid w:val="007621FF"/>
    <w:rsid w:val="007634E3"/>
    <w:rsid w:val="00764194"/>
    <w:rsid w:val="0076443E"/>
    <w:rsid w:val="00765890"/>
    <w:rsid w:val="00765C61"/>
    <w:rsid w:val="00765ED3"/>
    <w:rsid w:val="00766160"/>
    <w:rsid w:val="0076681D"/>
    <w:rsid w:val="0076692F"/>
    <w:rsid w:val="00766A65"/>
    <w:rsid w:val="00766F25"/>
    <w:rsid w:val="007670BB"/>
    <w:rsid w:val="007671F5"/>
    <w:rsid w:val="007676B8"/>
    <w:rsid w:val="0077073A"/>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DC1"/>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96B53"/>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A7CF5"/>
    <w:rsid w:val="007B0085"/>
    <w:rsid w:val="007B03AF"/>
    <w:rsid w:val="007B0D96"/>
    <w:rsid w:val="007B1543"/>
    <w:rsid w:val="007B1AC0"/>
    <w:rsid w:val="007B1B9F"/>
    <w:rsid w:val="007B21C2"/>
    <w:rsid w:val="007B2333"/>
    <w:rsid w:val="007B25A8"/>
    <w:rsid w:val="007B270A"/>
    <w:rsid w:val="007B2D3B"/>
    <w:rsid w:val="007B39F0"/>
    <w:rsid w:val="007B41F3"/>
    <w:rsid w:val="007B44D9"/>
    <w:rsid w:val="007B4E18"/>
    <w:rsid w:val="007B5018"/>
    <w:rsid w:val="007B52CD"/>
    <w:rsid w:val="007B6A88"/>
    <w:rsid w:val="007B74F9"/>
    <w:rsid w:val="007B774F"/>
    <w:rsid w:val="007B7DC1"/>
    <w:rsid w:val="007B7EDB"/>
    <w:rsid w:val="007C015D"/>
    <w:rsid w:val="007C0718"/>
    <w:rsid w:val="007C0A02"/>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989"/>
    <w:rsid w:val="007C6DAD"/>
    <w:rsid w:val="007C70BF"/>
    <w:rsid w:val="007C7BB9"/>
    <w:rsid w:val="007C7ECA"/>
    <w:rsid w:val="007D01D9"/>
    <w:rsid w:val="007D0BB4"/>
    <w:rsid w:val="007D1C9B"/>
    <w:rsid w:val="007D229A"/>
    <w:rsid w:val="007D26F2"/>
    <w:rsid w:val="007D2A8D"/>
    <w:rsid w:val="007D2F44"/>
    <w:rsid w:val="007D2F4D"/>
    <w:rsid w:val="007D3C97"/>
    <w:rsid w:val="007D4178"/>
    <w:rsid w:val="007D479A"/>
    <w:rsid w:val="007D4C5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9CE"/>
    <w:rsid w:val="007E3B71"/>
    <w:rsid w:val="007E4450"/>
    <w:rsid w:val="007E4782"/>
    <w:rsid w:val="007E494C"/>
    <w:rsid w:val="007E4A63"/>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4247"/>
    <w:rsid w:val="007F4C0A"/>
    <w:rsid w:val="007F4F11"/>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3A4"/>
    <w:rsid w:val="00801AB2"/>
    <w:rsid w:val="00801AD0"/>
    <w:rsid w:val="00801D3E"/>
    <w:rsid w:val="0080245F"/>
    <w:rsid w:val="00802BFD"/>
    <w:rsid w:val="00802E74"/>
    <w:rsid w:val="00803A4E"/>
    <w:rsid w:val="00803A9F"/>
    <w:rsid w:val="0080439D"/>
    <w:rsid w:val="00804617"/>
    <w:rsid w:val="00804B92"/>
    <w:rsid w:val="00804DA1"/>
    <w:rsid w:val="00804E21"/>
    <w:rsid w:val="00804E7A"/>
    <w:rsid w:val="00805092"/>
    <w:rsid w:val="008053C8"/>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A6B"/>
    <w:rsid w:val="00832F5B"/>
    <w:rsid w:val="00832F5C"/>
    <w:rsid w:val="00833E76"/>
    <w:rsid w:val="00834046"/>
    <w:rsid w:val="00834489"/>
    <w:rsid w:val="00834A34"/>
    <w:rsid w:val="00834DE6"/>
    <w:rsid w:val="00834ECD"/>
    <w:rsid w:val="008359E0"/>
    <w:rsid w:val="008365B1"/>
    <w:rsid w:val="0083689A"/>
    <w:rsid w:val="008376F6"/>
    <w:rsid w:val="00837D5B"/>
    <w:rsid w:val="00837E96"/>
    <w:rsid w:val="008401DE"/>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03E"/>
    <w:rsid w:val="0087041A"/>
    <w:rsid w:val="008707F7"/>
    <w:rsid w:val="008712FD"/>
    <w:rsid w:val="008716A1"/>
    <w:rsid w:val="00871756"/>
    <w:rsid w:val="00872081"/>
    <w:rsid w:val="00872AA7"/>
    <w:rsid w:val="00872D3F"/>
    <w:rsid w:val="0087334A"/>
    <w:rsid w:val="008733AA"/>
    <w:rsid w:val="008733E4"/>
    <w:rsid w:val="00873F15"/>
    <w:rsid w:val="00874096"/>
    <w:rsid w:val="008756A4"/>
    <w:rsid w:val="00875793"/>
    <w:rsid w:val="008758B2"/>
    <w:rsid w:val="00875F73"/>
    <w:rsid w:val="008766AC"/>
    <w:rsid w:val="00877049"/>
    <w:rsid w:val="00877F56"/>
    <w:rsid w:val="00880389"/>
    <w:rsid w:val="008807FD"/>
    <w:rsid w:val="00880933"/>
    <w:rsid w:val="00880D53"/>
    <w:rsid w:val="00880F30"/>
    <w:rsid w:val="00882238"/>
    <w:rsid w:val="008824D9"/>
    <w:rsid w:val="00882B01"/>
    <w:rsid w:val="00882C12"/>
    <w:rsid w:val="008833E8"/>
    <w:rsid w:val="00884A70"/>
    <w:rsid w:val="00885457"/>
    <w:rsid w:val="00886333"/>
    <w:rsid w:val="008865C8"/>
    <w:rsid w:val="00886E7E"/>
    <w:rsid w:val="0088759F"/>
    <w:rsid w:val="00887B48"/>
    <w:rsid w:val="00890D89"/>
    <w:rsid w:val="00890E76"/>
    <w:rsid w:val="00890EC6"/>
    <w:rsid w:val="00890EE0"/>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B7E"/>
    <w:rsid w:val="00895E17"/>
    <w:rsid w:val="00896160"/>
    <w:rsid w:val="0089691B"/>
    <w:rsid w:val="008969AC"/>
    <w:rsid w:val="00896C81"/>
    <w:rsid w:val="00896D83"/>
    <w:rsid w:val="00897A17"/>
    <w:rsid w:val="008A0167"/>
    <w:rsid w:val="008A03D1"/>
    <w:rsid w:val="008A0618"/>
    <w:rsid w:val="008A064F"/>
    <w:rsid w:val="008A0831"/>
    <w:rsid w:val="008A0AB2"/>
    <w:rsid w:val="008A0CFC"/>
    <w:rsid w:val="008A0E2D"/>
    <w:rsid w:val="008A12FE"/>
    <w:rsid w:val="008A2282"/>
    <w:rsid w:val="008A28B6"/>
    <w:rsid w:val="008A2B2E"/>
    <w:rsid w:val="008A2BB1"/>
    <w:rsid w:val="008A3466"/>
    <w:rsid w:val="008A389F"/>
    <w:rsid w:val="008A38A0"/>
    <w:rsid w:val="008A3A9E"/>
    <w:rsid w:val="008A3C75"/>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09C2"/>
    <w:rsid w:val="008C13F0"/>
    <w:rsid w:val="008C1F26"/>
    <w:rsid w:val="008C1F57"/>
    <w:rsid w:val="008C2A3A"/>
    <w:rsid w:val="008C376C"/>
    <w:rsid w:val="008C3D8B"/>
    <w:rsid w:val="008C4363"/>
    <w:rsid w:val="008C44D1"/>
    <w:rsid w:val="008C45FD"/>
    <w:rsid w:val="008C47A0"/>
    <w:rsid w:val="008C4C7E"/>
    <w:rsid w:val="008C5AFE"/>
    <w:rsid w:val="008C5C46"/>
    <w:rsid w:val="008C6184"/>
    <w:rsid w:val="008C6865"/>
    <w:rsid w:val="008C7008"/>
    <w:rsid w:val="008C785E"/>
    <w:rsid w:val="008C7DD4"/>
    <w:rsid w:val="008D0863"/>
    <w:rsid w:val="008D0AFB"/>
    <w:rsid w:val="008D12FE"/>
    <w:rsid w:val="008D1511"/>
    <w:rsid w:val="008D17D9"/>
    <w:rsid w:val="008D27E2"/>
    <w:rsid w:val="008D32DF"/>
    <w:rsid w:val="008D35E9"/>
    <w:rsid w:val="008D37EF"/>
    <w:rsid w:val="008D3959"/>
    <w:rsid w:val="008D3966"/>
    <w:rsid w:val="008D3BDF"/>
    <w:rsid w:val="008D4244"/>
    <w:rsid w:val="008D4352"/>
    <w:rsid w:val="008D5A60"/>
    <w:rsid w:val="008D5D5C"/>
    <w:rsid w:val="008D60BC"/>
    <w:rsid w:val="008D665E"/>
    <w:rsid w:val="008D6D62"/>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3D8"/>
    <w:rsid w:val="008F288F"/>
    <w:rsid w:val="008F2FD5"/>
    <w:rsid w:val="008F31F2"/>
    <w:rsid w:val="008F37E5"/>
    <w:rsid w:val="008F48C2"/>
    <w:rsid w:val="008F4DF9"/>
    <w:rsid w:val="008F5840"/>
    <w:rsid w:val="008F5EEF"/>
    <w:rsid w:val="008F5FF2"/>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16F2A"/>
    <w:rsid w:val="00917832"/>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99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1523"/>
    <w:rsid w:val="009417E4"/>
    <w:rsid w:val="009419B5"/>
    <w:rsid w:val="00941A2C"/>
    <w:rsid w:val="00941BEB"/>
    <w:rsid w:val="0094265B"/>
    <w:rsid w:val="00942C80"/>
    <w:rsid w:val="00943029"/>
    <w:rsid w:val="00943197"/>
    <w:rsid w:val="00943460"/>
    <w:rsid w:val="00943577"/>
    <w:rsid w:val="009435F2"/>
    <w:rsid w:val="00943AFB"/>
    <w:rsid w:val="009446D2"/>
    <w:rsid w:val="00944856"/>
    <w:rsid w:val="00945180"/>
    <w:rsid w:val="0094590C"/>
    <w:rsid w:val="00946124"/>
    <w:rsid w:val="0094634F"/>
    <w:rsid w:val="00946355"/>
    <w:rsid w:val="009468B7"/>
    <w:rsid w:val="00946ACC"/>
    <w:rsid w:val="0094724E"/>
    <w:rsid w:val="00947973"/>
    <w:rsid w:val="00947BE6"/>
    <w:rsid w:val="0095048D"/>
    <w:rsid w:val="00950729"/>
    <w:rsid w:val="00951300"/>
    <w:rsid w:val="00951ADB"/>
    <w:rsid w:val="00951E23"/>
    <w:rsid w:val="00952253"/>
    <w:rsid w:val="0095380C"/>
    <w:rsid w:val="00953F1C"/>
    <w:rsid w:val="009540C0"/>
    <w:rsid w:val="00954353"/>
    <w:rsid w:val="00955C0A"/>
    <w:rsid w:val="00955C4F"/>
    <w:rsid w:val="00956109"/>
    <w:rsid w:val="00956861"/>
    <w:rsid w:val="009575AA"/>
    <w:rsid w:val="00957945"/>
    <w:rsid w:val="00960980"/>
    <w:rsid w:val="00960CE7"/>
    <w:rsid w:val="009610FE"/>
    <w:rsid w:val="00961262"/>
    <w:rsid w:val="00961A13"/>
    <w:rsid w:val="0096229D"/>
    <w:rsid w:val="00962EB2"/>
    <w:rsid w:val="00962F6F"/>
    <w:rsid w:val="00963B86"/>
    <w:rsid w:val="00964777"/>
    <w:rsid w:val="009650AC"/>
    <w:rsid w:val="009657F1"/>
    <w:rsid w:val="00965C8A"/>
    <w:rsid w:val="0096625D"/>
    <w:rsid w:val="0096648B"/>
    <w:rsid w:val="009664F5"/>
    <w:rsid w:val="00966D6F"/>
    <w:rsid w:val="009677F0"/>
    <w:rsid w:val="00967E37"/>
    <w:rsid w:val="009705D8"/>
    <w:rsid w:val="009709F8"/>
    <w:rsid w:val="00970BD4"/>
    <w:rsid w:val="00971683"/>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223"/>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B4A"/>
    <w:rsid w:val="009A1CC9"/>
    <w:rsid w:val="009A2DF9"/>
    <w:rsid w:val="009A373B"/>
    <w:rsid w:val="009A3A86"/>
    <w:rsid w:val="009A3DB8"/>
    <w:rsid w:val="009A4282"/>
    <w:rsid w:val="009A4869"/>
    <w:rsid w:val="009A5091"/>
    <w:rsid w:val="009A5B79"/>
    <w:rsid w:val="009A6A6B"/>
    <w:rsid w:val="009A777F"/>
    <w:rsid w:val="009A7929"/>
    <w:rsid w:val="009A7DAA"/>
    <w:rsid w:val="009B0270"/>
    <w:rsid w:val="009B03F6"/>
    <w:rsid w:val="009B0DEC"/>
    <w:rsid w:val="009B168C"/>
    <w:rsid w:val="009B1EF9"/>
    <w:rsid w:val="009B24E0"/>
    <w:rsid w:val="009B262F"/>
    <w:rsid w:val="009B26AC"/>
    <w:rsid w:val="009B3085"/>
    <w:rsid w:val="009B31EC"/>
    <w:rsid w:val="009B35E9"/>
    <w:rsid w:val="009B37E2"/>
    <w:rsid w:val="009B4519"/>
    <w:rsid w:val="009B46F7"/>
    <w:rsid w:val="009B4D13"/>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300"/>
    <w:rsid w:val="009B7B5B"/>
    <w:rsid w:val="009B7BB3"/>
    <w:rsid w:val="009B7E83"/>
    <w:rsid w:val="009C0074"/>
    <w:rsid w:val="009C0564"/>
    <w:rsid w:val="009C0E42"/>
    <w:rsid w:val="009C0F04"/>
    <w:rsid w:val="009C1096"/>
    <w:rsid w:val="009C17DA"/>
    <w:rsid w:val="009C1DA0"/>
    <w:rsid w:val="009C2685"/>
    <w:rsid w:val="009C2CE0"/>
    <w:rsid w:val="009C33D7"/>
    <w:rsid w:val="009C37ED"/>
    <w:rsid w:val="009C39BC"/>
    <w:rsid w:val="009C3A66"/>
    <w:rsid w:val="009C4BC2"/>
    <w:rsid w:val="009C4D22"/>
    <w:rsid w:val="009C5144"/>
    <w:rsid w:val="009C7249"/>
    <w:rsid w:val="009C7320"/>
    <w:rsid w:val="009C76FC"/>
    <w:rsid w:val="009C7DA3"/>
    <w:rsid w:val="009D0729"/>
    <w:rsid w:val="009D0D15"/>
    <w:rsid w:val="009D0DC2"/>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2A8B"/>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6F02"/>
    <w:rsid w:val="00A0703A"/>
    <w:rsid w:val="00A074C2"/>
    <w:rsid w:val="00A074E5"/>
    <w:rsid w:val="00A07A48"/>
    <w:rsid w:val="00A10486"/>
    <w:rsid w:val="00A108EE"/>
    <w:rsid w:val="00A109E8"/>
    <w:rsid w:val="00A10BB8"/>
    <w:rsid w:val="00A11C08"/>
    <w:rsid w:val="00A11F8C"/>
    <w:rsid w:val="00A1200D"/>
    <w:rsid w:val="00A126C9"/>
    <w:rsid w:val="00A129D8"/>
    <w:rsid w:val="00A12DA1"/>
    <w:rsid w:val="00A13415"/>
    <w:rsid w:val="00A13540"/>
    <w:rsid w:val="00A13610"/>
    <w:rsid w:val="00A137E4"/>
    <w:rsid w:val="00A1396C"/>
    <w:rsid w:val="00A13CEB"/>
    <w:rsid w:val="00A13DDD"/>
    <w:rsid w:val="00A14008"/>
    <w:rsid w:val="00A145A4"/>
    <w:rsid w:val="00A14813"/>
    <w:rsid w:val="00A150B2"/>
    <w:rsid w:val="00A1566A"/>
    <w:rsid w:val="00A157AD"/>
    <w:rsid w:val="00A164A8"/>
    <w:rsid w:val="00A165BF"/>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2A63"/>
    <w:rsid w:val="00A33172"/>
    <w:rsid w:val="00A3358D"/>
    <w:rsid w:val="00A3381D"/>
    <w:rsid w:val="00A33C39"/>
    <w:rsid w:val="00A340E3"/>
    <w:rsid w:val="00A3432B"/>
    <w:rsid w:val="00A346BA"/>
    <w:rsid w:val="00A34BC4"/>
    <w:rsid w:val="00A34C59"/>
    <w:rsid w:val="00A34C67"/>
    <w:rsid w:val="00A34C8C"/>
    <w:rsid w:val="00A34D62"/>
    <w:rsid w:val="00A34D90"/>
    <w:rsid w:val="00A34E1B"/>
    <w:rsid w:val="00A3611D"/>
    <w:rsid w:val="00A36339"/>
    <w:rsid w:val="00A366E4"/>
    <w:rsid w:val="00A40C79"/>
    <w:rsid w:val="00A41278"/>
    <w:rsid w:val="00A41B09"/>
    <w:rsid w:val="00A428FB"/>
    <w:rsid w:val="00A43652"/>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1C95"/>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322"/>
    <w:rsid w:val="00A630A2"/>
    <w:rsid w:val="00A632B8"/>
    <w:rsid w:val="00A634DF"/>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97D"/>
    <w:rsid w:val="00A74A92"/>
    <w:rsid w:val="00A74E31"/>
    <w:rsid w:val="00A75399"/>
    <w:rsid w:val="00A75CC1"/>
    <w:rsid w:val="00A75E88"/>
    <w:rsid w:val="00A75FB5"/>
    <w:rsid w:val="00A7611B"/>
    <w:rsid w:val="00A775B8"/>
    <w:rsid w:val="00A8056E"/>
    <w:rsid w:val="00A811FF"/>
    <w:rsid w:val="00A814BC"/>
    <w:rsid w:val="00A81751"/>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A1D"/>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E57"/>
    <w:rsid w:val="00AB5FB8"/>
    <w:rsid w:val="00AB61A8"/>
    <w:rsid w:val="00AB725F"/>
    <w:rsid w:val="00AB7525"/>
    <w:rsid w:val="00AC00EF"/>
    <w:rsid w:val="00AC0705"/>
    <w:rsid w:val="00AC087D"/>
    <w:rsid w:val="00AC109B"/>
    <w:rsid w:val="00AC1CEC"/>
    <w:rsid w:val="00AC209E"/>
    <w:rsid w:val="00AC2107"/>
    <w:rsid w:val="00AC3456"/>
    <w:rsid w:val="00AC36A6"/>
    <w:rsid w:val="00AC38BF"/>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860"/>
    <w:rsid w:val="00AD4D2A"/>
    <w:rsid w:val="00AD542F"/>
    <w:rsid w:val="00AD5FBE"/>
    <w:rsid w:val="00AD6141"/>
    <w:rsid w:val="00AD6598"/>
    <w:rsid w:val="00AD6795"/>
    <w:rsid w:val="00AD7305"/>
    <w:rsid w:val="00AD75B2"/>
    <w:rsid w:val="00AD7D6C"/>
    <w:rsid w:val="00AD7E09"/>
    <w:rsid w:val="00AD7E64"/>
    <w:rsid w:val="00AE0206"/>
    <w:rsid w:val="00AE0A8C"/>
    <w:rsid w:val="00AE0C56"/>
    <w:rsid w:val="00AE10E1"/>
    <w:rsid w:val="00AE141B"/>
    <w:rsid w:val="00AE149E"/>
    <w:rsid w:val="00AE1A1D"/>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6FAF"/>
    <w:rsid w:val="00AE704D"/>
    <w:rsid w:val="00AE718A"/>
    <w:rsid w:val="00AE7397"/>
    <w:rsid w:val="00AE77E5"/>
    <w:rsid w:val="00AE7864"/>
    <w:rsid w:val="00AE7933"/>
    <w:rsid w:val="00AE7949"/>
    <w:rsid w:val="00AF0B68"/>
    <w:rsid w:val="00AF0F0D"/>
    <w:rsid w:val="00AF13AC"/>
    <w:rsid w:val="00AF1528"/>
    <w:rsid w:val="00AF1C6C"/>
    <w:rsid w:val="00AF2148"/>
    <w:rsid w:val="00AF25D5"/>
    <w:rsid w:val="00AF26F1"/>
    <w:rsid w:val="00AF2AFC"/>
    <w:rsid w:val="00AF3457"/>
    <w:rsid w:val="00AF3563"/>
    <w:rsid w:val="00AF3DBB"/>
    <w:rsid w:val="00AF4394"/>
    <w:rsid w:val="00AF4B8D"/>
    <w:rsid w:val="00AF4FF7"/>
    <w:rsid w:val="00AF5021"/>
    <w:rsid w:val="00AF5194"/>
    <w:rsid w:val="00AF53EF"/>
    <w:rsid w:val="00AF54B9"/>
    <w:rsid w:val="00AF5A56"/>
    <w:rsid w:val="00AF60E1"/>
    <w:rsid w:val="00AF6472"/>
    <w:rsid w:val="00AF6FB7"/>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110F"/>
    <w:rsid w:val="00B12EF9"/>
    <w:rsid w:val="00B13777"/>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58C"/>
    <w:rsid w:val="00B25762"/>
    <w:rsid w:val="00B25981"/>
    <w:rsid w:val="00B25B40"/>
    <w:rsid w:val="00B25FDE"/>
    <w:rsid w:val="00B26AB0"/>
    <w:rsid w:val="00B26AD2"/>
    <w:rsid w:val="00B26CA2"/>
    <w:rsid w:val="00B27086"/>
    <w:rsid w:val="00B2746D"/>
    <w:rsid w:val="00B27947"/>
    <w:rsid w:val="00B30181"/>
    <w:rsid w:val="00B30B44"/>
    <w:rsid w:val="00B30B4E"/>
    <w:rsid w:val="00B31246"/>
    <w:rsid w:val="00B315E3"/>
    <w:rsid w:val="00B319C7"/>
    <w:rsid w:val="00B31D6D"/>
    <w:rsid w:val="00B32347"/>
    <w:rsid w:val="00B326FF"/>
    <w:rsid w:val="00B32864"/>
    <w:rsid w:val="00B32EAB"/>
    <w:rsid w:val="00B3378D"/>
    <w:rsid w:val="00B33CEE"/>
    <w:rsid w:val="00B340AA"/>
    <w:rsid w:val="00B3455B"/>
    <w:rsid w:val="00B34A9F"/>
    <w:rsid w:val="00B34B80"/>
    <w:rsid w:val="00B3501B"/>
    <w:rsid w:val="00B351DF"/>
    <w:rsid w:val="00B35CDA"/>
    <w:rsid w:val="00B3690B"/>
    <w:rsid w:val="00B37039"/>
    <w:rsid w:val="00B372F2"/>
    <w:rsid w:val="00B376D3"/>
    <w:rsid w:val="00B3789F"/>
    <w:rsid w:val="00B37D97"/>
    <w:rsid w:val="00B4050D"/>
    <w:rsid w:val="00B40BC3"/>
    <w:rsid w:val="00B411BD"/>
    <w:rsid w:val="00B41559"/>
    <w:rsid w:val="00B41599"/>
    <w:rsid w:val="00B418E8"/>
    <w:rsid w:val="00B42285"/>
    <w:rsid w:val="00B4229B"/>
    <w:rsid w:val="00B4274B"/>
    <w:rsid w:val="00B42D2A"/>
    <w:rsid w:val="00B42E38"/>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CCA"/>
    <w:rsid w:val="00B66E1B"/>
    <w:rsid w:val="00B6715F"/>
    <w:rsid w:val="00B67D81"/>
    <w:rsid w:val="00B70260"/>
    <w:rsid w:val="00B70D58"/>
    <w:rsid w:val="00B70E08"/>
    <w:rsid w:val="00B70F4B"/>
    <w:rsid w:val="00B7107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758"/>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779"/>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24"/>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A5A"/>
    <w:rsid w:val="00BD0C0F"/>
    <w:rsid w:val="00BD0F02"/>
    <w:rsid w:val="00BD16CA"/>
    <w:rsid w:val="00BD28AA"/>
    <w:rsid w:val="00BD2F3B"/>
    <w:rsid w:val="00BD3038"/>
    <w:rsid w:val="00BD3372"/>
    <w:rsid w:val="00BD4708"/>
    <w:rsid w:val="00BD4798"/>
    <w:rsid w:val="00BD50AA"/>
    <w:rsid w:val="00BD5135"/>
    <w:rsid w:val="00BD596B"/>
    <w:rsid w:val="00BD5F7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770"/>
    <w:rsid w:val="00C03E7F"/>
    <w:rsid w:val="00C03EE8"/>
    <w:rsid w:val="00C0432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75E"/>
    <w:rsid w:val="00C20A00"/>
    <w:rsid w:val="00C20BA6"/>
    <w:rsid w:val="00C20C16"/>
    <w:rsid w:val="00C215F2"/>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217"/>
    <w:rsid w:val="00C322C1"/>
    <w:rsid w:val="00C327E7"/>
    <w:rsid w:val="00C3385A"/>
    <w:rsid w:val="00C3400F"/>
    <w:rsid w:val="00C344A0"/>
    <w:rsid w:val="00C34B64"/>
    <w:rsid w:val="00C34C36"/>
    <w:rsid w:val="00C352B3"/>
    <w:rsid w:val="00C3654C"/>
    <w:rsid w:val="00C36BF5"/>
    <w:rsid w:val="00C36CC4"/>
    <w:rsid w:val="00C36DBC"/>
    <w:rsid w:val="00C370E3"/>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76F"/>
    <w:rsid w:val="00C44EA4"/>
    <w:rsid w:val="00C452F5"/>
    <w:rsid w:val="00C453E6"/>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BE4"/>
    <w:rsid w:val="00C53EB3"/>
    <w:rsid w:val="00C542D4"/>
    <w:rsid w:val="00C54D71"/>
    <w:rsid w:val="00C55178"/>
    <w:rsid w:val="00C55751"/>
    <w:rsid w:val="00C55832"/>
    <w:rsid w:val="00C55E7C"/>
    <w:rsid w:val="00C5615F"/>
    <w:rsid w:val="00C563F5"/>
    <w:rsid w:val="00C5675D"/>
    <w:rsid w:val="00C56DDA"/>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233"/>
    <w:rsid w:val="00C91DE3"/>
    <w:rsid w:val="00C92C7F"/>
    <w:rsid w:val="00C93625"/>
    <w:rsid w:val="00C9369D"/>
    <w:rsid w:val="00C9383D"/>
    <w:rsid w:val="00C944FA"/>
    <w:rsid w:val="00C95854"/>
    <w:rsid w:val="00C959FD"/>
    <w:rsid w:val="00C95D24"/>
    <w:rsid w:val="00C95EFF"/>
    <w:rsid w:val="00C9661F"/>
    <w:rsid w:val="00C96AE7"/>
    <w:rsid w:val="00C96AF2"/>
    <w:rsid w:val="00C96E6F"/>
    <w:rsid w:val="00C97872"/>
    <w:rsid w:val="00CA0532"/>
    <w:rsid w:val="00CA0818"/>
    <w:rsid w:val="00CA0B4C"/>
    <w:rsid w:val="00CA17DE"/>
    <w:rsid w:val="00CA221D"/>
    <w:rsid w:val="00CA2241"/>
    <w:rsid w:val="00CA381D"/>
    <w:rsid w:val="00CA3CDD"/>
    <w:rsid w:val="00CA402A"/>
    <w:rsid w:val="00CA403B"/>
    <w:rsid w:val="00CA46C8"/>
    <w:rsid w:val="00CA505A"/>
    <w:rsid w:val="00CA50DA"/>
    <w:rsid w:val="00CA572A"/>
    <w:rsid w:val="00CA59DD"/>
    <w:rsid w:val="00CA64BA"/>
    <w:rsid w:val="00CA7C89"/>
    <w:rsid w:val="00CB008E"/>
    <w:rsid w:val="00CB01ED"/>
    <w:rsid w:val="00CB01FA"/>
    <w:rsid w:val="00CB0737"/>
    <w:rsid w:val="00CB095A"/>
    <w:rsid w:val="00CB097A"/>
    <w:rsid w:val="00CB0E3E"/>
    <w:rsid w:val="00CB11D2"/>
    <w:rsid w:val="00CB1BF3"/>
    <w:rsid w:val="00CB1E5F"/>
    <w:rsid w:val="00CB24A2"/>
    <w:rsid w:val="00CB26EC"/>
    <w:rsid w:val="00CB2881"/>
    <w:rsid w:val="00CB2D2A"/>
    <w:rsid w:val="00CB3808"/>
    <w:rsid w:val="00CB4793"/>
    <w:rsid w:val="00CB514C"/>
    <w:rsid w:val="00CB54A6"/>
    <w:rsid w:val="00CB577C"/>
    <w:rsid w:val="00CB5B1E"/>
    <w:rsid w:val="00CB73B1"/>
    <w:rsid w:val="00CB787A"/>
    <w:rsid w:val="00CC06CF"/>
    <w:rsid w:val="00CC0C4A"/>
    <w:rsid w:val="00CC12E2"/>
    <w:rsid w:val="00CC17F0"/>
    <w:rsid w:val="00CC1853"/>
    <w:rsid w:val="00CC1D13"/>
    <w:rsid w:val="00CC1FAE"/>
    <w:rsid w:val="00CC27A0"/>
    <w:rsid w:val="00CC2ED3"/>
    <w:rsid w:val="00CC39A4"/>
    <w:rsid w:val="00CC3A23"/>
    <w:rsid w:val="00CC3BD5"/>
    <w:rsid w:val="00CC3CD6"/>
    <w:rsid w:val="00CC426A"/>
    <w:rsid w:val="00CC5080"/>
    <w:rsid w:val="00CC50D9"/>
    <w:rsid w:val="00CC603E"/>
    <w:rsid w:val="00CC671D"/>
    <w:rsid w:val="00CC70D9"/>
    <w:rsid w:val="00CC737C"/>
    <w:rsid w:val="00CC737E"/>
    <w:rsid w:val="00CC7852"/>
    <w:rsid w:val="00CD0643"/>
    <w:rsid w:val="00CD087D"/>
    <w:rsid w:val="00CD0F5D"/>
    <w:rsid w:val="00CD1C0B"/>
    <w:rsid w:val="00CD239A"/>
    <w:rsid w:val="00CD2C65"/>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5D4E"/>
    <w:rsid w:val="00CE5D78"/>
    <w:rsid w:val="00CE6972"/>
    <w:rsid w:val="00CE78AE"/>
    <w:rsid w:val="00CE7C45"/>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6EB8"/>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7FB"/>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D42"/>
    <w:rsid w:val="00D16E87"/>
    <w:rsid w:val="00D17C6A"/>
    <w:rsid w:val="00D20B8B"/>
    <w:rsid w:val="00D2162C"/>
    <w:rsid w:val="00D217E9"/>
    <w:rsid w:val="00D21A3C"/>
    <w:rsid w:val="00D223F7"/>
    <w:rsid w:val="00D233F1"/>
    <w:rsid w:val="00D241D2"/>
    <w:rsid w:val="00D24765"/>
    <w:rsid w:val="00D256F8"/>
    <w:rsid w:val="00D257E4"/>
    <w:rsid w:val="00D259EB"/>
    <w:rsid w:val="00D25AA0"/>
    <w:rsid w:val="00D2685C"/>
    <w:rsid w:val="00D26A3B"/>
    <w:rsid w:val="00D26D2A"/>
    <w:rsid w:val="00D26D9E"/>
    <w:rsid w:val="00D302FD"/>
    <w:rsid w:val="00D3038A"/>
    <w:rsid w:val="00D3098D"/>
    <w:rsid w:val="00D3187F"/>
    <w:rsid w:val="00D31A02"/>
    <w:rsid w:val="00D32786"/>
    <w:rsid w:val="00D3299E"/>
    <w:rsid w:val="00D32A09"/>
    <w:rsid w:val="00D3323C"/>
    <w:rsid w:val="00D33456"/>
    <w:rsid w:val="00D336CF"/>
    <w:rsid w:val="00D3396F"/>
    <w:rsid w:val="00D33D4D"/>
    <w:rsid w:val="00D343D9"/>
    <w:rsid w:val="00D34988"/>
    <w:rsid w:val="00D34A0B"/>
    <w:rsid w:val="00D36234"/>
    <w:rsid w:val="00D3634B"/>
    <w:rsid w:val="00D36371"/>
    <w:rsid w:val="00D364C2"/>
    <w:rsid w:val="00D3768F"/>
    <w:rsid w:val="00D40F5E"/>
    <w:rsid w:val="00D41005"/>
    <w:rsid w:val="00D41234"/>
    <w:rsid w:val="00D41C80"/>
    <w:rsid w:val="00D41CC4"/>
    <w:rsid w:val="00D421CB"/>
    <w:rsid w:val="00D4229C"/>
    <w:rsid w:val="00D42B94"/>
    <w:rsid w:val="00D437D8"/>
    <w:rsid w:val="00D4404D"/>
    <w:rsid w:val="00D44994"/>
    <w:rsid w:val="00D44C34"/>
    <w:rsid w:val="00D44E40"/>
    <w:rsid w:val="00D450A6"/>
    <w:rsid w:val="00D45630"/>
    <w:rsid w:val="00D45C8D"/>
    <w:rsid w:val="00D45D60"/>
    <w:rsid w:val="00D45DF3"/>
    <w:rsid w:val="00D46174"/>
    <w:rsid w:val="00D478C4"/>
    <w:rsid w:val="00D479CA"/>
    <w:rsid w:val="00D47DD0"/>
    <w:rsid w:val="00D50183"/>
    <w:rsid w:val="00D5139A"/>
    <w:rsid w:val="00D51D12"/>
    <w:rsid w:val="00D521B2"/>
    <w:rsid w:val="00D52F94"/>
    <w:rsid w:val="00D5362B"/>
    <w:rsid w:val="00D53C29"/>
    <w:rsid w:val="00D5416C"/>
    <w:rsid w:val="00D54500"/>
    <w:rsid w:val="00D547F8"/>
    <w:rsid w:val="00D547FE"/>
    <w:rsid w:val="00D55072"/>
    <w:rsid w:val="00D551B5"/>
    <w:rsid w:val="00D561A1"/>
    <w:rsid w:val="00D569FB"/>
    <w:rsid w:val="00D56AF5"/>
    <w:rsid w:val="00D56DB2"/>
    <w:rsid w:val="00D5747F"/>
    <w:rsid w:val="00D57495"/>
    <w:rsid w:val="00D574FA"/>
    <w:rsid w:val="00D57A0E"/>
    <w:rsid w:val="00D57AB5"/>
    <w:rsid w:val="00D60C8D"/>
    <w:rsid w:val="00D60DA3"/>
    <w:rsid w:val="00D61374"/>
    <w:rsid w:val="00D6168A"/>
    <w:rsid w:val="00D616A5"/>
    <w:rsid w:val="00D619D4"/>
    <w:rsid w:val="00D61B79"/>
    <w:rsid w:val="00D61F24"/>
    <w:rsid w:val="00D61FE0"/>
    <w:rsid w:val="00D61FF0"/>
    <w:rsid w:val="00D62106"/>
    <w:rsid w:val="00D6211D"/>
    <w:rsid w:val="00D62BD2"/>
    <w:rsid w:val="00D62C97"/>
    <w:rsid w:val="00D63517"/>
    <w:rsid w:val="00D6394B"/>
    <w:rsid w:val="00D63B75"/>
    <w:rsid w:val="00D63D97"/>
    <w:rsid w:val="00D63EA4"/>
    <w:rsid w:val="00D640B2"/>
    <w:rsid w:val="00D648A1"/>
    <w:rsid w:val="00D64F4F"/>
    <w:rsid w:val="00D65315"/>
    <w:rsid w:val="00D659B1"/>
    <w:rsid w:val="00D66D92"/>
    <w:rsid w:val="00D66E18"/>
    <w:rsid w:val="00D6734D"/>
    <w:rsid w:val="00D6758D"/>
    <w:rsid w:val="00D67733"/>
    <w:rsid w:val="00D67823"/>
    <w:rsid w:val="00D679CF"/>
    <w:rsid w:val="00D679D3"/>
    <w:rsid w:val="00D70A36"/>
    <w:rsid w:val="00D713D7"/>
    <w:rsid w:val="00D71552"/>
    <w:rsid w:val="00D718A2"/>
    <w:rsid w:val="00D72DE1"/>
    <w:rsid w:val="00D73469"/>
    <w:rsid w:val="00D7356F"/>
    <w:rsid w:val="00D73587"/>
    <w:rsid w:val="00D73EBB"/>
    <w:rsid w:val="00D73F90"/>
    <w:rsid w:val="00D746D6"/>
    <w:rsid w:val="00D74B92"/>
    <w:rsid w:val="00D751FB"/>
    <w:rsid w:val="00D754D6"/>
    <w:rsid w:val="00D75895"/>
    <w:rsid w:val="00D75B44"/>
    <w:rsid w:val="00D761AA"/>
    <w:rsid w:val="00D76CC6"/>
    <w:rsid w:val="00D76FAE"/>
    <w:rsid w:val="00D77040"/>
    <w:rsid w:val="00D777D7"/>
    <w:rsid w:val="00D77948"/>
    <w:rsid w:val="00D807ED"/>
    <w:rsid w:val="00D80AB8"/>
    <w:rsid w:val="00D80B5A"/>
    <w:rsid w:val="00D80E06"/>
    <w:rsid w:val="00D80FEC"/>
    <w:rsid w:val="00D81792"/>
    <w:rsid w:val="00D819B1"/>
    <w:rsid w:val="00D81B37"/>
    <w:rsid w:val="00D81BA1"/>
    <w:rsid w:val="00D81C16"/>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3C3"/>
    <w:rsid w:val="00D92B24"/>
    <w:rsid w:val="00D92C29"/>
    <w:rsid w:val="00D93252"/>
    <w:rsid w:val="00D936E2"/>
    <w:rsid w:val="00D93906"/>
    <w:rsid w:val="00D93D35"/>
    <w:rsid w:val="00D945B3"/>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20BC"/>
    <w:rsid w:val="00DA2575"/>
    <w:rsid w:val="00DA26BA"/>
    <w:rsid w:val="00DA272E"/>
    <w:rsid w:val="00DA2DBA"/>
    <w:rsid w:val="00DA2E4B"/>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B7DA5"/>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3D0"/>
    <w:rsid w:val="00DD0485"/>
    <w:rsid w:val="00DD05AF"/>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6B2"/>
    <w:rsid w:val="00DD6D4E"/>
    <w:rsid w:val="00DD7072"/>
    <w:rsid w:val="00DD79A6"/>
    <w:rsid w:val="00DE0443"/>
    <w:rsid w:val="00DE068C"/>
    <w:rsid w:val="00DE0E59"/>
    <w:rsid w:val="00DE0F6C"/>
    <w:rsid w:val="00DE12F0"/>
    <w:rsid w:val="00DE1A69"/>
    <w:rsid w:val="00DE219B"/>
    <w:rsid w:val="00DE3407"/>
    <w:rsid w:val="00DE3979"/>
    <w:rsid w:val="00DE3B52"/>
    <w:rsid w:val="00DE4B54"/>
    <w:rsid w:val="00DE4C15"/>
    <w:rsid w:val="00DE502D"/>
    <w:rsid w:val="00DE52E3"/>
    <w:rsid w:val="00DE70CB"/>
    <w:rsid w:val="00DE7C00"/>
    <w:rsid w:val="00DF03E9"/>
    <w:rsid w:val="00DF03ED"/>
    <w:rsid w:val="00DF04EE"/>
    <w:rsid w:val="00DF0BF4"/>
    <w:rsid w:val="00DF0E41"/>
    <w:rsid w:val="00DF0E91"/>
    <w:rsid w:val="00DF10B2"/>
    <w:rsid w:val="00DF1769"/>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DF7FC8"/>
    <w:rsid w:val="00E002F1"/>
    <w:rsid w:val="00E0055A"/>
    <w:rsid w:val="00E0082C"/>
    <w:rsid w:val="00E00B0D"/>
    <w:rsid w:val="00E00F45"/>
    <w:rsid w:val="00E00F55"/>
    <w:rsid w:val="00E013F3"/>
    <w:rsid w:val="00E01DAA"/>
    <w:rsid w:val="00E023E5"/>
    <w:rsid w:val="00E02432"/>
    <w:rsid w:val="00E03140"/>
    <w:rsid w:val="00E03520"/>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057E"/>
    <w:rsid w:val="00E112CA"/>
    <w:rsid w:val="00E113C6"/>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350"/>
    <w:rsid w:val="00E30808"/>
    <w:rsid w:val="00E3117A"/>
    <w:rsid w:val="00E311C3"/>
    <w:rsid w:val="00E3138E"/>
    <w:rsid w:val="00E32532"/>
    <w:rsid w:val="00E32D62"/>
    <w:rsid w:val="00E339DC"/>
    <w:rsid w:val="00E33E15"/>
    <w:rsid w:val="00E33F04"/>
    <w:rsid w:val="00E352B0"/>
    <w:rsid w:val="00E353A4"/>
    <w:rsid w:val="00E35923"/>
    <w:rsid w:val="00E361B8"/>
    <w:rsid w:val="00E36A1B"/>
    <w:rsid w:val="00E37653"/>
    <w:rsid w:val="00E37DDE"/>
    <w:rsid w:val="00E40876"/>
    <w:rsid w:val="00E40949"/>
    <w:rsid w:val="00E40C38"/>
    <w:rsid w:val="00E40CCD"/>
    <w:rsid w:val="00E418F2"/>
    <w:rsid w:val="00E42428"/>
    <w:rsid w:val="00E429ED"/>
    <w:rsid w:val="00E43F37"/>
    <w:rsid w:val="00E441E6"/>
    <w:rsid w:val="00E4481D"/>
    <w:rsid w:val="00E450ED"/>
    <w:rsid w:val="00E45277"/>
    <w:rsid w:val="00E467B6"/>
    <w:rsid w:val="00E46C47"/>
    <w:rsid w:val="00E46E56"/>
    <w:rsid w:val="00E4765D"/>
    <w:rsid w:val="00E4791B"/>
    <w:rsid w:val="00E47AD7"/>
    <w:rsid w:val="00E47E31"/>
    <w:rsid w:val="00E50005"/>
    <w:rsid w:val="00E50960"/>
    <w:rsid w:val="00E50A11"/>
    <w:rsid w:val="00E50AC6"/>
    <w:rsid w:val="00E50FCA"/>
    <w:rsid w:val="00E5108D"/>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EAC"/>
    <w:rsid w:val="00E604EF"/>
    <w:rsid w:val="00E60A9F"/>
    <w:rsid w:val="00E61775"/>
    <w:rsid w:val="00E61CA6"/>
    <w:rsid w:val="00E61CC0"/>
    <w:rsid w:val="00E6277B"/>
    <w:rsid w:val="00E62EA7"/>
    <w:rsid w:val="00E63278"/>
    <w:rsid w:val="00E64424"/>
    <w:rsid w:val="00E64C99"/>
    <w:rsid w:val="00E64CD3"/>
    <w:rsid w:val="00E64E8F"/>
    <w:rsid w:val="00E65A09"/>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595"/>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746"/>
    <w:rsid w:val="00E91F04"/>
    <w:rsid w:val="00E91F35"/>
    <w:rsid w:val="00E9259E"/>
    <w:rsid w:val="00E93024"/>
    <w:rsid w:val="00E953EA"/>
    <w:rsid w:val="00E95524"/>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07C"/>
    <w:rsid w:val="00EB626C"/>
    <w:rsid w:val="00EB6ABF"/>
    <w:rsid w:val="00EB70B0"/>
    <w:rsid w:val="00EB74F4"/>
    <w:rsid w:val="00EB7633"/>
    <w:rsid w:val="00EB7736"/>
    <w:rsid w:val="00EB7808"/>
    <w:rsid w:val="00EC05FD"/>
    <w:rsid w:val="00EC13E2"/>
    <w:rsid w:val="00EC1DCD"/>
    <w:rsid w:val="00EC236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07AA"/>
    <w:rsid w:val="00ED162F"/>
    <w:rsid w:val="00ED1738"/>
    <w:rsid w:val="00ED2AE0"/>
    <w:rsid w:val="00ED2E52"/>
    <w:rsid w:val="00ED3024"/>
    <w:rsid w:val="00ED3161"/>
    <w:rsid w:val="00ED31DB"/>
    <w:rsid w:val="00ED3B48"/>
    <w:rsid w:val="00ED3BB8"/>
    <w:rsid w:val="00ED3C23"/>
    <w:rsid w:val="00ED49B0"/>
    <w:rsid w:val="00ED4B76"/>
    <w:rsid w:val="00ED512D"/>
    <w:rsid w:val="00ED51C0"/>
    <w:rsid w:val="00ED535E"/>
    <w:rsid w:val="00ED5BCA"/>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C75"/>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6FC"/>
    <w:rsid w:val="00EF6CAC"/>
    <w:rsid w:val="00EF7002"/>
    <w:rsid w:val="00EF712D"/>
    <w:rsid w:val="00EF769B"/>
    <w:rsid w:val="00F02651"/>
    <w:rsid w:val="00F027BA"/>
    <w:rsid w:val="00F03505"/>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3FAE"/>
    <w:rsid w:val="00F245A3"/>
    <w:rsid w:val="00F2468D"/>
    <w:rsid w:val="00F24788"/>
    <w:rsid w:val="00F24D46"/>
    <w:rsid w:val="00F24DA7"/>
    <w:rsid w:val="00F256A1"/>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03DB"/>
    <w:rsid w:val="00F50B2C"/>
    <w:rsid w:val="00F50EE3"/>
    <w:rsid w:val="00F512B2"/>
    <w:rsid w:val="00F5283D"/>
    <w:rsid w:val="00F52ABA"/>
    <w:rsid w:val="00F52BC7"/>
    <w:rsid w:val="00F53BF4"/>
    <w:rsid w:val="00F54266"/>
    <w:rsid w:val="00F55043"/>
    <w:rsid w:val="00F561DD"/>
    <w:rsid w:val="00F5626D"/>
    <w:rsid w:val="00F56681"/>
    <w:rsid w:val="00F56B69"/>
    <w:rsid w:val="00F56DCF"/>
    <w:rsid w:val="00F57034"/>
    <w:rsid w:val="00F57175"/>
    <w:rsid w:val="00F57B1F"/>
    <w:rsid w:val="00F60031"/>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5E81"/>
    <w:rsid w:val="00F6611E"/>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DC2"/>
    <w:rsid w:val="00F71E53"/>
    <w:rsid w:val="00F7222B"/>
    <w:rsid w:val="00F72584"/>
    <w:rsid w:val="00F7260C"/>
    <w:rsid w:val="00F7264F"/>
    <w:rsid w:val="00F7290D"/>
    <w:rsid w:val="00F7302F"/>
    <w:rsid w:val="00F732EC"/>
    <w:rsid w:val="00F73D08"/>
    <w:rsid w:val="00F74727"/>
    <w:rsid w:val="00F74794"/>
    <w:rsid w:val="00F748BB"/>
    <w:rsid w:val="00F749CD"/>
    <w:rsid w:val="00F7586B"/>
    <w:rsid w:val="00F75D45"/>
    <w:rsid w:val="00F75F2F"/>
    <w:rsid w:val="00F762AA"/>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50B5"/>
    <w:rsid w:val="00F950FE"/>
    <w:rsid w:val="00F9513F"/>
    <w:rsid w:val="00F951B3"/>
    <w:rsid w:val="00F956A6"/>
    <w:rsid w:val="00F95CDA"/>
    <w:rsid w:val="00F960D6"/>
    <w:rsid w:val="00F9632B"/>
    <w:rsid w:val="00F96440"/>
    <w:rsid w:val="00F96727"/>
    <w:rsid w:val="00F96CDF"/>
    <w:rsid w:val="00F96F76"/>
    <w:rsid w:val="00F96F7D"/>
    <w:rsid w:val="00F97120"/>
    <w:rsid w:val="00F97908"/>
    <w:rsid w:val="00F97B43"/>
    <w:rsid w:val="00FA04D0"/>
    <w:rsid w:val="00FA07F8"/>
    <w:rsid w:val="00FA105C"/>
    <w:rsid w:val="00FA1475"/>
    <w:rsid w:val="00FA148A"/>
    <w:rsid w:val="00FA17C1"/>
    <w:rsid w:val="00FA21D4"/>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77C"/>
    <w:rsid w:val="00FB0AC3"/>
    <w:rsid w:val="00FB1283"/>
    <w:rsid w:val="00FB14FC"/>
    <w:rsid w:val="00FB1527"/>
    <w:rsid w:val="00FB1E67"/>
    <w:rsid w:val="00FB2537"/>
    <w:rsid w:val="00FB31BD"/>
    <w:rsid w:val="00FB338E"/>
    <w:rsid w:val="00FB33DC"/>
    <w:rsid w:val="00FB4338"/>
    <w:rsid w:val="00FB46D2"/>
    <w:rsid w:val="00FB477E"/>
    <w:rsid w:val="00FB494F"/>
    <w:rsid w:val="00FB4C2A"/>
    <w:rsid w:val="00FB4C9C"/>
    <w:rsid w:val="00FB5148"/>
    <w:rsid w:val="00FB5409"/>
    <w:rsid w:val="00FB570B"/>
    <w:rsid w:val="00FB6165"/>
    <w:rsid w:val="00FB6D70"/>
    <w:rsid w:val="00FB739C"/>
    <w:rsid w:val="00FB78E7"/>
    <w:rsid w:val="00FB7F60"/>
    <w:rsid w:val="00FC0150"/>
    <w:rsid w:val="00FC03AB"/>
    <w:rsid w:val="00FC04A8"/>
    <w:rsid w:val="00FC1563"/>
    <w:rsid w:val="00FC195A"/>
    <w:rsid w:val="00FC223F"/>
    <w:rsid w:val="00FC272A"/>
    <w:rsid w:val="00FC2E01"/>
    <w:rsid w:val="00FC3913"/>
    <w:rsid w:val="00FC4668"/>
    <w:rsid w:val="00FC4729"/>
    <w:rsid w:val="00FC4A8C"/>
    <w:rsid w:val="00FC4B5F"/>
    <w:rsid w:val="00FC4C66"/>
    <w:rsid w:val="00FC53DB"/>
    <w:rsid w:val="00FC56F8"/>
    <w:rsid w:val="00FC5E40"/>
    <w:rsid w:val="00FC5ED5"/>
    <w:rsid w:val="00FC5FC2"/>
    <w:rsid w:val="00FC6177"/>
    <w:rsid w:val="00FC6223"/>
    <w:rsid w:val="00FC6288"/>
    <w:rsid w:val="00FC63D1"/>
    <w:rsid w:val="00FC7528"/>
    <w:rsid w:val="00FC7FFB"/>
    <w:rsid w:val="00FD0572"/>
    <w:rsid w:val="00FD1A97"/>
    <w:rsid w:val="00FD2D7B"/>
    <w:rsid w:val="00FD3027"/>
    <w:rsid w:val="00FD342E"/>
    <w:rsid w:val="00FD37F6"/>
    <w:rsid w:val="00FD3C63"/>
    <w:rsid w:val="00FD3C70"/>
    <w:rsid w:val="00FD4035"/>
    <w:rsid w:val="00FD40FA"/>
    <w:rsid w:val="00FD4589"/>
    <w:rsid w:val="00FD4608"/>
    <w:rsid w:val="00FD473E"/>
    <w:rsid w:val="00FD5928"/>
    <w:rsid w:val="00FD5EAA"/>
    <w:rsid w:val="00FD6071"/>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E04"/>
    <w:rsid w:val="00FE6FB9"/>
    <w:rsid w:val="00FE719A"/>
    <w:rsid w:val="00FE7549"/>
    <w:rsid w:val="00FE7BCC"/>
    <w:rsid w:val="00FE7CA0"/>
    <w:rsid w:val="00FF0832"/>
    <w:rsid w:val="00FF1153"/>
    <w:rsid w:val="00FF126D"/>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7E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80C69"/>
    <w:pPr>
      <w:autoSpaceDE/>
      <w:autoSpaceDN/>
      <w:adjustRightInd/>
      <w:snapToGrid/>
      <w:spacing w:line="259" w:lineRule="auto"/>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80C69"/>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EB607C"/>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4400</Words>
  <Characters>23060</Characters>
  <Application>Microsoft Office Word</Application>
  <DocSecurity>0</DocSecurity>
  <Lines>549</Lines>
  <Paragraphs>356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4</cp:revision>
  <cp:lastPrinted>2021-08-06T12:18:00Z</cp:lastPrinted>
  <dcterms:created xsi:type="dcterms:W3CDTF">2021-08-06T23:14:00Z</dcterms:created>
  <dcterms:modified xsi:type="dcterms:W3CDTF">2021-08-06T23:16:00Z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