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宋体"/>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宋体"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宋体"/>
          <w:sz w:val="21"/>
          <w:szCs w:val="21"/>
          <w:lang w:val="en-GB" w:eastAsia="en-US"/>
        </w:rPr>
      </w:pPr>
      <w:r>
        <w:rPr>
          <w:rFonts w:eastAsia="宋体" w:hint="eastAsia"/>
          <w:sz w:val="21"/>
          <w:szCs w:val="21"/>
          <w:lang w:val="en-GB"/>
        </w:rPr>
        <w:t>A</w:t>
      </w:r>
      <w:r>
        <w:rPr>
          <w:rFonts w:eastAsia="宋体"/>
          <w:sz w:val="21"/>
          <w:szCs w:val="21"/>
          <w:lang w:val="en-GB"/>
        </w:rPr>
        <w:t xml:space="preserve">s per Chair’s guidance, there are a number of email threads on Rel-17 RRC parameters. The email discussions on RRC parameters start from </w:t>
      </w:r>
      <w:r>
        <w:rPr>
          <w:rFonts w:eastAsia="宋体"/>
          <w:color w:val="FF0000"/>
          <w:sz w:val="21"/>
          <w:szCs w:val="21"/>
          <w:lang w:val="en-GB"/>
        </w:rPr>
        <w:t>September 1 until September 10</w:t>
      </w:r>
      <w:r>
        <w:rPr>
          <w:rFonts w:eastAsia="宋体"/>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宋体"/>
          <w:color w:val="FF0000"/>
          <w:sz w:val="21"/>
          <w:szCs w:val="21"/>
          <w:lang w:val="en-GB"/>
        </w:rPr>
        <w:t>Please note that RAN1 will NOT be making any decision with regards to the Rel-17 RRC parameters during the email discussions.</w:t>
      </w:r>
      <w:r>
        <w:rPr>
          <w:rFonts w:eastAsia="宋体"/>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宋体"/>
          <w:sz w:val="21"/>
          <w:szCs w:val="21"/>
          <w:lang w:val="en-GB" w:eastAsia="en-US"/>
        </w:rPr>
      </w:pPr>
      <w:r>
        <w:rPr>
          <w:rFonts w:eastAsia="宋体"/>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宋体" w:hAnsi="Arial" w:cs="Arial"/>
          <w:sz w:val="21"/>
          <w:szCs w:val="21"/>
          <w:lang w:val="en-GB"/>
        </w:rPr>
      </w:pPr>
      <w:r>
        <w:rPr>
          <w:rFonts w:ascii="Arial" w:eastAsia="宋体"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r>
              <w:rPr>
                <w:i/>
                <w:sz w:val="21"/>
                <w:szCs w:val="21"/>
              </w:rPr>
              <w:t>mappingType, startSymbolAndLength, startSymbol,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“RepetitionCountingType”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 xml:space="preserve">We share similar view as Nokia that the name of “RepetitionCountingType”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2"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r>
              <w:rPr>
                <w:i/>
                <w:iCs/>
                <w:sz w:val="21"/>
                <w:szCs w:val="21"/>
              </w:rPr>
              <w:t>stratSymobl</w:t>
            </w:r>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r>
              <w:rPr>
                <w:i/>
                <w:iCs/>
                <w:sz w:val="21"/>
                <w:szCs w:val="21"/>
              </w:rPr>
              <w:t>numberofrepetition</w:t>
            </w:r>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r>
              <w:rPr>
                <w:rFonts w:ascii="CourierNewPSMT" w:hAnsi="CourierNewPSMT"/>
                <w:color w:val="000008"/>
                <w:sz w:val="21"/>
                <w:szCs w:val="21"/>
              </w:rPr>
              <w:t xml:space="preserve">mappingType </w:t>
            </w:r>
            <w:r>
              <w:rPr>
                <w:rFonts w:ascii="CourierNewPSMT" w:hAnsi="CourierNewPSMT"/>
                <w:color w:val="993366"/>
                <w:sz w:val="21"/>
                <w:szCs w:val="21"/>
              </w:rPr>
              <w:t xml:space="preserve">ENUMERATED </w:t>
            </w:r>
            <w:r>
              <w:rPr>
                <w:rFonts w:ascii="CourierNewPSMT" w:hAnsi="CourierNewPSMT"/>
                <w:color w:val="000008"/>
                <w:sz w:val="21"/>
                <w:szCs w:val="21"/>
              </w:rPr>
              <w:t xml:space="preserve">{typeA, typeB}, </w:t>
            </w:r>
          </w:p>
          <w:p w14:paraId="05897278" w14:textId="77777777" w:rsidR="00857AA8" w:rsidRDefault="002222BD">
            <w:pPr>
              <w:rPr>
                <w:sz w:val="21"/>
                <w:szCs w:val="21"/>
              </w:rPr>
            </w:pPr>
            <w:r>
              <w:rPr>
                <w:rFonts w:ascii="CourierNewPSMT" w:hAnsi="CourierNewPSMT"/>
                <w:color w:val="000008"/>
                <w:sz w:val="21"/>
                <w:szCs w:val="21"/>
              </w:rPr>
              <w:lastRenderedPageBreak/>
              <w:t xml:space="preserve">startSymbolAndLength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Suggest to capture the following agreement into column#J as “the product of numberOfRepetitionsTBoMS and numberOfSlotsTBoMS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宋体"/>
                <w:bCs/>
                <w:sz w:val="21"/>
                <w:szCs w:val="21"/>
              </w:rPr>
            </w:pPr>
            <w:r>
              <w:rPr>
                <w:rFonts w:eastAsia="宋体"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“numberOfRepetitions”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We share the similar view as Qualcomm, it needs to clarify first whether only one Rel.17 TDRA list is defined, or separate TDRA lists are defined for Rel.17 repetition and TboMS.</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Row#11,:</w:t>
            </w:r>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PUSCH-TimeDomainWindowLength</w:t>
            </w:r>
          </w:p>
          <w:p w14:paraId="40FEECA1" w14:textId="77777777" w:rsidR="00857AA8" w:rsidRDefault="002222BD">
            <w:pPr>
              <w:rPr>
                <w:bCs/>
                <w:sz w:val="21"/>
                <w:szCs w:val="21"/>
                <w:lang w:val="en-GB"/>
              </w:rPr>
            </w:pPr>
            <w:r>
              <w:rPr>
                <w:bCs/>
                <w:sz w:val="21"/>
                <w:szCs w:val="21"/>
                <w:lang w:val="en-GB"/>
              </w:rPr>
              <w:t>ENUMERATED {enabled, disable }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(e.g.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PUSCH-WindowLength-r17, and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r>
              <w:rPr>
                <w:bCs/>
                <w:sz w:val="21"/>
                <w:szCs w:val="21"/>
                <w:lang w:val="en-GB"/>
              </w:rPr>
              <w:t>Similar to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 xml:space="preserve">Parent IE can be PUCCH-ResourceSet where a list of repetition number per resource id is configured, i.e. each entry corresponds to the entry in </w:t>
            </w:r>
            <w:r>
              <w:rPr>
                <w:bCs/>
                <w:i/>
                <w:sz w:val="21"/>
                <w:szCs w:val="21"/>
                <w:lang w:val="en-GB"/>
              </w:rPr>
              <w:t>resourceList</w:t>
            </w:r>
            <w:r>
              <w:rPr>
                <w:bCs/>
                <w:sz w:val="21"/>
                <w:szCs w:val="21"/>
                <w:lang w:val="en-GB"/>
              </w:rPr>
              <w:t xml:space="preserve"> of </w:t>
            </w:r>
            <w:r>
              <w:rPr>
                <w:bCs/>
                <w:i/>
                <w:sz w:val="21"/>
                <w:szCs w:val="21"/>
                <w:lang w:val="en-GB"/>
              </w:rPr>
              <w:t>PUCCH-ResourceSet</w:t>
            </w:r>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Similar to ‘PUSCH-TimeDomainWindow-r17’, suggest to rename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宋体"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r>
        <w:rPr>
          <w:b/>
          <w:bCs/>
          <w:i/>
          <w:sz w:val="21"/>
          <w:szCs w:val="21"/>
          <w:lang w:val="en-GB"/>
        </w:rPr>
        <w:t>AvailableSlotCounting</w:t>
      </w:r>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PUSCH-TimeDomainWindowLength</w:t>
      </w:r>
      <w:r>
        <w:rPr>
          <w:b/>
          <w:bCs/>
          <w:sz w:val="21"/>
          <w:szCs w:val="21"/>
          <w:lang w:val="en-GB"/>
        </w:rPr>
        <w:t xml:space="preserve"> and </w:t>
      </w:r>
      <w:r>
        <w:rPr>
          <w:b/>
          <w:bCs/>
          <w:i/>
          <w:sz w:val="21"/>
          <w:szCs w:val="21"/>
          <w:lang w:val="en-GB"/>
        </w:rPr>
        <w:t>PUCCH-TimeDomainWindowLength</w:t>
      </w:r>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r>
              <w:rPr>
                <w:i/>
              </w:rPr>
              <w:t xml:space="preserve">mappingType </w:t>
            </w:r>
            <w:r>
              <w:t>to be restricted to TypeA</w:t>
            </w:r>
          </w:p>
          <w:p w14:paraId="2D3A7A95" w14:textId="77777777" w:rsidR="00857AA8" w:rsidRDefault="002222BD">
            <w:r>
              <w:rPr>
                <w:i/>
              </w:rPr>
              <w:t>startSymbolAndLength, startSymbol,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宋体"/>
                <w:bCs/>
              </w:rPr>
            </w:pPr>
            <w:r>
              <w:rPr>
                <w:rFonts w:eastAsia="宋体" w:hint="eastAsia"/>
                <w:bCs/>
              </w:rPr>
              <w:t>ZTE</w:t>
            </w:r>
          </w:p>
        </w:tc>
        <w:tc>
          <w:tcPr>
            <w:tcW w:w="8114" w:type="dxa"/>
            <w:shd w:val="clear" w:color="auto" w:fill="auto"/>
            <w:vAlign w:val="center"/>
          </w:tcPr>
          <w:p w14:paraId="09457F34" w14:textId="77777777" w:rsidR="00857AA8" w:rsidRDefault="002222BD">
            <w:pPr>
              <w:rPr>
                <w:rFonts w:eastAsia="宋体"/>
                <w:bCs/>
              </w:rPr>
            </w:pPr>
            <w:r>
              <w:rPr>
                <w:rFonts w:eastAsia="宋体" w:hint="eastAsia"/>
                <w:bCs/>
              </w:rPr>
              <w:t xml:space="preserve">We have similar understanding with Sharp. </w:t>
            </w:r>
          </w:p>
        </w:tc>
      </w:tr>
      <w:tr w:rsidR="00A16983" w14:paraId="2C860C34" w14:textId="77777777">
        <w:trPr>
          <w:trHeight w:val="409"/>
          <w:jc w:val="center"/>
        </w:trPr>
        <w:tc>
          <w:tcPr>
            <w:tcW w:w="1363" w:type="dxa"/>
            <w:shd w:val="clear" w:color="auto" w:fill="auto"/>
            <w:vAlign w:val="center"/>
          </w:tcPr>
          <w:p w14:paraId="699B2B65" w14:textId="45556D5E" w:rsidR="00A16983" w:rsidRDefault="00A16983">
            <w:pPr>
              <w:jc w:val="center"/>
              <w:rPr>
                <w:rFonts w:eastAsia="宋体"/>
                <w:bCs/>
              </w:rPr>
            </w:pPr>
            <w:r>
              <w:rPr>
                <w:rFonts w:eastAsia="宋体"/>
                <w:bCs/>
              </w:rPr>
              <w:t>Intel</w:t>
            </w:r>
          </w:p>
        </w:tc>
        <w:tc>
          <w:tcPr>
            <w:tcW w:w="8114" w:type="dxa"/>
            <w:shd w:val="clear" w:color="auto" w:fill="auto"/>
            <w:vAlign w:val="center"/>
          </w:tcPr>
          <w:p w14:paraId="00DCAA83" w14:textId="39C63E98" w:rsidR="00A16983" w:rsidRDefault="00A16983">
            <w:pPr>
              <w:rPr>
                <w:rFonts w:eastAsia="宋体"/>
                <w:bCs/>
              </w:rPr>
            </w:pPr>
            <w:r>
              <w:rPr>
                <w:rFonts w:eastAsia="宋体"/>
                <w:bCs/>
              </w:rPr>
              <w:t xml:space="preserve">In our view, it may not be good to reuse the </w:t>
            </w:r>
            <w:r w:rsidRPr="00A16983">
              <w:rPr>
                <w:rFonts w:eastAsia="宋体"/>
                <w:bCs/>
              </w:rPr>
              <w:t>PUSCH-Allocation-r16</w:t>
            </w:r>
            <w:r>
              <w:rPr>
                <w:rFonts w:eastAsia="宋体"/>
                <w:bCs/>
              </w:rPr>
              <w:t xml:space="preserve">. The IE structure </w:t>
            </w:r>
            <w:r w:rsidR="00BC1086">
              <w:rPr>
                <w:rFonts w:eastAsia="宋体"/>
                <w:bCs/>
              </w:rPr>
              <w:t xml:space="preserve">in Rel-17 </w:t>
            </w:r>
            <w:r>
              <w:rPr>
                <w:rFonts w:eastAsia="宋体"/>
                <w:bCs/>
              </w:rPr>
              <w:t xml:space="preserve">may be different compared to the one introduced in NR-U. </w:t>
            </w:r>
          </w:p>
        </w:tc>
      </w:tr>
      <w:tr w:rsidR="00FF6A91" w14:paraId="52E0C1BB" w14:textId="77777777">
        <w:trPr>
          <w:trHeight w:val="409"/>
          <w:jc w:val="center"/>
        </w:trPr>
        <w:tc>
          <w:tcPr>
            <w:tcW w:w="1363" w:type="dxa"/>
            <w:shd w:val="clear" w:color="auto" w:fill="auto"/>
            <w:vAlign w:val="center"/>
          </w:tcPr>
          <w:p w14:paraId="46205F49" w14:textId="1AD7EC2A" w:rsidR="00FF6A91" w:rsidRDefault="00FF6A91" w:rsidP="00FF6A91">
            <w:pPr>
              <w:jc w:val="center"/>
              <w:rPr>
                <w:rFonts w:eastAsia="宋体"/>
                <w:bCs/>
              </w:rPr>
            </w:pPr>
            <w:r>
              <w:rPr>
                <w:rFonts w:eastAsia="宋体"/>
                <w:bCs/>
              </w:rPr>
              <w:t>Apple</w:t>
            </w:r>
          </w:p>
        </w:tc>
        <w:tc>
          <w:tcPr>
            <w:tcW w:w="8114" w:type="dxa"/>
            <w:shd w:val="clear" w:color="auto" w:fill="auto"/>
            <w:vAlign w:val="center"/>
          </w:tcPr>
          <w:p w14:paraId="62F457FF" w14:textId="688BD51B" w:rsidR="00FF6A91" w:rsidRDefault="00FF6A91" w:rsidP="00FF6A91">
            <w:pPr>
              <w:rPr>
                <w:rFonts w:eastAsia="宋体"/>
                <w:bCs/>
              </w:rPr>
            </w:pPr>
            <w:r>
              <w:rPr>
                <w:rFonts w:eastAsia="宋体"/>
                <w:bCs/>
              </w:rPr>
              <w:t>We share the same views as Sharp and ZTE.</w:t>
            </w:r>
          </w:p>
        </w:tc>
      </w:tr>
      <w:tr w:rsidR="0044450E" w14:paraId="3F499CFE" w14:textId="77777777" w:rsidTr="00B14E09">
        <w:trPr>
          <w:trHeight w:val="409"/>
          <w:jc w:val="center"/>
        </w:trPr>
        <w:tc>
          <w:tcPr>
            <w:tcW w:w="1363" w:type="dxa"/>
            <w:shd w:val="clear" w:color="auto" w:fill="auto"/>
            <w:vAlign w:val="center"/>
          </w:tcPr>
          <w:p w14:paraId="572688D1" w14:textId="77777777" w:rsidR="0044450E" w:rsidRDefault="0044450E" w:rsidP="00B14E09">
            <w:pPr>
              <w:jc w:val="center"/>
              <w:rPr>
                <w:rFonts w:eastAsia="宋体"/>
                <w:bCs/>
              </w:rPr>
            </w:pPr>
            <w:r>
              <w:rPr>
                <w:rFonts w:eastAsia="宋体"/>
                <w:bCs/>
              </w:rPr>
              <w:lastRenderedPageBreak/>
              <w:t>Huawei, HiSilicon</w:t>
            </w:r>
          </w:p>
        </w:tc>
        <w:tc>
          <w:tcPr>
            <w:tcW w:w="8114" w:type="dxa"/>
            <w:shd w:val="clear" w:color="auto" w:fill="auto"/>
            <w:vAlign w:val="center"/>
          </w:tcPr>
          <w:p w14:paraId="7C5B9F27" w14:textId="77777777" w:rsidR="0044450E" w:rsidRDefault="0044450E" w:rsidP="00B14E09">
            <w:pPr>
              <w:rPr>
                <w:rFonts w:eastAsia="宋体"/>
                <w:bCs/>
              </w:rPr>
            </w:pPr>
            <w:r>
              <w:rPr>
                <w:rFonts w:eastAsia="宋体"/>
                <w:bCs/>
              </w:rPr>
              <w:t>//Comment#1</w:t>
            </w:r>
          </w:p>
          <w:p w14:paraId="61F58437" w14:textId="77777777" w:rsidR="0044450E" w:rsidRDefault="0044450E" w:rsidP="00B14E09">
            <w:pPr>
              <w:rPr>
                <w:rFonts w:eastAsia="宋体"/>
                <w:bCs/>
              </w:rPr>
            </w:pPr>
            <w:r>
              <w:rPr>
                <w:rFonts w:eastAsia="宋体"/>
                <w:bCs/>
              </w:rPr>
              <w:t>row#7:</w:t>
            </w:r>
          </w:p>
          <w:p w14:paraId="22DE254C" w14:textId="77777777" w:rsidR="0044450E" w:rsidRDefault="0044450E" w:rsidP="00B14E09">
            <w:pPr>
              <w:rPr>
                <w:rFonts w:eastAsia="宋体"/>
                <w:bCs/>
              </w:rPr>
            </w:pPr>
            <w:r>
              <w:rPr>
                <w:rFonts w:eastAsia="宋体"/>
                <w:bCs/>
              </w:rPr>
              <w:t>Since row#8 is removed, the “PUSCH-Allocation-r17” in value range of row#7 should be removed and updated. The suggested change from Sharp seems fine at this stage.</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r>
              <w:rPr>
                <w:bCs/>
                <w:i/>
                <w:lang w:val="en-GB"/>
              </w:rPr>
              <w:t>numberOfRepetitions</w:t>
            </w:r>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r w:rsidR="004276B8" w14:paraId="1FF3C3A1" w14:textId="77777777">
        <w:trPr>
          <w:trHeight w:val="409"/>
          <w:jc w:val="center"/>
        </w:trPr>
        <w:tc>
          <w:tcPr>
            <w:tcW w:w="1363" w:type="dxa"/>
            <w:shd w:val="clear" w:color="auto" w:fill="auto"/>
            <w:vAlign w:val="center"/>
          </w:tcPr>
          <w:p w14:paraId="3438ACCE" w14:textId="65442435" w:rsidR="004276B8" w:rsidRDefault="004276B8">
            <w:pPr>
              <w:jc w:val="center"/>
            </w:pPr>
            <w:r>
              <w:t>Intel</w:t>
            </w:r>
          </w:p>
        </w:tc>
        <w:tc>
          <w:tcPr>
            <w:tcW w:w="8114" w:type="dxa"/>
            <w:shd w:val="clear" w:color="auto" w:fill="auto"/>
            <w:vAlign w:val="center"/>
          </w:tcPr>
          <w:p w14:paraId="7D4A217D" w14:textId="07895C2F" w:rsidR="004276B8" w:rsidRDefault="00EB7692">
            <w:r>
              <w:t>Based on current agreements, w</w:t>
            </w:r>
            <w:r w:rsidR="004276B8">
              <w:t xml:space="preserve">e are open to introduce both number of slots for single TBoMS transmission and number of repetitions for TBoMS. We can further discuss this in the upcoming meetings. </w:t>
            </w:r>
          </w:p>
        </w:tc>
      </w:tr>
      <w:tr w:rsidR="00FF6A91" w14:paraId="783DE41E" w14:textId="77777777">
        <w:trPr>
          <w:trHeight w:val="409"/>
          <w:jc w:val="center"/>
        </w:trPr>
        <w:tc>
          <w:tcPr>
            <w:tcW w:w="1363" w:type="dxa"/>
            <w:shd w:val="clear" w:color="auto" w:fill="auto"/>
            <w:vAlign w:val="center"/>
          </w:tcPr>
          <w:p w14:paraId="4CAD08A5" w14:textId="4CC42DBC" w:rsidR="00FF6A91" w:rsidRDefault="00FF6A91" w:rsidP="00FF6A91">
            <w:pPr>
              <w:jc w:val="center"/>
            </w:pPr>
            <w:r>
              <w:lastRenderedPageBreak/>
              <w:t>Apple</w:t>
            </w:r>
          </w:p>
        </w:tc>
        <w:tc>
          <w:tcPr>
            <w:tcW w:w="8114" w:type="dxa"/>
            <w:shd w:val="clear" w:color="auto" w:fill="auto"/>
            <w:vAlign w:val="center"/>
          </w:tcPr>
          <w:p w14:paraId="25318812" w14:textId="1D1B5A6B" w:rsidR="00FF6A91" w:rsidRDefault="00FF6A91" w:rsidP="00FF6A91">
            <w:r>
              <w:t xml:space="preserve">Only one Rel.17 TDRA list could make the specification clearer. The repetition parameters and TBoMS parameters can be configured independently. Considering current agreement, the IE </w:t>
            </w:r>
            <w:r w:rsidRPr="00AF5128">
              <w:rPr>
                <w:rFonts w:hint="eastAsia"/>
                <w:i/>
                <w:iCs/>
              </w:rPr>
              <w:t>numberOfSlotsTBoMS-r17</w:t>
            </w:r>
            <w:r>
              <w:t xml:space="preserve"> and </w:t>
            </w:r>
            <w:r w:rsidRPr="00AF5128">
              <w:rPr>
                <w:i/>
                <w:iCs/>
              </w:rPr>
              <w:t>numberOfRepetitionsTBoMS-r17</w:t>
            </w:r>
            <w:r>
              <w:t xml:space="preserve"> are needed. Currently introducing one or two separate TDRA list for repetition and TBoMS is not clear, so   </w:t>
            </w:r>
            <w:r w:rsidRPr="00AF5128">
              <w:rPr>
                <w:i/>
                <w:iCs/>
              </w:rPr>
              <w:t>numberOfRepetitionsTBoMS-r17</w:t>
            </w:r>
            <w:r>
              <w:t xml:space="preserve"> can be in bracket.</w:t>
            </w:r>
          </w:p>
        </w:tc>
      </w:tr>
      <w:tr w:rsidR="0044450E" w14:paraId="4BB0FE02" w14:textId="77777777" w:rsidTr="00B14E09">
        <w:trPr>
          <w:trHeight w:val="409"/>
          <w:jc w:val="center"/>
        </w:trPr>
        <w:tc>
          <w:tcPr>
            <w:tcW w:w="1363" w:type="dxa"/>
            <w:shd w:val="clear" w:color="auto" w:fill="auto"/>
            <w:vAlign w:val="center"/>
          </w:tcPr>
          <w:p w14:paraId="6C29A457" w14:textId="77777777" w:rsidR="0044450E" w:rsidRDefault="0044450E" w:rsidP="00B14E09">
            <w:pPr>
              <w:jc w:val="center"/>
            </w:pPr>
            <w:r>
              <w:t>Huawei, HiSilicon</w:t>
            </w:r>
          </w:p>
        </w:tc>
        <w:tc>
          <w:tcPr>
            <w:tcW w:w="8114" w:type="dxa"/>
            <w:shd w:val="clear" w:color="auto" w:fill="auto"/>
            <w:vAlign w:val="center"/>
          </w:tcPr>
          <w:p w14:paraId="14927C51" w14:textId="77777777" w:rsidR="0044450E" w:rsidRDefault="0044450E" w:rsidP="00B14E09">
            <w:r>
              <w:t>//Comment#1</w:t>
            </w:r>
          </w:p>
          <w:p w14:paraId="52B7F9AE" w14:textId="77777777" w:rsidR="0044450E" w:rsidRDefault="0044450E" w:rsidP="00B14E09">
            <w:r>
              <w:t>row#10:</w:t>
            </w:r>
          </w:p>
          <w:p w14:paraId="76F26246" w14:textId="481DCE05" w:rsidR="0044450E" w:rsidRDefault="0044450E" w:rsidP="00B14E09">
            <w:r>
              <w:t>the same TDRA table/list is preferred. It is unclear why separate tabl</w:t>
            </w:r>
            <w:r w:rsidR="00DA309E">
              <w:t>e</w:t>
            </w:r>
            <w:r>
              <w:t>/list is pursued.</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(i.e. </w:t>
            </w:r>
            <w:r>
              <w:rPr>
                <w:rFonts w:eastAsiaTheme="minorEastAsia"/>
                <w:bCs/>
                <w:i/>
                <w:sz w:val="21"/>
                <w:lang w:val="en-GB"/>
              </w:rPr>
              <w:t>PUSCH-TimeDomainWindowLength</w:t>
            </w:r>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example, one value of the </w:t>
            </w:r>
            <w:r>
              <w:rPr>
                <w:rFonts w:eastAsiaTheme="minorEastAsia"/>
                <w:bCs/>
                <w:i/>
                <w:sz w:val="21"/>
                <w:lang w:val="en-GB"/>
              </w:rPr>
              <w:t>PUSCH-TimeDomainWindowLength</w:t>
            </w:r>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宋体"/>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PUSCH-TimeDomainWindowLength</w:t>
            </w:r>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CH-TimeDomainWindowLength</w:t>
            </w:r>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r>
              <w:rPr>
                <w:rFonts w:eastAsiaTheme="minorEastAsia"/>
                <w:bCs/>
                <w:i/>
                <w:sz w:val="21"/>
                <w:lang w:val="en-GB"/>
              </w:rPr>
              <w:t>TimeDomainWindowLength</w:t>
            </w:r>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BWP-UplinkDedicated</w:t>
            </w:r>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lastRenderedPageBreak/>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lastRenderedPageBreak/>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宋体"/>
                <w:bCs/>
              </w:rPr>
            </w:pPr>
            <w:r>
              <w:rPr>
                <w:rFonts w:eastAsia="宋体" w:hint="eastAsia"/>
                <w:bCs/>
              </w:rPr>
              <w:t>ZTE</w:t>
            </w:r>
          </w:p>
        </w:tc>
        <w:tc>
          <w:tcPr>
            <w:tcW w:w="8114" w:type="dxa"/>
            <w:shd w:val="clear" w:color="auto" w:fill="auto"/>
            <w:vAlign w:val="center"/>
          </w:tcPr>
          <w:p w14:paraId="4A13E781" w14:textId="77777777" w:rsidR="00857AA8" w:rsidRDefault="002222BD">
            <w:pPr>
              <w:rPr>
                <w:rFonts w:eastAsia="宋体"/>
                <w:bCs/>
              </w:rPr>
            </w:pPr>
            <w:r>
              <w:rPr>
                <w:rFonts w:eastAsia="宋体" w:hint="eastAsia"/>
                <w:bCs/>
              </w:rPr>
              <w:t xml:space="preserve">No need to introduce </w:t>
            </w:r>
            <w:r>
              <w:rPr>
                <w:rFonts w:hint="eastAsia"/>
                <w:bCs/>
                <w:lang w:val="en-GB"/>
              </w:rPr>
              <w:t>PUSCH-DMRS-Bundling</w:t>
            </w:r>
            <w:r>
              <w:rPr>
                <w:rFonts w:eastAsia="宋体" w:hint="eastAsia"/>
                <w:bCs/>
              </w:rPr>
              <w:t xml:space="preserve">. We are ok to reflect DMRS bundling in the name of PUSCH-TimeDomainWindowLength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宋体"/>
                <w:bCs/>
              </w:rPr>
            </w:pPr>
            <w:r w:rsidRPr="00A9114F">
              <w:rPr>
                <w:rFonts w:eastAsia="宋体"/>
                <w:bCs/>
              </w:rPr>
              <w:t>InterDigital</w:t>
            </w:r>
          </w:p>
        </w:tc>
        <w:tc>
          <w:tcPr>
            <w:tcW w:w="8114" w:type="dxa"/>
            <w:shd w:val="clear" w:color="auto" w:fill="auto"/>
            <w:vAlign w:val="center"/>
          </w:tcPr>
          <w:p w14:paraId="1F58A4CA" w14:textId="746D2253" w:rsidR="00A9114F" w:rsidRDefault="0089049F" w:rsidP="00A9114F">
            <w:pPr>
              <w:rPr>
                <w:rFonts w:eastAsia="宋体"/>
                <w:bCs/>
              </w:rPr>
            </w:pPr>
            <w:r>
              <w:rPr>
                <w:bCs/>
              </w:rPr>
              <w:t>W</w:t>
            </w:r>
            <w:r w:rsidR="00A9114F">
              <w:rPr>
                <w:bCs/>
                <w:lang w:val="en-GB"/>
              </w:rPr>
              <w:t>e are also supportive of the proposal from CATT about using one IE (e.g.,</w:t>
            </w:r>
            <w:r w:rsidR="00A9114F" w:rsidRPr="00622893">
              <w:rPr>
                <w:rFonts w:eastAsiaTheme="minorEastAsia"/>
                <w:bCs/>
                <w:i/>
                <w:sz w:val="21"/>
                <w:lang w:val="en-GB"/>
              </w:rPr>
              <w:t xml:space="preserve"> PUSCH-TimeDomainWindowLength</w:t>
            </w:r>
            <w:r w:rsidR="00A9114F">
              <w:rPr>
                <w:bCs/>
                <w:lang w:val="en-GB"/>
              </w:rPr>
              <w:t>) to indicate whether DMRS bundling is enabled or not.</w:t>
            </w:r>
          </w:p>
        </w:tc>
      </w:tr>
      <w:tr w:rsidR="004276B8" w14:paraId="0DB5AFFF" w14:textId="77777777">
        <w:trPr>
          <w:trHeight w:val="409"/>
          <w:jc w:val="center"/>
        </w:trPr>
        <w:tc>
          <w:tcPr>
            <w:tcW w:w="1363" w:type="dxa"/>
            <w:shd w:val="clear" w:color="auto" w:fill="auto"/>
            <w:vAlign w:val="center"/>
          </w:tcPr>
          <w:p w14:paraId="65F15AC1" w14:textId="6F0E3D5A" w:rsidR="004276B8" w:rsidRPr="00A9114F" w:rsidRDefault="004276B8" w:rsidP="00A9114F">
            <w:pPr>
              <w:jc w:val="center"/>
              <w:rPr>
                <w:rFonts w:eastAsia="宋体"/>
                <w:bCs/>
              </w:rPr>
            </w:pPr>
            <w:r>
              <w:rPr>
                <w:rFonts w:eastAsia="宋体"/>
                <w:bCs/>
              </w:rPr>
              <w:t>Intel</w:t>
            </w:r>
          </w:p>
        </w:tc>
        <w:tc>
          <w:tcPr>
            <w:tcW w:w="8114" w:type="dxa"/>
            <w:shd w:val="clear" w:color="auto" w:fill="auto"/>
            <w:vAlign w:val="center"/>
          </w:tcPr>
          <w:p w14:paraId="60BE49FC" w14:textId="77777777" w:rsidR="004276B8" w:rsidRDefault="004276B8" w:rsidP="00A9114F">
            <w:pPr>
              <w:rPr>
                <w:bCs/>
              </w:rPr>
            </w:pPr>
            <w:r>
              <w:rPr>
                <w:bCs/>
              </w:rPr>
              <w:t xml:space="preserve">We are fine to use one parameter to indicate both enabling/disabling and TDW duration. If this parameter is not configured, this indicates that TDW for DMRS bundling is disabled. </w:t>
            </w:r>
          </w:p>
          <w:p w14:paraId="77337FAB" w14:textId="0CC8BA81" w:rsidR="004276B8" w:rsidRDefault="004276B8" w:rsidP="00A9114F">
            <w:pPr>
              <w:rPr>
                <w:bCs/>
              </w:rPr>
            </w:pPr>
            <w:r>
              <w:rPr>
                <w:bCs/>
              </w:rPr>
              <w:t>We are fine to keep separate parameters for PUSCH and PUCCH.</w:t>
            </w:r>
          </w:p>
        </w:tc>
      </w:tr>
      <w:tr w:rsidR="00FF6A91" w14:paraId="2533252D" w14:textId="77777777">
        <w:trPr>
          <w:trHeight w:val="409"/>
          <w:jc w:val="center"/>
        </w:trPr>
        <w:tc>
          <w:tcPr>
            <w:tcW w:w="1363" w:type="dxa"/>
            <w:shd w:val="clear" w:color="auto" w:fill="auto"/>
            <w:vAlign w:val="center"/>
          </w:tcPr>
          <w:p w14:paraId="081AB283" w14:textId="5F67E982" w:rsidR="00FF6A91" w:rsidRDefault="00FF6A91" w:rsidP="00FF6A91">
            <w:pPr>
              <w:jc w:val="center"/>
              <w:rPr>
                <w:rFonts w:eastAsia="宋体"/>
                <w:bCs/>
              </w:rPr>
            </w:pPr>
            <w:r>
              <w:rPr>
                <w:rFonts w:eastAsia="宋体"/>
                <w:bCs/>
              </w:rPr>
              <w:t>Apple</w:t>
            </w:r>
          </w:p>
        </w:tc>
        <w:tc>
          <w:tcPr>
            <w:tcW w:w="8114" w:type="dxa"/>
            <w:shd w:val="clear" w:color="auto" w:fill="auto"/>
            <w:vAlign w:val="center"/>
          </w:tcPr>
          <w:p w14:paraId="033F0F1B" w14:textId="30760DEC" w:rsidR="00FF6A91" w:rsidRDefault="00FF6A91" w:rsidP="00FF6A91">
            <w:pPr>
              <w:rPr>
                <w:bCs/>
              </w:rPr>
            </w:pPr>
            <w:r>
              <w:rPr>
                <w:rFonts w:eastAsia="宋体"/>
                <w:bCs/>
              </w:rPr>
              <w:t xml:space="preserve">We also think the IE </w:t>
            </w:r>
            <w:r w:rsidRPr="00041409">
              <w:rPr>
                <w:rFonts w:hint="eastAsia"/>
                <w:bCs/>
                <w:i/>
                <w:iCs/>
                <w:lang w:val="en-GB"/>
              </w:rPr>
              <w:t>PUSCH-DMRS-Bundling</w:t>
            </w:r>
            <w:r>
              <w:rPr>
                <w:rFonts w:eastAsia="宋体"/>
                <w:bCs/>
              </w:rPr>
              <w:t xml:space="preserve"> is not needed. </w:t>
            </w:r>
            <w:r w:rsidRPr="00041409">
              <w:rPr>
                <w:rFonts w:eastAsia="宋体" w:hint="eastAsia"/>
                <w:bCs/>
                <w:i/>
                <w:iCs/>
              </w:rPr>
              <w:t>PUSCH-TimeDomainWindowLength</w:t>
            </w:r>
            <w:r>
              <w:rPr>
                <w:rFonts w:eastAsia="宋体"/>
                <w:bCs/>
              </w:rPr>
              <w:t xml:space="preserve"> could indicate the DMRS bundling is enabled/disabled.</w:t>
            </w:r>
          </w:p>
        </w:tc>
      </w:tr>
      <w:tr w:rsidR="0044450E" w14:paraId="0FB654A0" w14:textId="77777777" w:rsidTr="00B14E09">
        <w:trPr>
          <w:trHeight w:val="409"/>
          <w:jc w:val="center"/>
        </w:trPr>
        <w:tc>
          <w:tcPr>
            <w:tcW w:w="1363" w:type="dxa"/>
            <w:shd w:val="clear" w:color="auto" w:fill="auto"/>
            <w:vAlign w:val="center"/>
          </w:tcPr>
          <w:p w14:paraId="66E1DE8E" w14:textId="77777777" w:rsidR="0044450E" w:rsidRDefault="0044450E" w:rsidP="00B14E09">
            <w:pPr>
              <w:jc w:val="center"/>
            </w:pPr>
            <w:r>
              <w:t>Huawei, HiSilicon</w:t>
            </w:r>
          </w:p>
        </w:tc>
        <w:tc>
          <w:tcPr>
            <w:tcW w:w="8114" w:type="dxa"/>
            <w:shd w:val="clear" w:color="auto" w:fill="auto"/>
            <w:vAlign w:val="center"/>
          </w:tcPr>
          <w:p w14:paraId="0223EB95" w14:textId="77777777" w:rsidR="0044450E" w:rsidRDefault="0044450E" w:rsidP="00B14E09">
            <w:r>
              <w:t>//Comment#1</w:t>
            </w:r>
          </w:p>
          <w:p w14:paraId="371163D5" w14:textId="77777777" w:rsidR="0044450E" w:rsidRDefault="0044450E" w:rsidP="00B14E09">
            <w:r>
              <w:t>Row#12, Row#13:</w:t>
            </w:r>
          </w:p>
          <w:p w14:paraId="312FBEC5" w14:textId="59C70264" w:rsidR="0044450E" w:rsidRDefault="0044450E" w:rsidP="00DA309E">
            <w:r>
              <w:t xml:space="preserve">The relationship between row#12 and row#13 is not clear enough. If window length is always configured to a UE with JCE, then row#12 is unnecessary and </w:t>
            </w:r>
            <w:r w:rsidR="00DA309E">
              <w:t xml:space="preserve">thus </w:t>
            </w:r>
            <w:r>
              <w:t>should be removed, otherwise, it should be clarified in the description column#J that row#13 is optional and then the redundant “time domain window” should be removed from row#12.</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Regarding to the repetition number, we agree with Sharp. Dynamic number of repetition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lastRenderedPageBreak/>
              <w:t>One question for clarification, if PUCCH-nrofSlots-r17 takes only value {2, 4, 8} (i.e., 1 is not included) how can PUCCH without repetition be indicated? Is it so that PUCCH without repetition only applies if both PUCCH-nrofSlots-r17 and nrofSlots are not configured?</w:t>
            </w:r>
          </w:p>
        </w:tc>
        <w:bookmarkStart w:id="3" w:name="_GoBack"/>
        <w:bookmarkEnd w:id="3"/>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宋体"/>
                <w:bCs/>
              </w:rPr>
            </w:pPr>
            <w:r>
              <w:rPr>
                <w:rFonts w:eastAsia="宋体" w:hint="eastAsia"/>
                <w:bCs/>
              </w:rPr>
              <w:lastRenderedPageBreak/>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宋体" w:hint="eastAsia"/>
                <w:bCs/>
              </w:rPr>
              <w:t xml:space="preserve">Agree above comments to change the </w:t>
            </w:r>
            <w:r>
              <w:rPr>
                <w:bCs/>
                <w:lang w:val="en-GB"/>
              </w:rPr>
              <w:t xml:space="preserve">parent IE </w:t>
            </w:r>
            <w:r>
              <w:rPr>
                <w:rFonts w:eastAsia="宋体"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r w:rsidR="004276B8" w14:paraId="27FAD917" w14:textId="77777777">
        <w:trPr>
          <w:trHeight w:val="409"/>
          <w:jc w:val="center"/>
        </w:trPr>
        <w:tc>
          <w:tcPr>
            <w:tcW w:w="1363" w:type="dxa"/>
            <w:shd w:val="clear" w:color="auto" w:fill="auto"/>
            <w:vAlign w:val="center"/>
          </w:tcPr>
          <w:p w14:paraId="0001DF5C" w14:textId="08951FD6" w:rsidR="004276B8" w:rsidRDefault="004276B8">
            <w:pPr>
              <w:jc w:val="center"/>
              <w:rPr>
                <w:rFonts w:eastAsia="宋体"/>
                <w:bCs/>
              </w:rPr>
            </w:pPr>
            <w:r>
              <w:rPr>
                <w:rFonts w:eastAsia="宋体"/>
                <w:bCs/>
              </w:rPr>
              <w:t>Intel</w:t>
            </w:r>
          </w:p>
        </w:tc>
        <w:tc>
          <w:tcPr>
            <w:tcW w:w="8114" w:type="dxa"/>
            <w:shd w:val="clear" w:color="auto" w:fill="auto"/>
            <w:vAlign w:val="center"/>
          </w:tcPr>
          <w:p w14:paraId="62E28AFC" w14:textId="5A7D2F95" w:rsidR="004276B8" w:rsidRDefault="004276B8">
            <w:pPr>
              <w:rPr>
                <w:rFonts w:eastAsia="宋体"/>
                <w:bCs/>
              </w:rPr>
            </w:pPr>
            <w:r>
              <w:rPr>
                <w:rFonts w:eastAsia="宋体"/>
                <w:bCs/>
              </w:rPr>
              <w:t>Agree above comments that parent IE should be PUCCH-resource</w:t>
            </w:r>
          </w:p>
        </w:tc>
      </w:tr>
      <w:tr w:rsidR="0044450E" w14:paraId="54E18EC9" w14:textId="77777777" w:rsidTr="00B14E09">
        <w:trPr>
          <w:trHeight w:val="409"/>
          <w:jc w:val="center"/>
        </w:trPr>
        <w:tc>
          <w:tcPr>
            <w:tcW w:w="1363" w:type="dxa"/>
            <w:shd w:val="clear" w:color="auto" w:fill="auto"/>
            <w:vAlign w:val="center"/>
          </w:tcPr>
          <w:p w14:paraId="6F60B470" w14:textId="77777777" w:rsidR="0044450E" w:rsidRDefault="0044450E" w:rsidP="00B14E09">
            <w:pPr>
              <w:jc w:val="center"/>
              <w:rPr>
                <w:rFonts w:eastAsia="宋体"/>
                <w:bCs/>
              </w:rPr>
            </w:pPr>
            <w:r>
              <w:rPr>
                <w:rFonts w:eastAsia="宋体"/>
                <w:bCs/>
              </w:rPr>
              <w:t>Huawei, HiSilcion</w:t>
            </w:r>
          </w:p>
        </w:tc>
        <w:tc>
          <w:tcPr>
            <w:tcW w:w="8114" w:type="dxa"/>
            <w:shd w:val="clear" w:color="auto" w:fill="auto"/>
            <w:vAlign w:val="center"/>
          </w:tcPr>
          <w:p w14:paraId="6BF714FC" w14:textId="77777777" w:rsidR="0044450E" w:rsidRDefault="0044450E" w:rsidP="00B14E09">
            <w:pPr>
              <w:rPr>
                <w:rFonts w:eastAsia="宋体"/>
                <w:bCs/>
              </w:rPr>
            </w:pPr>
            <w:r>
              <w:rPr>
                <w:rFonts w:eastAsia="宋体"/>
                <w:bCs/>
              </w:rPr>
              <w:t>//Comment#1</w:t>
            </w:r>
          </w:p>
          <w:p w14:paraId="00ED01C2" w14:textId="77777777" w:rsidR="0044450E" w:rsidRDefault="0044450E" w:rsidP="00B14E09">
            <w:pPr>
              <w:rPr>
                <w:rFonts w:eastAsia="宋体"/>
                <w:bCs/>
              </w:rPr>
            </w:pPr>
            <w:r>
              <w:rPr>
                <w:rFonts w:eastAsia="宋体"/>
                <w:bCs/>
              </w:rPr>
              <w:t>Row#14:</w:t>
            </w:r>
          </w:p>
          <w:p w14:paraId="1F692CD8" w14:textId="77777777" w:rsidR="0044450E" w:rsidRDefault="0044450E" w:rsidP="00B14E09">
            <w:pPr>
              <w:rPr>
                <w:rFonts w:eastAsia="宋体"/>
                <w:bCs/>
              </w:rPr>
            </w:pPr>
            <w:r>
              <w:rPr>
                <w:rFonts w:eastAsia="宋体"/>
                <w:bCs/>
              </w:rPr>
              <w:t>Regarding Nokia’s question, it could be an optional IE, if it is absent then it means no repetition. If this is the common understanding, it should be captured in column J for row#14</w:t>
            </w:r>
          </w:p>
          <w:p w14:paraId="20EA2B3F" w14:textId="77777777" w:rsidR="0044450E" w:rsidRDefault="0044450E" w:rsidP="00B14E09">
            <w:pPr>
              <w:rPr>
                <w:rFonts w:eastAsia="宋体"/>
                <w:bCs/>
              </w:rPr>
            </w:pPr>
            <w:r>
              <w:rPr>
                <w:rFonts w:eastAsia="宋体"/>
                <w:bCs/>
              </w:rPr>
              <w:t>//Comment#2</w:t>
            </w:r>
          </w:p>
          <w:p w14:paraId="5289C785" w14:textId="77777777" w:rsidR="0044450E" w:rsidRDefault="0044450E" w:rsidP="00B14E09">
            <w:pPr>
              <w:rPr>
                <w:rFonts w:eastAsia="宋体"/>
                <w:bCs/>
              </w:rPr>
            </w:pPr>
            <w:r>
              <w:rPr>
                <w:rFonts w:eastAsia="宋体"/>
                <w:bCs/>
              </w:rPr>
              <w:t>Row#15, 16:</w:t>
            </w:r>
          </w:p>
          <w:p w14:paraId="0AB82148" w14:textId="77777777" w:rsidR="0044450E" w:rsidRDefault="0044450E" w:rsidP="00B14E09">
            <w:pPr>
              <w:rPr>
                <w:rFonts w:eastAsia="宋体"/>
                <w:bCs/>
              </w:rPr>
            </w:pPr>
            <w:r>
              <w:rPr>
                <w:rFonts w:eastAsia="宋体"/>
                <w:bCs/>
              </w:rPr>
              <w:t>Similar comment as our comment#1 to PUSCH JCE, the relationship between row#15 and row#16 should be clarified.</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2517" w14:textId="77777777" w:rsidR="00BB2625" w:rsidRDefault="00BB2625" w:rsidP="004276B8">
      <w:pPr>
        <w:spacing w:after="0" w:line="240" w:lineRule="auto"/>
      </w:pPr>
      <w:r>
        <w:separator/>
      </w:r>
    </w:p>
  </w:endnote>
  <w:endnote w:type="continuationSeparator" w:id="0">
    <w:p w14:paraId="54CFB169" w14:textId="77777777" w:rsidR="00BB2625" w:rsidRDefault="00BB2625" w:rsidP="004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C02D" w14:textId="77777777" w:rsidR="00BB2625" w:rsidRDefault="00BB2625" w:rsidP="004276B8">
      <w:pPr>
        <w:spacing w:after="0" w:line="240" w:lineRule="auto"/>
      </w:pPr>
      <w:r>
        <w:separator/>
      </w:r>
    </w:p>
  </w:footnote>
  <w:footnote w:type="continuationSeparator" w:id="0">
    <w:p w14:paraId="3B5B595F" w14:textId="77777777" w:rsidR="00BB2625" w:rsidRDefault="00BB2625" w:rsidP="00427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50E"/>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宋体"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宋体"/>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宋体"/>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2F529FD2-2D63-4ACB-A8CA-413D6879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3376</Words>
  <Characters>19246</Characters>
  <Application>Microsoft Office Word</Application>
  <DocSecurity>0</DocSecurity>
  <Lines>160</Lines>
  <Paragraphs>45</Paragraphs>
  <ScaleCrop>false</ScaleCrop>
  <Company>P R C</Company>
  <LinksUpToDate>false</LinksUpToDate>
  <CharactersWithSpaces>22577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Frank</cp:lastModifiedBy>
  <cp:revision>18</cp:revision>
  <cp:lastPrinted>2021-04-15T03:16:00Z</cp:lastPrinted>
  <dcterms:created xsi:type="dcterms:W3CDTF">2021-09-08T21:05:00Z</dcterms:created>
  <dcterms:modified xsi:type="dcterms:W3CDTF">2021-09-09T07:26:00Z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