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61D6" w14:textId="5FFEFF56" w:rsidR="00E75241" w:rsidRDefault="003B30A8">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afe"/>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afe"/>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afe"/>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afe"/>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afe"/>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afe"/>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afe"/>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e"/>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afe"/>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afe"/>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afe"/>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afe"/>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afe"/>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afe"/>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afe"/>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afe"/>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afe"/>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afe"/>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afe"/>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afe"/>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afe"/>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afe"/>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afe"/>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e"/>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afe"/>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afe"/>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afe"/>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afe"/>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afe"/>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afe"/>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afe"/>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e"/>
              <w:rPr>
                <w:rFonts w:ascii="Times New Roman" w:eastAsiaTheme="minorEastAsia" w:hAnsi="Times New Roman" w:cs="Times New Roman"/>
                <w:sz w:val="20"/>
                <w:szCs w:val="20"/>
                <w:lang w:val="en-US" w:eastAsia="zh-CN"/>
              </w:rPr>
            </w:pPr>
          </w:p>
          <w:p w14:paraId="257C6BF6"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e"/>
              <w:rPr>
                <w:rFonts w:ascii="Times New Roman" w:eastAsiaTheme="minorEastAsia" w:hAnsi="Times New Roman" w:cs="Times New Roman"/>
                <w:sz w:val="20"/>
                <w:szCs w:val="20"/>
                <w:lang w:val="en-US" w:eastAsia="zh-CN"/>
              </w:rPr>
            </w:pPr>
          </w:p>
          <w:p w14:paraId="257C6BF8"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e"/>
              <w:rPr>
                <w:rFonts w:ascii="Times New Roman" w:eastAsiaTheme="minorEastAsia" w:hAnsi="Times New Roman" w:cs="Times New Roman"/>
                <w:sz w:val="20"/>
                <w:szCs w:val="20"/>
                <w:lang w:val="en-US" w:eastAsia="zh-CN"/>
              </w:rPr>
            </w:pPr>
          </w:p>
          <w:p w14:paraId="257C6BFA"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e"/>
              <w:rPr>
                <w:rFonts w:ascii="Times New Roman" w:eastAsiaTheme="minorEastAsia" w:hAnsi="Times New Roman" w:cs="Times New Roman"/>
                <w:sz w:val="20"/>
                <w:szCs w:val="20"/>
                <w:lang w:val="en-US" w:eastAsia="zh-CN"/>
              </w:rPr>
            </w:pPr>
          </w:p>
          <w:p w14:paraId="257C6BFC"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8"/>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afe"/>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afe"/>
              <w:rPr>
                <w:rFonts w:ascii="Times New Roman" w:hAnsi="Times New Roman" w:cs="Times New Roman"/>
                <w:sz w:val="20"/>
                <w:szCs w:val="20"/>
                <w:lang w:val="en-US" w:eastAsia="ko-KR"/>
              </w:rPr>
            </w:pPr>
          </w:p>
          <w:p w14:paraId="257C6C8C"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e"/>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afe"/>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afe"/>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afe"/>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afe"/>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e"/>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afe"/>
              <w:rPr>
                <w:rFonts w:ascii="Times New Roman" w:hAnsi="Times New Roman" w:cs="Times New Roman"/>
                <w:sz w:val="20"/>
                <w:szCs w:val="20"/>
                <w:lang w:val="en-US" w:eastAsia="ko-KR"/>
              </w:rPr>
            </w:pPr>
          </w:p>
          <w:p w14:paraId="257C6D0D"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e"/>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afe"/>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afe"/>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afe"/>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afe"/>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e"/>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e"/>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afe"/>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8"/>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afe"/>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afe"/>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afe"/>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e"/>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e"/>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e"/>
              <w:rPr>
                <w:rFonts w:ascii="Times New Roman" w:eastAsia="Batang" w:hAnsi="Times New Roman" w:cs="Times New Roman"/>
                <w:sz w:val="20"/>
                <w:szCs w:val="20"/>
                <w:lang w:val="en-US" w:eastAsia="ko-KR"/>
              </w:rPr>
            </w:pPr>
          </w:p>
          <w:p w14:paraId="257C6EFC" w14:textId="77777777" w:rsidR="00E75241" w:rsidRPr="00A77291" w:rsidRDefault="00E75241">
            <w:pPr>
              <w:pStyle w:val="afe"/>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afe"/>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e"/>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afe"/>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afe"/>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afe"/>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afe"/>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afe"/>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afe"/>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afe"/>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afe"/>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afe"/>
              <w:rPr>
                <w:rFonts w:ascii="Times New Roman" w:hAnsi="Times New Roman" w:cs="Times New Roman"/>
                <w:b/>
                <w:bCs/>
                <w:sz w:val="20"/>
                <w:szCs w:val="20"/>
                <w:lang w:val="en-GB" w:eastAsia="en-US"/>
              </w:rPr>
            </w:pPr>
          </w:p>
          <w:p w14:paraId="6616DC36" w14:textId="77777777" w:rsidR="00330771" w:rsidRDefault="00330771" w:rsidP="001D618D">
            <w:pPr>
              <w:pStyle w:val="afe"/>
              <w:rPr>
                <w:rFonts w:ascii="Times New Roman" w:hAnsi="Times New Roman" w:cs="Times New Roman"/>
                <w:b/>
                <w:bCs/>
                <w:sz w:val="20"/>
                <w:szCs w:val="20"/>
                <w:lang w:val="en-GB" w:eastAsia="en-US"/>
              </w:rPr>
            </w:pPr>
          </w:p>
          <w:p w14:paraId="160AF2E3"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afa"/>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afe"/>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afe"/>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afe"/>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afe"/>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afe"/>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afe"/>
              <w:ind w:left="2160"/>
              <w:rPr>
                <w:b/>
                <w:bCs/>
                <w:color w:val="FF0000"/>
                <w:lang w:val="en-US"/>
              </w:rPr>
            </w:pPr>
          </w:p>
          <w:p w14:paraId="7DEDADFA"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afe"/>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afe"/>
              <w:ind w:left="1440"/>
              <w:rPr>
                <w:rFonts w:ascii="Times New Roman" w:hAnsi="Times New Roman" w:cs="Times New Roman"/>
                <w:b/>
                <w:bCs/>
                <w:color w:val="FF0000"/>
                <w:sz w:val="20"/>
                <w:szCs w:val="20"/>
                <w:lang w:val="en-US"/>
              </w:rPr>
            </w:pPr>
          </w:p>
          <w:p w14:paraId="3EDA8281" w14:textId="77777777" w:rsidR="00EC2982" w:rsidRDefault="00EC2982" w:rsidP="00EC2982">
            <w:pPr>
              <w:pStyle w:val="afe"/>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afe"/>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afe"/>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afe"/>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afe"/>
              <w:ind w:left="1440"/>
              <w:rPr>
                <w:rFonts w:ascii="Times New Roman" w:hAnsi="Times New Roman" w:cs="Times New Roman"/>
                <w:b/>
                <w:bCs/>
                <w:sz w:val="20"/>
                <w:szCs w:val="20"/>
                <w:lang w:val="en-US"/>
              </w:rPr>
            </w:pPr>
          </w:p>
          <w:p w14:paraId="7F79F797" w14:textId="77777777" w:rsidR="00EC2982" w:rsidRPr="00A77291" w:rsidRDefault="00EC2982" w:rsidP="00EC2982">
            <w:pPr>
              <w:pStyle w:val="afe"/>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afe"/>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afe"/>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afe"/>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afe"/>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afe"/>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afe"/>
              <w:rPr>
                <w:rFonts w:eastAsia="Malgun Gothic"/>
                <w:lang w:val="en-US" w:eastAsia="ko-KR"/>
              </w:rPr>
            </w:pPr>
          </w:p>
          <w:p w14:paraId="2D9CDAAB" w14:textId="757DA969" w:rsidR="00566FDD" w:rsidRDefault="00566FDD" w:rsidP="00566FDD">
            <w:pPr>
              <w:pStyle w:val="afe"/>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afe"/>
              <w:rPr>
                <w:rFonts w:eastAsia="Malgun Gothic"/>
                <w:lang w:val="en-US" w:eastAsia="ko-KR"/>
              </w:rPr>
            </w:pPr>
          </w:p>
          <w:p w14:paraId="5B9DB649" w14:textId="77777777" w:rsidR="002476D6" w:rsidRDefault="002476D6" w:rsidP="00566FDD">
            <w:pPr>
              <w:pStyle w:val="afe"/>
              <w:rPr>
                <w:rFonts w:eastAsia="Malgun Gothic"/>
                <w:lang w:val="en-US" w:eastAsia="ko-KR"/>
              </w:rPr>
            </w:pPr>
          </w:p>
          <w:p w14:paraId="6A8B3E07" w14:textId="4EA554C1" w:rsidR="00566FDD" w:rsidRPr="004C241C" w:rsidRDefault="002476D6" w:rsidP="00566FDD">
            <w:pPr>
              <w:pStyle w:val="afe"/>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afe"/>
              <w:rPr>
                <w:rFonts w:eastAsia="Malgun Gothic"/>
                <w:lang w:val="en-US" w:eastAsia="ko-KR"/>
              </w:rPr>
            </w:pPr>
          </w:p>
          <w:p w14:paraId="1B2B9811" w14:textId="7D5A361B" w:rsidR="002476D6" w:rsidRPr="00601EE2" w:rsidRDefault="002476D6"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afe"/>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afe"/>
              <w:ind w:left="2160"/>
              <w:rPr>
                <w:rFonts w:ascii="Times New Roman" w:hAnsi="Times New Roman" w:cs="Times New Roman"/>
                <w:b/>
                <w:bCs/>
                <w:sz w:val="20"/>
                <w:szCs w:val="20"/>
                <w:lang w:val="en-US"/>
              </w:rPr>
            </w:pPr>
          </w:p>
          <w:p w14:paraId="03DE2B4A" w14:textId="77777777" w:rsidR="004C241C" w:rsidRDefault="004C241C" w:rsidP="002476D6">
            <w:pPr>
              <w:pStyle w:val="afe"/>
              <w:ind w:left="1440"/>
              <w:rPr>
                <w:rFonts w:ascii="Times New Roman" w:hAnsi="Times New Roman" w:cs="Times New Roman"/>
                <w:b/>
                <w:bCs/>
                <w:sz w:val="20"/>
                <w:szCs w:val="20"/>
                <w:lang w:val="en-US"/>
              </w:rPr>
            </w:pPr>
          </w:p>
          <w:p w14:paraId="5CCCB86A" w14:textId="77777777" w:rsidR="004C241C" w:rsidRDefault="004C241C" w:rsidP="002476D6">
            <w:pPr>
              <w:pStyle w:val="afe"/>
              <w:ind w:left="1440"/>
              <w:rPr>
                <w:rFonts w:ascii="Times New Roman" w:hAnsi="Times New Roman" w:cs="Times New Roman"/>
                <w:b/>
                <w:bCs/>
                <w:sz w:val="20"/>
                <w:szCs w:val="20"/>
                <w:lang w:val="en-US"/>
              </w:rPr>
            </w:pPr>
          </w:p>
          <w:p w14:paraId="3439F594" w14:textId="39018C93" w:rsidR="004C241C" w:rsidRPr="00CE5AF9" w:rsidRDefault="004C241C" w:rsidP="004C241C">
            <w:pPr>
              <w:pStyle w:val="afe"/>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afe"/>
              <w:rPr>
                <w:rFonts w:eastAsia="Malgun Gothic"/>
                <w:lang w:val="en-US" w:eastAsia="ko-KR"/>
              </w:rPr>
            </w:pPr>
          </w:p>
          <w:p w14:paraId="004282AC" w14:textId="7D79C6C3" w:rsidR="009E46B9" w:rsidRDefault="009E46B9" w:rsidP="00075296">
            <w:pPr>
              <w:pStyle w:val="afe"/>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afe"/>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afe"/>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afe"/>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afe"/>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afe"/>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afe"/>
              <w:ind w:left="1440"/>
              <w:rPr>
                <w:rFonts w:ascii="Times New Roman" w:hAnsi="Times New Roman" w:cs="Times New Roman"/>
                <w:b/>
                <w:bCs/>
                <w:sz w:val="20"/>
                <w:szCs w:val="20"/>
                <w:lang w:val="en-US"/>
              </w:rPr>
            </w:pPr>
          </w:p>
          <w:p w14:paraId="64109276" w14:textId="77777777" w:rsidR="007E45C9" w:rsidRPr="001A1078" w:rsidRDefault="007E45C9" w:rsidP="007E45C9">
            <w:pPr>
              <w:pStyle w:val="afe"/>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afe"/>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t>
            </w:r>
            <w:r w:rsidR="007F08E7" w:rsidRPr="007F08E7">
              <w:rPr>
                <w:rFonts w:eastAsia="Malgun Gothic"/>
                <w:lang w:val="en-US" w:eastAsia="ko-KR"/>
              </w:rPr>
              <w:lastRenderedPageBreak/>
              <w:t>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afe"/>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afe"/>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7E45C9">
        <w:tc>
          <w:tcPr>
            <w:tcW w:w="1572"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lastRenderedPageBreak/>
              <w:t>Xiaomi</w:t>
            </w:r>
          </w:p>
        </w:tc>
        <w:tc>
          <w:tcPr>
            <w:tcW w:w="1261"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023"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w:t>
            </w:r>
            <w:r w:rsidRPr="00A77291">
              <w:rPr>
                <w:rFonts w:ascii="Times New Roman" w:eastAsiaTheme="minorEastAsia" w:hAnsi="Times New Roman" w:cs="Times New Roman"/>
                <w:sz w:val="20"/>
                <w:szCs w:val="20"/>
                <w:lang w:val="en-US" w:eastAsia="zh-CN"/>
              </w:rPr>
              <w:t>initial</w:t>
            </w:r>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6C248891" w14:textId="77777777"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hint="eastAsia"/>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lastRenderedPageBreak/>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8"/>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afe"/>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afe"/>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afe"/>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e"/>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e"/>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afe"/>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afe"/>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afe"/>
              <w:numPr>
                <w:ilvl w:val="1"/>
                <w:numId w:val="11"/>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70B9"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afe"/>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afe"/>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afe"/>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afe"/>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afe"/>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afe"/>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afe"/>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afe"/>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afe"/>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rsidP="005025F6">
            <w:pPr>
              <w:pStyle w:val="afe"/>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afe"/>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afe"/>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rsidP="005025F6">
            <w:pPr>
              <w:pStyle w:val="afe"/>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afe"/>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afe"/>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afe"/>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afe"/>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afe"/>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afe"/>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afe"/>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afe"/>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afe"/>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afe"/>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afe"/>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afe"/>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afe"/>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afe"/>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lastRenderedPageBreak/>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subbulet </w:t>
            </w:r>
            <w:bookmarkStart w:id="13" w:name="_GoBack"/>
            <w:bookmarkEnd w:id="13"/>
            <w:r>
              <w:rPr>
                <w:rFonts w:eastAsiaTheme="minorEastAsia"/>
                <w:lang w:eastAsia="zh-CN"/>
              </w:rPr>
              <w:t xml:space="preserve">is confusing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afe"/>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afe"/>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afe"/>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afe"/>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afe"/>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afe"/>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afe"/>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afe"/>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afe"/>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afe"/>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afe"/>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afe"/>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afe"/>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afe"/>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afe"/>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afe"/>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afe"/>
        <w:numPr>
          <w:ilvl w:val="1"/>
          <w:numId w:val="11"/>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afe"/>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afe"/>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afe"/>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afe"/>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afe"/>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lastRenderedPageBreak/>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afe"/>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afe"/>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afe"/>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afe"/>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afe"/>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afe"/>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afe"/>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afe"/>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afe"/>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afe"/>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afe"/>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afe"/>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afe"/>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afe"/>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afe"/>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afe"/>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afe"/>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afe"/>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afe"/>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afe"/>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afe"/>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afe"/>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afe"/>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afe"/>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afe"/>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afe"/>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afe"/>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3B4A88">
            <w:pPr>
              <w:rPr>
                <w:color w:val="0000FF"/>
                <w:u w:val="single"/>
                <w:lang w:val="en-US"/>
              </w:rPr>
            </w:pPr>
            <w:hyperlink r:id="rId24" w:history="1">
              <w:r w:rsidR="003B30A8">
                <w:rPr>
                  <w:rStyle w:val="afa"/>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3B4A88">
            <w:pPr>
              <w:rPr>
                <w:color w:val="0000FF"/>
                <w:u w:val="single"/>
                <w:lang w:val="en-US"/>
              </w:rPr>
            </w:pPr>
            <w:hyperlink r:id="rId25" w:history="1">
              <w:r w:rsidR="003B30A8">
                <w:rPr>
                  <w:rStyle w:val="afa"/>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3B4A88">
            <w:pPr>
              <w:rPr>
                <w:color w:val="0000FF"/>
                <w:u w:val="single"/>
                <w:lang w:val="en-US"/>
              </w:rPr>
            </w:pPr>
            <w:hyperlink r:id="rId26" w:history="1">
              <w:r w:rsidR="003B30A8">
                <w:rPr>
                  <w:rStyle w:val="afa"/>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3B4A88">
            <w:pPr>
              <w:rPr>
                <w:color w:val="0000FF"/>
                <w:u w:val="single"/>
                <w:lang w:val="en-US"/>
              </w:rPr>
            </w:pPr>
            <w:hyperlink r:id="rId27" w:history="1">
              <w:r w:rsidR="003B30A8">
                <w:rPr>
                  <w:rStyle w:val="afa"/>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3B4A88">
            <w:pPr>
              <w:rPr>
                <w:color w:val="0000FF"/>
                <w:u w:val="single"/>
                <w:lang w:val="en-US"/>
              </w:rPr>
            </w:pPr>
            <w:hyperlink r:id="rId28" w:history="1">
              <w:r w:rsidR="003B30A8">
                <w:rPr>
                  <w:rStyle w:val="afa"/>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3B4A88">
            <w:pPr>
              <w:rPr>
                <w:color w:val="0000FF"/>
                <w:u w:val="single"/>
                <w:lang w:val="en-US"/>
              </w:rPr>
            </w:pPr>
            <w:hyperlink r:id="rId29" w:history="1">
              <w:r w:rsidR="003B30A8">
                <w:rPr>
                  <w:rStyle w:val="afa"/>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3B4A88">
            <w:pPr>
              <w:rPr>
                <w:color w:val="0000FF"/>
                <w:u w:val="single"/>
                <w:lang w:val="en-US"/>
              </w:rPr>
            </w:pPr>
            <w:hyperlink r:id="rId30" w:history="1">
              <w:r w:rsidR="003B30A8">
                <w:rPr>
                  <w:rStyle w:val="afa"/>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3B4A88">
            <w:pPr>
              <w:rPr>
                <w:color w:val="0000FF"/>
                <w:u w:val="single"/>
                <w:lang w:val="en-US"/>
              </w:rPr>
            </w:pPr>
            <w:hyperlink r:id="rId31" w:history="1">
              <w:r w:rsidR="003B30A8">
                <w:rPr>
                  <w:rStyle w:val="afa"/>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3B4A88">
            <w:pPr>
              <w:rPr>
                <w:color w:val="0000FF"/>
                <w:u w:val="single"/>
                <w:lang w:val="en-US"/>
              </w:rPr>
            </w:pPr>
            <w:hyperlink r:id="rId32" w:history="1">
              <w:r w:rsidR="003B30A8">
                <w:rPr>
                  <w:rStyle w:val="afa"/>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3B4A88">
            <w:pPr>
              <w:rPr>
                <w:color w:val="0000FF"/>
                <w:u w:val="single"/>
                <w:lang w:val="en-US"/>
              </w:rPr>
            </w:pPr>
            <w:hyperlink r:id="rId33" w:history="1">
              <w:r w:rsidR="003B30A8">
                <w:rPr>
                  <w:rStyle w:val="afa"/>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3B4A88">
            <w:pPr>
              <w:rPr>
                <w:color w:val="0000FF"/>
                <w:u w:val="single"/>
                <w:lang w:val="en-US"/>
              </w:rPr>
            </w:pPr>
            <w:hyperlink r:id="rId34" w:history="1">
              <w:r w:rsidR="003B30A8">
                <w:rPr>
                  <w:rStyle w:val="afa"/>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3B4A88">
            <w:pPr>
              <w:rPr>
                <w:color w:val="0000FF"/>
                <w:u w:val="single"/>
                <w:lang w:val="en-US"/>
              </w:rPr>
            </w:pPr>
            <w:hyperlink r:id="rId35" w:history="1">
              <w:r w:rsidR="003B30A8">
                <w:rPr>
                  <w:rStyle w:val="afa"/>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3B4A88">
            <w:pPr>
              <w:rPr>
                <w:color w:val="0000FF"/>
                <w:u w:val="single"/>
                <w:lang w:val="en-US"/>
              </w:rPr>
            </w:pPr>
            <w:hyperlink r:id="rId36" w:history="1">
              <w:r w:rsidR="003B30A8">
                <w:rPr>
                  <w:rStyle w:val="afa"/>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3B4A88">
            <w:pPr>
              <w:rPr>
                <w:lang w:val="en-US"/>
              </w:rPr>
            </w:pPr>
            <w:hyperlink r:id="rId37" w:history="1">
              <w:r w:rsidR="003B30A8">
                <w:rPr>
                  <w:rStyle w:val="afa"/>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3B4A88">
            <w:pPr>
              <w:rPr>
                <w:color w:val="0000FF"/>
                <w:u w:val="single"/>
                <w:lang w:val="en-US"/>
              </w:rPr>
            </w:pPr>
            <w:hyperlink r:id="rId38" w:history="1">
              <w:r w:rsidR="003B30A8">
                <w:rPr>
                  <w:rStyle w:val="afa"/>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3B4A88">
            <w:pPr>
              <w:rPr>
                <w:color w:val="0000FF"/>
                <w:u w:val="single"/>
                <w:lang w:val="en-US"/>
              </w:rPr>
            </w:pPr>
            <w:hyperlink r:id="rId39" w:history="1">
              <w:r w:rsidR="003B30A8">
                <w:rPr>
                  <w:rStyle w:val="afa"/>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3B4A88">
            <w:pPr>
              <w:rPr>
                <w:color w:val="0000FF"/>
                <w:u w:val="single"/>
                <w:lang w:val="en-US"/>
              </w:rPr>
            </w:pPr>
            <w:hyperlink r:id="rId40" w:history="1">
              <w:r w:rsidR="003B30A8">
                <w:rPr>
                  <w:rStyle w:val="afa"/>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3B4A88">
            <w:pPr>
              <w:rPr>
                <w:color w:val="0000FF"/>
                <w:u w:val="single"/>
                <w:lang w:val="en-US"/>
              </w:rPr>
            </w:pPr>
            <w:hyperlink r:id="rId41" w:history="1">
              <w:r w:rsidR="003B30A8">
                <w:rPr>
                  <w:rStyle w:val="afa"/>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3B4A88">
            <w:pPr>
              <w:rPr>
                <w:color w:val="0000FF"/>
                <w:u w:val="single"/>
                <w:lang w:val="en-US"/>
              </w:rPr>
            </w:pPr>
            <w:hyperlink r:id="rId42" w:history="1">
              <w:r w:rsidR="003B30A8">
                <w:rPr>
                  <w:rStyle w:val="afa"/>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3B4A88">
            <w:pPr>
              <w:rPr>
                <w:color w:val="0000FF"/>
                <w:u w:val="single"/>
                <w:lang w:val="en-US"/>
              </w:rPr>
            </w:pPr>
            <w:hyperlink r:id="rId43" w:history="1">
              <w:r w:rsidR="003B30A8">
                <w:rPr>
                  <w:rStyle w:val="afa"/>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3B4A88">
            <w:pPr>
              <w:rPr>
                <w:color w:val="0000FF"/>
                <w:u w:val="single"/>
                <w:lang w:val="en-US"/>
              </w:rPr>
            </w:pPr>
            <w:hyperlink r:id="rId44" w:history="1">
              <w:r w:rsidR="003B30A8">
                <w:rPr>
                  <w:rStyle w:val="afa"/>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3B4A88">
            <w:pPr>
              <w:rPr>
                <w:color w:val="0000FF"/>
                <w:u w:val="single"/>
                <w:lang w:val="en-US"/>
              </w:rPr>
            </w:pPr>
            <w:hyperlink r:id="rId45" w:history="1">
              <w:r w:rsidR="003B30A8">
                <w:rPr>
                  <w:rStyle w:val="afa"/>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3B4A88">
            <w:pPr>
              <w:rPr>
                <w:color w:val="0000FF"/>
                <w:u w:val="single"/>
                <w:lang w:val="en-US"/>
              </w:rPr>
            </w:pPr>
            <w:hyperlink r:id="rId46" w:history="1">
              <w:r w:rsidR="003B30A8">
                <w:rPr>
                  <w:rStyle w:val="afa"/>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3B4A88">
            <w:pPr>
              <w:rPr>
                <w:color w:val="0000FF"/>
                <w:u w:val="single"/>
                <w:lang w:val="en-US"/>
              </w:rPr>
            </w:pPr>
            <w:hyperlink r:id="rId47" w:history="1">
              <w:r w:rsidR="003B30A8">
                <w:rPr>
                  <w:rStyle w:val="afa"/>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3B4A88">
            <w:pPr>
              <w:rPr>
                <w:color w:val="0000FF"/>
                <w:u w:val="single"/>
                <w:lang w:val="en-US"/>
              </w:rPr>
            </w:pPr>
            <w:hyperlink r:id="rId48" w:history="1">
              <w:r w:rsidR="003B30A8">
                <w:rPr>
                  <w:rStyle w:val="afa"/>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3B4A88">
            <w:pPr>
              <w:rPr>
                <w:color w:val="0000FF"/>
                <w:u w:val="single"/>
                <w:lang w:val="en-US"/>
              </w:rPr>
            </w:pPr>
            <w:hyperlink r:id="rId49" w:history="1">
              <w:r w:rsidR="003B30A8">
                <w:rPr>
                  <w:rStyle w:val="afa"/>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3B4A88">
            <w:pPr>
              <w:rPr>
                <w:color w:val="0000FF"/>
                <w:u w:val="single"/>
                <w:lang w:val="en-US"/>
              </w:rPr>
            </w:pPr>
            <w:hyperlink r:id="rId50" w:history="1">
              <w:r w:rsidR="003B30A8">
                <w:rPr>
                  <w:rStyle w:val="afa"/>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3B4A88">
            <w:pPr>
              <w:rPr>
                <w:color w:val="0000FF"/>
                <w:u w:val="single"/>
                <w:lang w:val="en-US"/>
              </w:rPr>
            </w:pPr>
            <w:hyperlink r:id="rId51" w:history="1">
              <w:r w:rsidR="003B30A8">
                <w:rPr>
                  <w:rStyle w:val="afa"/>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3B4A88">
            <w:pPr>
              <w:rPr>
                <w:lang w:val="en-US"/>
              </w:rPr>
            </w:pPr>
            <w:hyperlink r:id="rId52" w:history="1">
              <w:r w:rsidR="003B30A8">
                <w:rPr>
                  <w:rStyle w:val="afa"/>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3B4A88">
            <w:pPr>
              <w:rPr>
                <w:rStyle w:val="afa"/>
                <w:color w:val="0000FF"/>
                <w:lang w:val="en-US"/>
              </w:rPr>
            </w:pPr>
            <w:hyperlink r:id="rId53" w:history="1">
              <w:r w:rsidR="003B30A8">
                <w:rPr>
                  <w:rStyle w:val="afa"/>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3B4A88">
            <w:pPr>
              <w:rPr>
                <w:rStyle w:val="afa"/>
                <w:color w:val="0000FF"/>
                <w:lang w:val="en-US"/>
              </w:rPr>
            </w:pPr>
            <w:hyperlink r:id="rId54" w:history="1">
              <w:r w:rsidR="003B30A8">
                <w:rPr>
                  <w:rStyle w:val="afa"/>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3B4A88">
            <w:pPr>
              <w:rPr>
                <w:lang w:val="en-US"/>
              </w:rPr>
            </w:pPr>
            <w:hyperlink r:id="rId55" w:history="1">
              <w:r w:rsidR="003B30A8">
                <w:rPr>
                  <w:rStyle w:val="afa"/>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3B4A88">
            <w:pPr>
              <w:rPr>
                <w:color w:val="0000FF"/>
                <w:u w:val="single"/>
                <w:lang w:val="en-US"/>
              </w:rPr>
            </w:pPr>
            <w:hyperlink r:id="rId56" w:history="1">
              <w:r w:rsidR="003B30A8">
                <w:rPr>
                  <w:rStyle w:val="afa"/>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3B4A88">
            <w:pPr>
              <w:rPr>
                <w:color w:val="0000FF"/>
                <w:u w:val="single"/>
                <w:lang w:val="en-US"/>
              </w:rPr>
            </w:pPr>
            <w:hyperlink r:id="rId57" w:history="1">
              <w:r w:rsidR="003B30A8">
                <w:rPr>
                  <w:rStyle w:val="afa"/>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3B4A88">
            <w:pPr>
              <w:rPr>
                <w:lang w:val="en-US"/>
              </w:rPr>
            </w:pPr>
            <w:hyperlink r:id="rId58" w:history="1">
              <w:r w:rsidR="003B30A8">
                <w:rPr>
                  <w:rStyle w:val="afa"/>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3B4A88">
            <w:pPr>
              <w:rPr>
                <w:lang w:val="en-US"/>
              </w:rPr>
            </w:pPr>
            <w:hyperlink r:id="rId59" w:history="1">
              <w:r w:rsidR="003B30A8">
                <w:rPr>
                  <w:rStyle w:val="afa"/>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3B4A88">
            <w:pPr>
              <w:rPr>
                <w:lang w:val="en-US"/>
              </w:rPr>
            </w:pPr>
            <w:hyperlink r:id="rId60" w:history="1">
              <w:r w:rsidR="003B30A8">
                <w:rPr>
                  <w:rStyle w:val="afa"/>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3B4A88">
            <w:pPr>
              <w:rPr>
                <w:lang w:val="en-US"/>
              </w:rPr>
            </w:pPr>
            <w:hyperlink r:id="rId61" w:history="1">
              <w:r w:rsidR="003B30A8">
                <w:rPr>
                  <w:rStyle w:val="afa"/>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3B4A88">
            <w:pPr>
              <w:rPr>
                <w:lang w:val="en-US"/>
              </w:rPr>
            </w:pPr>
            <w:hyperlink r:id="rId62" w:history="1">
              <w:r w:rsidR="003B30A8">
                <w:rPr>
                  <w:rStyle w:val="afa"/>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3B4A88">
            <w:pPr>
              <w:rPr>
                <w:lang w:val="en-US"/>
              </w:rPr>
            </w:pPr>
            <w:hyperlink r:id="rId63" w:history="1">
              <w:r w:rsidR="003B30A8">
                <w:rPr>
                  <w:rStyle w:val="afa"/>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3B4A88">
            <w:pPr>
              <w:rPr>
                <w:color w:val="0000FF"/>
                <w:u w:val="single"/>
                <w:lang w:val="en-US"/>
              </w:rPr>
            </w:pPr>
            <w:hyperlink r:id="rId64" w:history="1">
              <w:r w:rsidR="003B30A8">
                <w:rPr>
                  <w:rStyle w:val="afa"/>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3B4A88">
            <w:pPr>
              <w:rPr>
                <w:color w:val="0000FF"/>
                <w:u w:val="single"/>
                <w:lang w:val="en-US"/>
              </w:rPr>
            </w:pPr>
            <w:hyperlink r:id="rId65" w:history="1">
              <w:r w:rsidR="003B30A8">
                <w:rPr>
                  <w:rStyle w:val="afa"/>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3B4A88">
            <w:hyperlink r:id="rId66" w:history="1">
              <w:r w:rsidR="003B30A8">
                <w:rPr>
                  <w:rStyle w:val="afa"/>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3B4A88">
            <w:hyperlink r:id="rId67" w:history="1">
              <w:r w:rsidR="003B30A8">
                <w:rPr>
                  <w:rStyle w:val="afa"/>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3B4A88">
            <w:hyperlink r:id="rId68" w:history="1">
              <w:r w:rsidR="003B30A8">
                <w:rPr>
                  <w:rStyle w:val="afa"/>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3B4A88">
            <w:hyperlink r:id="rId69" w:history="1">
              <w:r w:rsidR="003B30A8">
                <w:rPr>
                  <w:rStyle w:val="afa"/>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3B4A88" w:rsidP="001D618D">
            <w:hyperlink r:id="rId70" w:history="1">
              <w:r w:rsidR="0017406B">
                <w:rPr>
                  <w:rStyle w:val="afa"/>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79B5D" w14:textId="77777777" w:rsidR="003B4A88" w:rsidRDefault="003B4A88" w:rsidP="00317BFE">
      <w:pPr>
        <w:spacing w:after="0" w:line="240" w:lineRule="auto"/>
      </w:pPr>
      <w:r>
        <w:separator/>
      </w:r>
    </w:p>
  </w:endnote>
  <w:endnote w:type="continuationSeparator" w:id="0">
    <w:p w14:paraId="3DB26A23" w14:textId="77777777" w:rsidR="003B4A88" w:rsidRDefault="003B4A88"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79DD2" w14:textId="77777777" w:rsidR="003B4A88" w:rsidRDefault="003B4A88" w:rsidP="00317BFE">
      <w:pPr>
        <w:spacing w:after="0" w:line="240" w:lineRule="auto"/>
      </w:pPr>
      <w:r>
        <w:separator/>
      </w:r>
    </w:p>
  </w:footnote>
  <w:footnote w:type="continuationSeparator" w:id="0">
    <w:p w14:paraId="0ED9BD20" w14:textId="77777777" w:rsidR="003B4A88" w:rsidRDefault="003B4A88"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70DFC"/>
    <w:pPr>
      <w:numPr>
        <w:ilvl w:val="1"/>
      </w:numPr>
      <w:spacing w:before="180"/>
      <w:outlineLvl w:val="1"/>
    </w:pPr>
    <w:rPr>
      <w:sz w:val="32"/>
    </w:rPr>
  </w:style>
  <w:style w:type="paragraph" w:styleId="30">
    <w:name w:val="heading 3"/>
    <w:basedOn w:val="2"/>
    <w:next w:val="a0"/>
    <w:link w:val="31"/>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2"/>
    <w:next w:val="a0"/>
    <w:semiHidden/>
    <w:qFormat/>
    <w:rsid w:val="00F70DFC"/>
    <w:pPr>
      <w:ind w:left="1418" w:hanging="1418"/>
    </w:pPr>
  </w:style>
  <w:style w:type="paragraph" w:styleId="32">
    <w:name w:val="toc 3"/>
    <w:basedOn w:val="21"/>
    <w:next w:val="a0"/>
    <w:uiPriority w:val="39"/>
    <w:qFormat/>
    <w:rsid w:val="00F70DFC"/>
    <w:pPr>
      <w:ind w:left="1134" w:hanging="1134"/>
    </w:pPr>
  </w:style>
  <w:style w:type="paragraph" w:styleId="21">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6">
    <w:name w:val="Document Map"/>
    <w:basedOn w:val="a0"/>
    <w:link w:val="a7"/>
    <w:semiHidden/>
    <w:unhideWhenUsed/>
    <w:qFormat/>
    <w:rsid w:val="00F70DFC"/>
    <w:rPr>
      <w:rFonts w:ascii="宋体" w:eastAsia="宋体"/>
      <w:sz w:val="18"/>
      <w:szCs w:val="18"/>
    </w:rPr>
  </w:style>
  <w:style w:type="paragraph" w:styleId="a8">
    <w:name w:val="annotation text"/>
    <w:basedOn w:val="a0"/>
    <w:link w:val="a9"/>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70DF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F70DFC"/>
    <w:pPr>
      <w:spacing w:before="180"/>
      <w:ind w:left="2693" w:hanging="2693"/>
    </w:pPr>
    <w:rPr>
      <w:b/>
    </w:rPr>
  </w:style>
  <w:style w:type="paragraph" w:styleId="ae">
    <w:name w:val="Balloon Text"/>
    <w:basedOn w:val="a0"/>
    <w:qFormat/>
    <w:rsid w:val="00F70DFC"/>
    <w:pPr>
      <w:spacing w:after="0"/>
    </w:pPr>
    <w:rPr>
      <w:rFonts w:ascii="Segoe UI" w:hAnsi="Segoe UI" w:cs="Segoe UI"/>
      <w:sz w:val="18"/>
      <w:szCs w:val="18"/>
    </w:rPr>
  </w:style>
  <w:style w:type="paragraph" w:styleId="af">
    <w:name w:val="footer"/>
    <w:basedOn w:val="af0"/>
    <w:qFormat/>
    <w:rsid w:val="00F70DFC"/>
    <w:pPr>
      <w:jc w:val="center"/>
    </w:pPr>
    <w:rPr>
      <w:i/>
    </w:rPr>
  </w:style>
  <w:style w:type="paragraph" w:styleId="af0">
    <w:name w:val="header"/>
    <w:basedOn w:val="a0"/>
    <w:link w:val="af1"/>
    <w:qFormat/>
    <w:rsid w:val="00F70DFC"/>
    <w:pPr>
      <w:widowControl w:val="0"/>
      <w:overflowPunct w:val="0"/>
      <w:textAlignment w:val="baseline"/>
    </w:pPr>
    <w:rPr>
      <w:rFonts w:ascii="Arial" w:hAnsi="Arial"/>
      <w:b/>
      <w:sz w:val="18"/>
      <w:lang w:eastAsia="ja-JP"/>
    </w:rPr>
  </w:style>
  <w:style w:type="paragraph" w:styleId="af2">
    <w:name w:val="List"/>
    <w:basedOn w:val="aa"/>
    <w:qFormat/>
    <w:rsid w:val="00F70DFC"/>
    <w:rPr>
      <w:rFonts w:cs="Lohit Devanagari"/>
    </w:rPr>
  </w:style>
  <w:style w:type="paragraph" w:styleId="af3">
    <w:name w:val="footnote text"/>
    <w:basedOn w:val="a0"/>
    <w:link w:val="af4"/>
    <w:uiPriority w:val="99"/>
    <w:unhideWhenUsed/>
    <w:qFormat/>
    <w:rsid w:val="00F70DFC"/>
    <w:pPr>
      <w:spacing w:after="0"/>
    </w:pPr>
    <w:rPr>
      <w:rFonts w:eastAsiaTheme="minorHAnsi"/>
      <w:lang w:val="en-US"/>
    </w:rPr>
  </w:style>
  <w:style w:type="paragraph" w:styleId="90">
    <w:name w:val="toc 9"/>
    <w:basedOn w:val="81"/>
    <w:next w:val="a0"/>
    <w:uiPriority w:val="39"/>
    <w:qFormat/>
    <w:rsid w:val="00F70DFC"/>
    <w:pPr>
      <w:ind w:left="1418" w:hanging="1418"/>
    </w:pPr>
  </w:style>
  <w:style w:type="paragraph" w:styleId="af5">
    <w:name w:val="Normal (Web)"/>
    <w:basedOn w:val="a0"/>
    <w:uiPriority w:val="99"/>
    <w:unhideWhenUsed/>
    <w:qFormat/>
    <w:rsid w:val="00F70DFC"/>
    <w:pPr>
      <w:spacing w:beforeAutospacing="1" w:afterAutospacing="1"/>
    </w:pPr>
    <w:rPr>
      <w:sz w:val="24"/>
      <w:szCs w:val="24"/>
      <w:lang w:eastAsia="en-GB"/>
    </w:rPr>
  </w:style>
  <w:style w:type="paragraph" w:styleId="af6">
    <w:name w:val="annotation subject"/>
    <w:basedOn w:val="a8"/>
    <w:next w:val="a8"/>
    <w:link w:val="af7"/>
    <w:qFormat/>
    <w:rsid w:val="00F70DFC"/>
    <w:rPr>
      <w:b/>
      <w:bCs/>
    </w:rPr>
  </w:style>
  <w:style w:type="table" w:styleId="af8">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F70DFC"/>
    <w:rPr>
      <w:color w:val="954F72"/>
      <w:u w:val="single"/>
    </w:rPr>
  </w:style>
  <w:style w:type="character" w:styleId="afa">
    <w:name w:val="Hyperlink"/>
    <w:basedOn w:val="a1"/>
    <w:uiPriority w:val="99"/>
    <w:unhideWhenUsed/>
    <w:qFormat/>
    <w:rsid w:val="00F70DFC"/>
    <w:rPr>
      <w:color w:val="0563C1" w:themeColor="hyperlink"/>
      <w:u w:val="single"/>
    </w:rPr>
  </w:style>
  <w:style w:type="character" w:styleId="afb">
    <w:name w:val="annotation reference"/>
    <w:uiPriority w:val="99"/>
    <w:qFormat/>
    <w:rsid w:val="00F70DFC"/>
    <w:rPr>
      <w:sz w:val="16"/>
      <w:szCs w:val="16"/>
    </w:rPr>
  </w:style>
  <w:style w:type="character" w:styleId="afc">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af1">
    <w:name w:val="页眉 字符"/>
    <w:link w:val="af0"/>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0">
    <w:name w:val="标题 8 字符"/>
    <w:link w:val="8"/>
    <w:qFormat/>
    <w:rsid w:val="00F70DFC"/>
    <w:rPr>
      <w:rFonts w:ascii="Arial" w:hAnsi="Arial"/>
      <w:sz w:val="36"/>
      <w:lang w:val="en-GB" w:eastAsia="en-US"/>
    </w:rPr>
  </w:style>
  <w:style w:type="character" w:customStyle="1" w:styleId="31">
    <w:name w:val="标题 3 字符"/>
    <w:link w:val="30"/>
    <w:qFormat/>
    <w:rsid w:val="00F70DFC"/>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F70DFC"/>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fd"/>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70DFC"/>
    <w:rPr>
      <w:lang w:val="en-GB" w:eastAsia="en-US"/>
    </w:rPr>
  </w:style>
  <w:style w:type="character" w:customStyle="1" w:styleId="af7">
    <w:name w:val="批注主题 字符"/>
    <w:link w:val="af6"/>
    <w:qFormat/>
    <w:rsid w:val="00F70DFC"/>
    <w:rPr>
      <w:b/>
      <w:bCs/>
      <w:lang w:val="en-GB" w:eastAsia="en-US"/>
    </w:rPr>
  </w:style>
  <w:style w:type="character" w:customStyle="1" w:styleId="ab">
    <w:name w:val="正文文本 字符"/>
    <w:link w:val="aa"/>
    <w:qFormat/>
    <w:rsid w:val="00F70DFC"/>
    <w:rPr>
      <w:rFonts w:ascii="Arial" w:hAnsi="Arial"/>
      <w:b/>
      <w:sz w:val="18"/>
      <w:lang w:val="en-GB" w:eastAsia="ja-JP"/>
    </w:rPr>
  </w:style>
  <w:style w:type="character" w:customStyle="1" w:styleId="a5">
    <w:name w:val="题注 字符"/>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a"/>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f">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0">
    <w:name w:val="标题 2 字符"/>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a"/>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70DFC"/>
    <w:rPr>
      <w:rFonts w:ascii="宋体" w:eastAsia="宋体"/>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2">
    <w:name w:val="未处理的提及2"/>
    <w:basedOn w:val="a1"/>
    <w:uiPriority w:val="99"/>
    <w:semiHidden/>
    <w:unhideWhenUsed/>
    <w:qFormat/>
    <w:rsid w:val="00F70DFC"/>
    <w:rPr>
      <w:color w:val="605E5C"/>
      <w:shd w:val="clear" w:color="auto" w:fill="E1DFDD"/>
    </w:rPr>
  </w:style>
  <w:style w:type="character" w:customStyle="1" w:styleId="33">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ad">
    <w:name w:val="纯文本 字符"/>
    <w:basedOn w:val="a1"/>
    <w:link w:val="ac"/>
    <w:uiPriority w:val="99"/>
    <w:semiHidden/>
    <w:qFormat/>
    <w:rsid w:val="00F70DF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6DEC463-C8DF-40EC-A5AA-5D909D0F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140</Pages>
  <Words>54594</Words>
  <Characters>311189</Characters>
  <Application>Microsoft Office Word</Application>
  <DocSecurity>0</DocSecurity>
  <Lines>2593</Lines>
  <Paragraphs>730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7</cp:revision>
  <dcterms:created xsi:type="dcterms:W3CDTF">2021-08-26T22:21:00Z</dcterms:created>
  <dcterms:modified xsi:type="dcterms:W3CDTF">2021-08-27T01:37:00Z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