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need for pdcch-ConfigCommon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r>
              <w:rPr>
                <w:rFonts w:eastAsia="Malgun Gothic"/>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TableGrid"/>
        <w:tblW w:w="9856" w:type="dxa"/>
        <w:tblLook w:val="04A0" w:firstRow="1" w:lastRow="0" w:firstColumn="1" w:lastColumn="0" w:noHBand="0" w:noVBand="1"/>
      </w:tblPr>
      <w:tblGrid>
        <w:gridCol w:w="1572"/>
        <w:gridCol w:w="1261"/>
        <w:gridCol w:w="7023"/>
      </w:tblGrid>
      <w:tr w:rsidR="00E75241" w14:paraId="257C6E93" w14:textId="77777777" w:rsidTr="007E45C9">
        <w:tc>
          <w:tcPr>
            <w:tcW w:w="15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0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7E45C9">
        <w:tc>
          <w:tcPr>
            <w:tcW w:w="15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0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C2" w14:textId="77777777" w:rsidTr="007E45C9">
        <w:tc>
          <w:tcPr>
            <w:tcW w:w="15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pagingSearchSpace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ra-SearchSpace</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searchSpaceOtherSystemInformation</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PCell,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(see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non-fall-back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7E45C9">
        <w:tc>
          <w:tcPr>
            <w:tcW w:w="15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7E45C9">
        <w:tc>
          <w:tcPr>
            <w:tcW w:w="15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023" w:type="dxa"/>
          </w:tcPr>
          <w:p w14:paraId="257C6ECA" w14:textId="77777777" w:rsidR="00E75241" w:rsidRPr="00A77291" w:rsidRDefault="003B30A8">
            <w:pPr>
              <w:rPr>
                <w:lang w:val="en-US" w:eastAsia="ko-KR"/>
              </w:rPr>
            </w:pPr>
            <w:r w:rsidRPr="00A77291">
              <w:rPr>
                <w:lang w:val="en-US" w:eastAsia="ko-KR"/>
              </w:rPr>
              <w:t>Thanks FL for the update.</w:t>
            </w:r>
          </w:p>
          <w:p w14:paraId="257C6ECB" w14:textId="77777777" w:rsidR="00E75241" w:rsidRPr="00A77291" w:rsidRDefault="003B30A8">
            <w:pPr>
              <w:rPr>
                <w:lang w:val="en-US" w:eastAsia="ko-KR"/>
              </w:rPr>
            </w:pPr>
            <w:r w:rsidRPr="00A77291">
              <w:rPr>
                <w:lang w:val="en-US" w:eastAsia="ko-KR"/>
              </w:rPr>
              <w:t>First of all,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types,  and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enable  traffic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E75241" w14:paraId="257C6EF2" w14:textId="77777777" w:rsidTr="007E45C9">
        <w:tc>
          <w:tcPr>
            <w:tcW w:w="15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0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7E45C9">
        <w:tc>
          <w:tcPr>
            <w:tcW w:w="15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0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7E45C9">
        <w:tc>
          <w:tcPr>
            <w:tcW w:w="15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0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similar to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7E45C9">
        <w:tc>
          <w:tcPr>
            <w:tcW w:w="15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023" w:type="dxa"/>
          </w:tcPr>
          <w:p w14:paraId="257C6F12" w14:textId="77777777" w:rsidR="00E75241" w:rsidRPr="00A77291" w:rsidRDefault="003B30A8">
            <w:pPr>
              <w:rPr>
                <w:rFonts w:eastAsia="Yu Mincho"/>
                <w:lang w:val="en-US" w:eastAsia="ja-JP"/>
              </w:rPr>
            </w:pPr>
            <w:r w:rsidRPr="00A77291">
              <w:rPr>
                <w:rFonts w:eastAsia="Yu Mincho"/>
                <w:lang w:val="en-US" w:eastAsia="ja-JP"/>
              </w:rPr>
              <w:t>Thanks FL for the package proposal!</w:t>
            </w:r>
          </w:p>
          <w:p w14:paraId="257C6F13" w14:textId="77777777" w:rsidR="00E75241" w:rsidRPr="00A77291" w:rsidRDefault="003B30A8">
            <w:pPr>
              <w:rPr>
                <w:lang w:val="en-US" w:eastAsia="ko-KR"/>
              </w:rPr>
            </w:pPr>
            <w:r w:rsidRPr="00A77291">
              <w:rPr>
                <w:rFonts w:eastAsia="Yu Mincho"/>
                <w:lang w:val="en-US" w:eastAsia="ja-JP"/>
              </w:rPr>
              <w:t>We are fine with the proposal as is for now, i.e. keeping FFS parts which can be resolved in the coming RAN1 meetings.</w:t>
            </w:r>
          </w:p>
        </w:tc>
      </w:tr>
      <w:tr w:rsidR="00E75241" w14:paraId="257C6F1C" w14:textId="77777777" w:rsidTr="007E45C9">
        <w:tc>
          <w:tcPr>
            <w:tcW w:w="15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0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7E45C9">
        <w:tc>
          <w:tcPr>
            <w:tcW w:w="15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0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 ,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there is no SSB within the RedCap-specific initial DL BWP,</w:t>
            </w:r>
            <w:r w:rsidRPr="00A77291">
              <w:rPr>
                <w:rFonts w:eastAsia="Times New Roman"/>
                <w:lang w:val="en-US" w:eastAsia="zh-CN"/>
              </w:rPr>
              <w:t xml:space="preserve">  RedCap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For idle/inactive RedCap UEs in initial DL BWP, NW has no way to inform them  about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r w:rsidRPr="00A77291">
              <w:rPr>
                <w:rFonts w:eastAsia="Times New Roman"/>
                <w:b/>
                <w:bCs/>
                <w:i/>
                <w:iCs/>
                <w:highlight w:val="yellow"/>
                <w:lang w:val="en-US" w:eastAsia="zh-CN"/>
              </w:rPr>
              <w:t>  increased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For the sake of progress, we suggest to discuss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If an initial DL BWP is separately configured by SIB for RedCap UEs, which configurations are necessary to make this BWP capable of supporting all RedCap UEs in all RRC states ?</w:t>
            </w:r>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7E45C9">
        <w:tc>
          <w:tcPr>
            <w:tcW w:w="15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0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i.e.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We believe avoiding UL resource fragmentation is a ‘best effort’ thing. Even with the tool of ‘disabling PUCCH hopping’, the group never put restriction on the other related aspects, e.g.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e.g.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7E45C9">
        <w:tc>
          <w:tcPr>
            <w:tcW w:w="15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0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7E45C9">
        <w:tc>
          <w:tcPr>
            <w:tcW w:w="15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023" w:type="dxa"/>
          </w:tcPr>
          <w:p w14:paraId="257C6F4E" w14:textId="77777777" w:rsidR="00E75241" w:rsidRPr="00A77291" w:rsidRDefault="003B30A8">
            <w:pPr>
              <w:rPr>
                <w:lang w:eastAsia="zh-CN"/>
              </w:rPr>
            </w:pPr>
            <w:r w:rsidRPr="00A77291">
              <w:rPr>
                <w:lang w:eastAsia="zh-CN"/>
              </w:rPr>
              <w:t>We cannot accept the proposals 1~3. gNB should not transmit SSB/CORESET #0/SIB 1 in dedicated iDL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MIB,  as we commented, separated iDL BWP shall not transmit CD-SSB. </w:t>
            </w:r>
          </w:p>
          <w:p w14:paraId="257C6F51" w14:textId="77777777" w:rsidR="00E75241" w:rsidRPr="00A77291" w:rsidRDefault="003B30A8">
            <w:pPr>
              <w:rPr>
                <w:lang w:eastAsia="zh-CN"/>
              </w:rPr>
            </w:pPr>
            <w:r w:rsidRPr="00A77291">
              <w:rPr>
                <w:lang w:eastAsia="zh-CN"/>
              </w:rPr>
              <w:t xml:space="preserve">Proposal 4 is ok. Also fine with vivo’s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7E45C9">
        <w:tc>
          <w:tcPr>
            <w:tcW w:w="15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0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7E45C9">
        <w:tc>
          <w:tcPr>
            <w:tcW w:w="1572" w:type="dxa"/>
          </w:tcPr>
          <w:p w14:paraId="257C6F65" w14:textId="77777777" w:rsidR="00E75241" w:rsidRPr="00A77291" w:rsidRDefault="003B30A8">
            <w:pPr>
              <w:rPr>
                <w:rFonts w:eastAsia="SimSun"/>
                <w:lang w:val="en-US" w:eastAsia="ja-JP"/>
              </w:rPr>
            </w:pPr>
            <w:r w:rsidRPr="00A77291">
              <w:rPr>
                <w:rFonts w:eastAsia="SimSun"/>
                <w:lang w:val="en-US" w:eastAsia="zh-CN"/>
              </w:rPr>
              <w:lastRenderedPageBreak/>
              <w:t>ZTE, Sanechips</w:t>
            </w:r>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0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7E45C9">
        <w:tc>
          <w:tcPr>
            <w:tcW w:w="15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tcPr>
          <w:p w14:paraId="257C6F6B" w14:textId="77777777" w:rsidR="00317BFE" w:rsidRPr="00A77291" w:rsidRDefault="00317BFE" w:rsidP="001D618D">
            <w:pPr>
              <w:tabs>
                <w:tab w:val="left" w:pos="551"/>
              </w:tabs>
              <w:rPr>
                <w:lang w:val="en-US" w:eastAsia="ko-KR"/>
              </w:rPr>
            </w:pPr>
            <w:r w:rsidRPr="00A77291">
              <w:rPr>
                <w:lang w:val="en-US" w:eastAsia="ko-KR"/>
              </w:rPr>
              <w:t>Better but..</w:t>
            </w:r>
          </w:p>
        </w:tc>
        <w:tc>
          <w:tcPr>
            <w:tcW w:w="70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is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matters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Particular because eMBB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(some) Measurement gap (patterns) is a mandatory feature in R15. So eMBB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Assume Measurement gap is still supported as mandatory, there is no issue if a BWP does not contain SSB. Alternatively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7E45C9">
        <w:tc>
          <w:tcPr>
            <w:tcW w:w="15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0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subbullet b, similar with Apple, we are confused bout the statement ”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prevous round, we  think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 xml:space="preserve">For BWP#0, the BWP-DownlinkCommon and BWP-UplinkCommon in ServingCellConfigCommon should match the parameters configured by MIB and SIB1 (if provided) in the corresponding serving cell .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via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264A4F" w:rsidRPr="00EC36E9" w14:paraId="257C6FB0" w14:textId="77777777" w:rsidTr="007E45C9">
        <w:tc>
          <w:tcPr>
            <w:tcW w:w="15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0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r w:rsidRPr="00A77291">
              <w:rPr>
                <w:bCs/>
              </w:rPr>
              <w:t>So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7E45C9">
        <w:tc>
          <w:tcPr>
            <w:tcW w:w="15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0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7E45C9">
        <w:tc>
          <w:tcPr>
            <w:tcW w:w="15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0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7E45C9">
        <w:tc>
          <w:tcPr>
            <w:tcW w:w="15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2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9E4535" w14:paraId="2006E15D" w14:textId="77777777" w:rsidTr="007E45C9">
        <w:tc>
          <w:tcPr>
            <w:tcW w:w="15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284"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expects</w:t>
            </w:r>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B80C2C" w:rsidRPr="00A77291" w14:paraId="16261639" w14:textId="77777777" w:rsidTr="007E45C9">
        <w:tc>
          <w:tcPr>
            <w:tcW w:w="15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0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7E45C9">
        <w:tc>
          <w:tcPr>
            <w:tcW w:w="15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0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ListParagraph"/>
              <w:rPr>
                <w:rFonts w:ascii="Times New Roman" w:hAnsi="Times New Roman" w:cs="Times New Roman"/>
                <w:b/>
                <w:bCs/>
                <w:sz w:val="20"/>
                <w:szCs w:val="20"/>
                <w:lang w:val="en-GB" w:eastAsia="en-US"/>
              </w:rPr>
            </w:pPr>
          </w:p>
          <w:p w14:paraId="6616DC36" w14:textId="77777777" w:rsidR="00330771" w:rsidRDefault="00330771" w:rsidP="001D618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an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BWP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r w:rsidR="00F5577F" w:rsidRPr="009E4535" w14:paraId="5F271785" w14:textId="77777777" w:rsidTr="007E45C9">
        <w:tc>
          <w:tcPr>
            <w:tcW w:w="15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2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c>
      </w:tr>
      <w:tr w:rsidR="001F6878" w:rsidRPr="00A77291" w14:paraId="1C0279CC" w14:textId="77777777" w:rsidTr="007E45C9">
        <w:tc>
          <w:tcPr>
            <w:tcW w:w="15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0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RedCap UE expects SSB transmission in the separate initial DL BWP,  and</w:t>
            </w:r>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the RedCap UE is not mandated to operate on a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whether or not the RedCap UE can operate on a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RedCap UE expects to be configured with an intra-frequency measurement gap, if it can operate on a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Note: According to 38.331 Annex B.2, BWP#0 is considered to be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7E45C9">
        <w:tc>
          <w:tcPr>
            <w:tcW w:w="15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0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w:t>
            </w:r>
            <w:r w:rsidRPr="00187115">
              <w:rPr>
                <w:lang w:val="en-US"/>
              </w:rPr>
              <w:lastRenderedPageBreak/>
              <w:t>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7E45C9">
        <w:tc>
          <w:tcPr>
            <w:tcW w:w="15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0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lastRenderedPageBreak/>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7E45C9">
        <w:tc>
          <w:tcPr>
            <w:tcW w:w="15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023"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ListParagraph"/>
              <w:rPr>
                <w:rFonts w:eastAsia="Malgun Gothic"/>
                <w:lang w:val="en-US" w:eastAsia="ko-KR"/>
              </w:rPr>
            </w:pPr>
          </w:p>
          <w:p w14:paraId="2D9CDAAB" w14:textId="757DA969" w:rsidR="00566FDD" w:rsidRDefault="00566FDD" w:rsidP="00566FDD">
            <w:pPr>
              <w:pStyle w:val="ListParagraph"/>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Proposal could simplified, agreed as working assumption and ask RAN2 for confirmation.</w:t>
            </w:r>
          </w:p>
          <w:p w14:paraId="2CF13480" w14:textId="3C77D11A" w:rsidR="002476D6" w:rsidRDefault="002476D6" w:rsidP="00566FDD">
            <w:pPr>
              <w:pStyle w:val="ListParagraph"/>
              <w:rPr>
                <w:rFonts w:eastAsia="Malgun Gothic"/>
                <w:lang w:val="en-US" w:eastAsia="ko-KR"/>
              </w:rPr>
            </w:pPr>
          </w:p>
          <w:p w14:paraId="5B9DB649" w14:textId="77777777" w:rsidR="002476D6" w:rsidRDefault="002476D6" w:rsidP="00566FDD">
            <w:pPr>
              <w:pStyle w:val="ListParagraph"/>
              <w:rPr>
                <w:rFonts w:eastAsia="Malgun Gothic"/>
                <w:lang w:val="en-US" w:eastAsia="ko-KR"/>
              </w:rPr>
            </w:pPr>
          </w:p>
          <w:p w14:paraId="6A8B3E07" w14:textId="4EA554C1" w:rsidR="00566FDD" w:rsidRPr="004C241C" w:rsidRDefault="002476D6" w:rsidP="00566FDD">
            <w:pPr>
              <w:pStyle w:val="ListParagraph"/>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ListParagraph"/>
              <w:rPr>
                <w:rFonts w:eastAsia="Malgun Gothic"/>
                <w:lang w:val="en-US" w:eastAsia="ko-KR"/>
              </w:rPr>
            </w:pPr>
          </w:p>
          <w:p w14:paraId="1B2B9811" w14:textId="7D5A361B" w:rsidR="002476D6" w:rsidRPr="00601EE2" w:rsidRDefault="002476D6"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sidRPr="002476D6">
              <w:rPr>
                <w:rFonts w:ascii="Times New Roman" w:hAnsi="Times New Roman" w:cs="Times New Roman"/>
                <w:b/>
                <w:bCs/>
                <w:i/>
                <w:iCs/>
                <w:sz w:val="20"/>
                <w:szCs w:val="20"/>
                <w:lang w:val="en-US"/>
              </w:rPr>
              <w:t>ra-SearchSpace</w:t>
            </w:r>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709C4577" w14:textId="6808568D"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 xml:space="preserve">pagingSearchSpace </w:t>
            </w:r>
          </w:p>
          <w:p w14:paraId="7436320B" w14:textId="1EA8285A" w:rsidR="002476D6" w:rsidRDefault="002476D6" w:rsidP="002476D6">
            <w:pPr>
              <w:pStyle w:val="ListParagraph"/>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3CD563C4"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1695BE78" w14:textId="1C7FE448" w:rsidR="004C241C" w:rsidRPr="004C241C" w:rsidRDefault="004C241C" w:rsidP="004C241C">
            <w:pPr>
              <w:ind w:left="1420"/>
              <w:rPr>
                <w:b/>
                <w:bCs/>
                <w:lang w:val="en-US"/>
              </w:rPr>
            </w:pPr>
            <w:r>
              <w:rPr>
                <w:b/>
                <w:bCs/>
                <w:lang w:val="en-US"/>
              </w:rPr>
              <w:t>in separate initial DL BWP, UE expects BWP to include a SSB, otherwise UE may not expect BWP to include a SSB</w:t>
            </w:r>
          </w:p>
          <w:p w14:paraId="1DD2ECA4" w14:textId="77777777" w:rsidR="004C241C" w:rsidRDefault="004C241C" w:rsidP="004C241C">
            <w:pPr>
              <w:pStyle w:val="ListParagraph"/>
              <w:ind w:left="2160"/>
              <w:rPr>
                <w:rFonts w:ascii="Times New Roman" w:hAnsi="Times New Roman" w:cs="Times New Roman"/>
                <w:b/>
                <w:bCs/>
                <w:sz w:val="20"/>
                <w:szCs w:val="20"/>
                <w:lang w:val="en-US"/>
              </w:rPr>
            </w:pPr>
          </w:p>
          <w:p w14:paraId="03DE2B4A" w14:textId="77777777" w:rsidR="004C241C" w:rsidRDefault="004C241C" w:rsidP="002476D6">
            <w:pPr>
              <w:pStyle w:val="ListParagraph"/>
              <w:ind w:left="1440"/>
              <w:rPr>
                <w:rFonts w:ascii="Times New Roman" w:hAnsi="Times New Roman" w:cs="Times New Roman"/>
                <w:b/>
                <w:bCs/>
                <w:sz w:val="20"/>
                <w:szCs w:val="20"/>
                <w:lang w:val="en-US"/>
              </w:rPr>
            </w:pPr>
          </w:p>
          <w:p w14:paraId="5CCCB86A" w14:textId="77777777" w:rsidR="004C241C" w:rsidRDefault="004C241C" w:rsidP="002476D6">
            <w:pPr>
              <w:pStyle w:val="ListParagraph"/>
              <w:ind w:left="1440"/>
              <w:rPr>
                <w:rFonts w:ascii="Times New Roman" w:hAnsi="Times New Roman" w:cs="Times New Roman"/>
                <w:b/>
                <w:bCs/>
                <w:sz w:val="20"/>
                <w:szCs w:val="20"/>
                <w:lang w:val="en-US"/>
              </w:rPr>
            </w:pPr>
          </w:p>
          <w:p w14:paraId="3439F594" w14:textId="39018C93" w:rsidR="004C241C" w:rsidRPr="00CE5AF9" w:rsidRDefault="004C241C" w:rsidP="004C241C">
            <w:pPr>
              <w:pStyle w:val="ListParagrap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ListParagraph"/>
              <w:rPr>
                <w:rFonts w:eastAsia="Malgun Gothic"/>
                <w:lang w:val="en-US" w:eastAsia="ko-KR"/>
              </w:rPr>
            </w:pPr>
          </w:p>
          <w:p w14:paraId="004282AC" w14:textId="7D79C6C3"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ListParagraph"/>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does not will not</w:t>
            </w:r>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ListParagraph"/>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6713FE68"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
          <w:p w14:paraId="0513D2EC"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pagingSearchSpace</w:t>
            </w:r>
          </w:p>
          <w:p w14:paraId="79A15C02" w14:textId="5E763714" w:rsidR="004C241C" w:rsidRPr="00782CF3" w:rsidRDefault="004C241C" w:rsidP="004C241C">
            <w:pPr>
              <w:pStyle w:val="ListParagraph"/>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7E45C9">
        <w:tc>
          <w:tcPr>
            <w:tcW w:w="15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lastRenderedPageBreak/>
              <w:t>FUTUREWEI11</w:t>
            </w:r>
          </w:p>
        </w:tc>
        <w:tc>
          <w:tcPr>
            <w:tcW w:w="1261" w:type="dxa"/>
          </w:tcPr>
          <w:p w14:paraId="09C783CB" w14:textId="77777777" w:rsidR="002476D6" w:rsidRDefault="002476D6" w:rsidP="001D618D">
            <w:pPr>
              <w:tabs>
                <w:tab w:val="left" w:pos="551"/>
              </w:tabs>
              <w:rPr>
                <w:rFonts w:eastAsia="Malgun Gothic"/>
                <w:lang w:val="en-US" w:eastAsia="ko-KR"/>
              </w:rPr>
            </w:pPr>
          </w:p>
        </w:tc>
        <w:tc>
          <w:tcPr>
            <w:tcW w:w="70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r w:rsidR="007E45C9" w:rsidRPr="00187115" w14:paraId="3984A8F2" w14:textId="77777777" w:rsidTr="007E45C9">
        <w:tc>
          <w:tcPr>
            <w:tcW w:w="1572" w:type="dxa"/>
          </w:tcPr>
          <w:p w14:paraId="1389843F" w14:textId="3405F7D4" w:rsidR="007E45C9" w:rsidRPr="00287CA8" w:rsidRDefault="007E45C9" w:rsidP="007E45C9">
            <w:pPr>
              <w:rPr>
                <w:rFonts w:eastAsia="Malgun Gothic"/>
                <w:lang w:val="en-US" w:eastAsia="ko-KR"/>
              </w:rPr>
            </w:pPr>
            <w:r>
              <w:rPr>
                <w:rFonts w:eastAsia="Malgun Gothic"/>
                <w:lang w:val="en-US" w:eastAsia="ko-KR"/>
              </w:rPr>
              <w:t xml:space="preserve">Apple </w:t>
            </w:r>
          </w:p>
        </w:tc>
        <w:tc>
          <w:tcPr>
            <w:tcW w:w="1261" w:type="dxa"/>
          </w:tcPr>
          <w:p w14:paraId="1DA31388" w14:textId="77777777" w:rsidR="007E45C9" w:rsidRDefault="007E45C9" w:rsidP="007E45C9">
            <w:pPr>
              <w:tabs>
                <w:tab w:val="left" w:pos="551"/>
              </w:tabs>
              <w:rPr>
                <w:rFonts w:eastAsia="Malgun Gothic"/>
                <w:lang w:val="en-US" w:eastAsia="ko-KR"/>
              </w:rPr>
            </w:pPr>
          </w:p>
        </w:tc>
        <w:tc>
          <w:tcPr>
            <w:tcW w:w="7023" w:type="dxa"/>
          </w:tcPr>
          <w:p w14:paraId="6401555B" w14:textId="77777777" w:rsidR="007E45C9" w:rsidRDefault="007E45C9" w:rsidP="007E45C9">
            <w:pPr>
              <w:rPr>
                <w:rFonts w:eastAsia="Malgun Gothic"/>
                <w:lang w:val="en-US" w:eastAsia="ko-KR"/>
              </w:rPr>
            </w:pPr>
            <w:r>
              <w:rPr>
                <w:rFonts w:eastAsia="Malgun Gothic"/>
                <w:lang w:val="en-US" w:eastAsia="ko-KR"/>
              </w:rPr>
              <w:t xml:space="preserve">First, we prefer to delete ‘will’ as it is even more less frequently used in specification. I searched TS 38.213 and TS 38.214, ‘will expect’ is not used at all. We should use ‘will’ selectively for the case that network is not mandated to transmit SSB, for example case 1b.  </w:t>
            </w:r>
          </w:p>
          <w:p w14:paraId="22347FFE" w14:textId="77777777" w:rsidR="007E45C9" w:rsidRDefault="007E45C9" w:rsidP="007E45C9">
            <w:pPr>
              <w:rPr>
                <w:rFonts w:eastAsia="Malgun Gothic"/>
                <w:lang w:val="en-US" w:eastAsia="ko-KR"/>
              </w:rPr>
            </w:pPr>
            <w:r>
              <w:rPr>
                <w:rFonts w:eastAsia="Malgun Gothic"/>
                <w:lang w:val="en-US" w:eastAsia="ko-KR"/>
              </w:rPr>
              <w:t>1) On ‘random access in idle/active’ and ‘paging access in idle/active’, we can compromise to transmit SSB for initial DL BWP used by paging at least and SSB is not transmitted for random access only initial DL BWP. However, the requestion remain how to define ‘</w:t>
            </w:r>
            <w:r w:rsidRPr="004F1F6E">
              <w:rPr>
                <w:rFonts w:eastAsia="Malgun Gothic"/>
                <w:lang w:val="en-US" w:eastAsia="ko-KR"/>
              </w:rPr>
              <w:t>separate initial DL BWP</w:t>
            </w:r>
            <w:r>
              <w:rPr>
                <w:rFonts w:eastAsia="Malgun Gothic"/>
                <w:lang w:val="en-US" w:eastAsia="ko-KR"/>
              </w:rPr>
              <w:t xml:space="preserve">’ for paging or random access only is unclear for us. One way we can consider is to limit only Type1 CSS and search space for Msg4 for random access only initial DL BWP without any USS. </w:t>
            </w:r>
          </w:p>
          <w:p w14:paraId="531EF762" w14:textId="77777777" w:rsidR="007E45C9" w:rsidRDefault="007E45C9" w:rsidP="007E45C9">
            <w:pPr>
              <w:rPr>
                <w:rFonts w:eastAsia="Malgun Gothic"/>
                <w:lang w:val="en-US" w:eastAsia="ko-KR"/>
              </w:rPr>
            </w:pPr>
            <w:r>
              <w:rPr>
                <w:rFonts w:eastAsia="Malgun Gothic"/>
                <w:lang w:val="en-US" w:eastAsia="ko-KR"/>
              </w:rPr>
              <w:t xml:space="preserve">2) On RRC-connected Mode, the general principle is that RF retuning should be minimized, if impossible to avoid completely. </w:t>
            </w:r>
          </w:p>
          <w:p w14:paraId="660548B6" w14:textId="77777777" w:rsidR="007E45C9" w:rsidRDefault="007E45C9" w:rsidP="007E45C9">
            <w:pPr>
              <w:rPr>
                <w:rFonts w:eastAsia="Malgun Gothic"/>
                <w:lang w:val="en-US" w:eastAsia="ko-KR"/>
              </w:rPr>
            </w:pPr>
            <w:r w:rsidRPr="001A1078">
              <w:rPr>
                <w:rFonts w:eastAsia="Malgun Gothic"/>
                <w:lang w:val="en-US" w:eastAsia="ko-KR"/>
              </w:rPr>
              <w:t xml:space="preserve">We delete ‘when it is used in connected mode’. The reason is that in some cases, whether/when the BWP#0 is used by UE can be unknown by gNB e.g., for T/F tracking and RRM measurement. As consequence, the SSB presence or not should be known by UE regardless UE uses it or not.   </w:t>
            </w:r>
          </w:p>
          <w:p w14:paraId="73C34D59" w14:textId="77777777" w:rsidR="007E45C9" w:rsidRPr="001A1078" w:rsidRDefault="007E45C9" w:rsidP="007E45C9">
            <w:pPr>
              <w:rPr>
                <w:rFonts w:eastAsia="Malgun Gothic"/>
                <w:lang w:val="en-US" w:eastAsia="ko-KR"/>
              </w:rPr>
            </w:pPr>
            <w:r>
              <w:rPr>
                <w:rFonts w:eastAsia="Malgun Gothic"/>
                <w:lang w:val="en-US" w:eastAsia="ko-KR"/>
              </w:rPr>
              <w:t xml:space="preserve">We copied the last proposal from Nordic on UE behavior for SIB/Paging operation. This should be acceptable as it is legacy behavior. </w:t>
            </w:r>
          </w:p>
          <w:p w14:paraId="267B4A5E" w14:textId="77777777" w:rsidR="007E45C9" w:rsidRDefault="007E45C9" w:rsidP="007E45C9">
            <w:pPr>
              <w:rPr>
                <w:rFonts w:eastAsia="Malgun Gothic"/>
                <w:lang w:val="en-US" w:eastAsia="ko-KR"/>
              </w:rPr>
            </w:pPr>
          </w:p>
          <w:p w14:paraId="62E0B583" w14:textId="77777777" w:rsidR="007E45C9" w:rsidRDefault="007E45C9" w:rsidP="007E45C9">
            <w:pPr>
              <w:rPr>
                <w:rFonts w:eastAsia="Malgun Gothic"/>
                <w:lang w:val="en-US" w:eastAsia="ko-KR"/>
              </w:rPr>
            </w:pPr>
            <w:r>
              <w:rPr>
                <w:rFonts w:eastAsia="Malgun Gothic"/>
                <w:lang w:val="en-US" w:eastAsia="ko-KR"/>
              </w:rPr>
              <w:t xml:space="preserve">The following package is preferred by us (highlighted four changes with </w:t>
            </w:r>
            <w:r w:rsidRPr="00313ADE">
              <w:rPr>
                <w:rFonts w:eastAsia="Malgun Gothic"/>
                <w:highlight w:val="cyan"/>
                <w:lang w:val="en-US" w:eastAsia="ko-KR"/>
              </w:rPr>
              <w:t>cyan</w:t>
            </w:r>
            <w:r>
              <w:rPr>
                <w:rFonts w:eastAsia="Malgun Gothic"/>
                <w:lang w:val="en-US" w:eastAsia="ko-KR"/>
              </w:rPr>
              <w:t xml:space="preserve">): </w:t>
            </w:r>
          </w:p>
          <w:p w14:paraId="61A059B9" w14:textId="77777777" w:rsidR="007E45C9" w:rsidRPr="00A77291" w:rsidRDefault="007E45C9" w:rsidP="007E45C9">
            <w:pPr>
              <w:rPr>
                <w:b/>
                <w:bCs/>
              </w:rPr>
            </w:pPr>
            <w:r w:rsidRPr="00A77291">
              <w:rPr>
                <w:b/>
                <w:bCs/>
                <w:highlight w:val="yellow"/>
              </w:rPr>
              <w:t>High Priority Proposal 2.2-6</w:t>
            </w:r>
            <w:r>
              <w:rPr>
                <w:b/>
                <w:bCs/>
                <w:highlight w:val="yellow"/>
              </w:rPr>
              <w:t>n</w:t>
            </w:r>
            <w:r w:rsidRPr="00A77291">
              <w:rPr>
                <w:b/>
                <w:bCs/>
              </w:rPr>
              <w:t>:</w:t>
            </w:r>
          </w:p>
          <w:p w14:paraId="5F9F0711"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2DEF07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6DBCD90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00DED7DC"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00BBF35"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DB31524"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From RAN1 perspective, if a separate initial DL BWP for RedCap UEs is configured in FR1, it can be configured for paging, including CORESET/CSS for paging.</w:t>
            </w:r>
          </w:p>
          <w:p w14:paraId="3A3EF6F5"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313ADE">
              <w:rPr>
                <w:rFonts w:ascii="Times New Roman" w:hAnsi="Times New Roman" w:cs="Times New Roman"/>
                <w:b/>
                <w:bCs/>
                <w:color w:val="FF0000"/>
                <w:sz w:val="20"/>
                <w:szCs w:val="20"/>
                <w:highlight w:val="cyan"/>
                <w:lang w:val="en-US"/>
              </w:rPr>
              <w:t>expects</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may expect</w:t>
            </w:r>
            <w:r w:rsidRPr="00313ADE">
              <w:rPr>
                <w:rFonts w:ascii="Times New Roman" w:hAnsi="Times New Roman" w:cs="Times New Roman"/>
                <w:b/>
                <w:bCs/>
                <w:strike/>
                <w:sz w:val="20"/>
                <w:szCs w:val="20"/>
                <w:lang w:val="en-US"/>
              </w:rPr>
              <w:t xml:space="preserve"> / </w:t>
            </w:r>
            <w:r w:rsidRPr="00313ADE">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t>
            </w:r>
            <w:r w:rsidRPr="00313ADE">
              <w:rPr>
                <w:rFonts w:ascii="Times New Roman" w:hAnsi="Times New Roman" w:cs="Times New Roman"/>
                <w:b/>
                <w:bCs/>
                <w:strike/>
                <w:color w:val="FF0000"/>
                <w:sz w:val="20"/>
                <w:szCs w:val="20"/>
                <w:lang w:val="en-US"/>
              </w:rPr>
              <w:t>will not expect</w:t>
            </w:r>
            <w:r w:rsidRPr="00CE5AF9">
              <w:rPr>
                <w:rFonts w:ascii="Times New Roman" w:hAnsi="Times New Roman" w:cs="Times New Roman"/>
                <w:b/>
                <w:bCs/>
                <w:sz w:val="20"/>
                <w:szCs w:val="20"/>
                <w:lang w:val="en-US"/>
              </w:rPr>
              <w:t>] SSB transmission in the separate initial DL BWP.</w:t>
            </w:r>
          </w:p>
          <w:p w14:paraId="1C94DF69" w14:textId="77777777" w:rsidR="007E45C9" w:rsidRPr="00313ADE" w:rsidRDefault="007E45C9" w:rsidP="007E45C9">
            <w:pPr>
              <w:pStyle w:val="ListParagraph"/>
              <w:numPr>
                <w:ilvl w:val="2"/>
                <w:numId w:val="144"/>
              </w:numPr>
              <w:rPr>
                <w:rFonts w:ascii="Times New Roman" w:hAnsi="Times New Roman" w:cs="Times New Roman"/>
                <w:b/>
                <w:bCs/>
                <w:strike/>
                <w:sz w:val="20"/>
                <w:szCs w:val="20"/>
                <w:highlight w:val="cyan"/>
                <w:lang w:val="en-US"/>
              </w:rPr>
            </w:pPr>
            <w:r w:rsidRPr="00313ADE">
              <w:rPr>
                <w:rFonts w:ascii="Times New Roman" w:hAnsi="Times New Roman" w:cs="Times New Roman"/>
                <w:b/>
                <w:bCs/>
                <w:strike/>
                <w:color w:val="FF0000"/>
                <w:sz w:val="20"/>
                <w:szCs w:val="20"/>
                <w:highlight w:val="cyan"/>
                <w:lang w:val="en-US"/>
              </w:rPr>
              <w:t xml:space="preserve">FFS: </w:t>
            </w:r>
            <w:r w:rsidRPr="00313ADE">
              <w:rPr>
                <w:rFonts w:ascii="Times New Roman" w:hAnsi="Times New Roman" w:cs="Times New Roman"/>
                <w:b/>
                <w:bCs/>
                <w:strike/>
                <w:sz w:val="20"/>
                <w:szCs w:val="20"/>
                <w:highlight w:val="cyan"/>
                <w:lang w:val="en-US"/>
              </w:rPr>
              <w:t xml:space="preserve">Note: The network may </w:t>
            </w:r>
            <w:r w:rsidRPr="00313ADE">
              <w:rPr>
                <w:rFonts w:ascii="Times New Roman" w:hAnsi="Times New Roman" w:cs="Times New Roman"/>
                <w:b/>
                <w:bCs/>
                <w:strike/>
                <w:color w:val="FF0000"/>
                <w:sz w:val="20"/>
                <w:szCs w:val="20"/>
                <w:highlight w:val="cyan"/>
                <w:lang w:val="en-US"/>
              </w:rPr>
              <w:t>or may not</w:t>
            </w:r>
            <w:r w:rsidRPr="00313ADE">
              <w:rPr>
                <w:rFonts w:ascii="Times New Roman" w:hAnsi="Times New Roman" w:cs="Times New Roman"/>
                <w:b/>
                <w:bCs/>
                <w:strike/>
                <w:sz w:val="20"/>
                <w:szCs w:val="20"/>
                <w:highlight w:val="cyan"/>
                <w:lang w:val="en-US"/>
              </w:rPr>
              <w:t xml:space="preserve"> configure SSB in this case.</w:t>
            </w:r>
          </w:p>
          <w:p w14:paraId="164B80C9"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99856FD"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it to contain MIB-configured CORESET#0 or SIB1.</w:t>
            </w:r>
          </w:p>
          <w:p w14:paraId="144E1C0D"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1396E708"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1F29DC40" w14:textId="77777777" w:rsidR="007E45C9" w:rsidRPr="00CE5AF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23F33B86" w14:textId="77777777" w:rsidR="007E45C9" w:rsidRPr="00CE5AF9" w:rsidRDefault="007E45C9" w:rsidP="007E45C9">
            <w:pPr>
              <w:pStyle w:val="ListParagraph"/>
              <w:numPr>
                <w:ilvl w:val="0"/>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453F46F7" w14:textId="77777777" w:rsidR="007E45C9" w:rsidRPr="00CE5AF9"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RRC-configured active DL BWP depends on its UE capabilities </w:t>
            </w:r>
            <w:r w:rsidRPr="00313ADE">
              <w:rPr>
                <w:rFonts w:ascii="Times New Roman" w:hAnsi="Times New Roman" w:cs="Times New Roman"/>
                <w:b/>
                <w:bCs/>
                <w:strike/>
                <w:sz w:val="20"/>
                <w:szCs w:val="20"/>
                <w:highlight w:val="cyan"/>
                <w:lang w:val="en-US"/>
              </w:rPr>
              <w:t>(e.g., whether it supports FG 6-1a or only FG 6-1)</w:t>
            </w:r>
            <w:r w:rsidRPr="00CE5AF9">
              <w:rPr>
                <w:rFonts w:ascii="Times New Roman" w:hAnsi="Times New Roman" w:cs="Times New Roman"/>
                <w:b/>
                <w:bCs/>
                <w:sz w:val="20"/>
                <w:szCs w:val="20"/>
                <w:lang w:val="en-US"/>
              </w:rPr>
              <w:t>.</w:t>
            </w:r>
          </w:p>
          <w:p w14:paraId="27924FE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1A1078">
              <w:rPr>
                <w:rFonts w:ascii="Times New Roman" w:hAnsi="Times New Roman" w:cs="Times New Roman"/>
                <w:b/>
                <w:bCs/>
                <w:strike/>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w:t>
            </w:r>
            <w:r w:rsidRPr="001A1078">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310AA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15EAA2B" w14:textId="77777777" w:rsidR="007E45C9" w:rsidRDefault="007E45C9" w:rsidP="007E45C9">
            <w:pPr>
              <w:pStyle w:val="ListParagraph"/>
              <w:numPr>
                <w:ilvl w:val="2"/>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will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7B2F136" w14:textId="77777777" w:rsidR="007E45C9" w:rsidRPr="009331DE" w:rsidRDefault="007E45C9" w:rsidP="007E45C9">
            <w:pPr>
              <w:pStyle w:val="ListParagraph"/>
              <w:numPr>
                <w:ilvl w:val="3"/>
                <w:numId w:val="144"/>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36DC8A4C" w14:textId="77777777" w:rsidR="007E45C9" w:rsidRPr="001A1078" w:rsidRDefault="007E45C9" w:rsidP="007E45C9">
            <w:pPr>
              <w:pStyle w:val="ListParagraph"/>
              <w:numPr>
                <w:ilvl w:val="1"/>
                <w:numId w:val="144"/>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FFS: For BWP#0 configuration option 1, whether the UE can expect SSB transmission in the separate initial DL BWP </w:t>
            </w:r>
            <w:r w:rsidRPr="001A1078">
              <w:rPr>
                <w:rFonts w:ascii="Times New Roman" w:hAnsi="Times New Roman" w:cs="Times New Roman"/>
                <w:b/>
                <w:bCs/>
                <w:strike/>
                <w:sz w:val="20"/>
                <w:szCs w:val="20"/>
                <w:highlight w:val="cyan"/>
                <w:lang w:val="en-US"/>
              </w:rPr>
              <w:t>when it is used in connected mode</w:t>
            </w:r>
          </w:p>
          <w:p w14:paraId="45B24BBE" w14:textId="77777777" w:rsidR="007E45C9" w:rsidRPr="001A1078" w:rsidRDefault="007E45C9" w:rsidP="007E45C9">
            <w:pPr>
              <w:pStyle w:val="ListParagraph"/>
              <w:ind w:left="1440"/>
              <w:rPr>
                <w:rFonts w:ascii="Times New Roman" w:hAnsi="Times New Roman" w:cs="Times New Roman"/>
                <w:b/>
                <w:bCs/>
                <w:sz w:val="20"/>
                <w:szCs w:val="20"/>
                <w:lang w:val="en-US"/>
              </w:rPr>
            </w:pPr>
          </w:p>
          <w:p w14:paraId="64109276" w14:textId="77777777" w:rsidR="007E45C9" w:rsidRPr="001A1078" w:rsidRDefault="007E45C9" w:rsidP="007E45C9">
            <w:pPr>
              <w:pStyle w:val="ListParagraph"/>
              <w:numPr>
                <w:ilvl w:val="1"/>
                <w:numId w:val="144"/>
              </w:numPr>
              <w:rPr>
                <w:rFonts w:ascii="Times New Roman" w:hAnsi="Times New Roman" w:cs="Times New Roman"/>
                <w:b/>
                <w:bCs/>
                <w:sz w:val="20"/>
                <w:szCs w:val="20"/>
                <w:highlight w:val="cyan"/>
                <w:lang w:val="en-US"/>
              </w:rPr>
            </w:pPr>
            <w:r w:rsidRPr="001A1078">
              <w:rPr>
                <w:b/>
                <w:bCs/>
                <w:highlight w:val="cyan"/>
                <w:lang w:val="en-US"/>
              </w:rPr>
              <w:t xml:space="preserve">If UE is not configured with </w:t>
            </w:r>
          </w:p>
          <w:p w14:paraId="6ACF9BE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searchSpaceOtherSystemInformation</w:t>
            </w:r>
          </w:p>
          <w:p w14:paraId="399D8B85"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searchSpaceSIB1</w:t>
            </w:r>
          </w:p>
          <w:p w14:paraId="6BFE3E9C" w14:textId="77777777" w:rsidR="007E45C9" w:rsidRPr="001A1078" w:rsidRDefault="007E45C9" w:rsidP="007E45C9">
            <w:pPr>
              <w:pStyle w:val="ListParagraph"/>
              <w:numPr>
                <w:ilvl w:val="1"/>
                <w:numId w:val="144"/>
              </w:numPr>
              <w:ind w:left="1932"/>
              <w:rPr>
                <w:rFonts w:ascii="Times New Roman" w:hAnsi="Times New Roman" w:cs="Times New Roman"/>
                <w:b/>
                <w:bCs/>
                <w:sz w:val="20"/>
                <w:szCs w:val="20"/>
                <w:highlight w:val="cyan"/>
                <w:lang w:val="en-US"/>
              </w:rPr>
            </w:pPr>
            <w:r w:rsidRPr="001A1078">
              <w:rPr>
                <w:rFonts w:ascii="Times New Roman" w:hAnsi="Times New Roman" w:cs="Times New Roman"/>
                <w:b/>
                <w:bCs/>
                <w:i/>
                <w:iCs/>
                <w:sz w:val="20"/>
                <w:szCs w:val="20"/>
                <w:highlight w:val="cyan"/>
                <w:lang w:val="en-US"/>
              </w:rPr>
              <w:t>pagingSearchSpace</w:t>
            </w:r>
          </w:p>
          <w:p w14:paraId="13B4E9F3" w14:textId="77777777" w:rsidR="007E45C9" w:rsidRPr="00782CF3" w:rsidRDefault="007E45C9" w:rsidP="007E45C9">
            <w:pPr>
              <w:pStyle w:val="ListParagraph"/>
              <w:ind w:left="1988"/>
              <w:rPr>
                <w:rFonts w:ascii="Times New Roman" w:hAnsi="Times New Roman" w:cs="Times New Roman"/>
                <w:b/>
                <w:bCs/>
                <w:color w:val="FF0000"/>
                <w:sz w:val="20"/>
                <w:szCs w:val="20"/>
                <w:lang w:val="en-US"/>
              </w:rPr>
            </w:pPr>
            <w:r w:rsidRPr="001A1078">
              <w:rPr>
                <w:rFonts w:ascii="Times New Roman" w:hAnsi="Times New Roman" w:cs="Times New Roman"/>
                <w:b/>
                <w:bCs/>
                <w:color w:val="FF0000"/>
                <w:sz w:val="20"/>
                <w:szCs w:val="20"/>
                <w:highlight w:val="cyan"/>
                <w:lang w:val="en-US"/>
              </w:rPr>
              <w:t>UE does not monitor OSI, SIB1 and Paging, respectively in the active BWP</w:t>
            </w:r>
          </w:p>
          <w:p w14:paraId="1E7FCBBF" w14:textId="77777777" w:rsidR="007E45C9" w:rsidRPr="001A1078" w:rsidRDefault="007E45C9" w:rsidP="007E45C9">
            <w:pPr>
              <w:rPr>
                <w:b/>
                <w:bCs/>
                <w:lang w:val="en-US"/>
              </w:rPr>
            </w:pPr>
          </w:p>
          <w:p w14:paraId="143111CD" w14:textId="27B82845" w:rsidR="007E45C9" w:rsidRPr="00287CA8" w:rsidRDefault="007E45C9" w:rsidP="007E45C9">
            <w:pPr>
              <w:rPr>
                <w:rFonts w:eastAsia="Malgun Gothic"/>
                <w:lang w:val="en-US" w:eastAsia="ko-KR"/>
              </w:rPr>
            </w:pPr>
            <w:r w:rsidRPr="00CE5AF9">
              <w:rPr>
                <w:b/>
                <w:bCs/>
                <w:lang w:val="en-US"/>
              </w:rPr>
              <w:t>Note: According to 38.331 Annex B.2, BWP#0 is considered to be an RRC-configured BWP in BWP#0 configuration option 2 but not in BWP#0 configuration option 1.</w:t>
            </w: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lastRenderedPageBreak/>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lastRenderedPageBreak/>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lastRenderedPageBreak/>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lastRenderedPageBreak/>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lastRenderedPageBreak/>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lastRenderedPageBreak/>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w:t>
            </w:r>
            <w:r>
              <w:lastRenderedPageBreak/>
              <w:t>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lastRenderedPageBreak/>
              <w:t>Huawei, HiSilicon</w:t>
            </w:r>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FFS whether or not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lastRenderedPageBreak/>
              <w:t>Huawei, HiSilicon</w:t>
            </w:r>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 xml:space="preserve">If separate initial DL BWP is not configured, RedCap UEs will use MIB-configured initial DL BWP (CORESET#0), which can be different than SIB-configured DL BWP for non-RedCap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rPr>
              <w:lastRenderedPageBreak/>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would depend </w:t>
            </w:r>
            <w:r>
              <w:rPr>
                <w:rFonts w:eastAsiaTheme="minorEastAsia"/>
                <w:lang w:eastAsia="zh-CN"/>
              </w:rPr>
              <w:t>on the other discussion (Proposal 2.2-6n)</w:t>
            </w:r>
            <w:r w:rsidR="00E104B1">
              <w:rPr>
                <w:rFonts w:eastAsiaTheme="minorEastAsia"/>
                <w:lang w:eastAsia="zh-CN"/>
              </w:rPr>
              <w:t xml:space="preserve">. In particular, we have concerns to agree to this if </w:t>
            </w:r>
            <w:r w:rsidR="00FC4711">
              <w:rPr>
                <w:rFonts w:eastAsiaTheme="minorEastAsia"/>
                <w:lang w:eastAsia="zh-CN"/>
              </w:rPr>
              <w:t>all (most) common control and SSB are mandated to to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r w:rsidR="00287CA8" w14:paraId="65B6E8B3" w14:textId="77777777" w:rsidTr="00E6015A">
        <w:tc>
          <w:tcPr>
            <w:tcW w:w="1472" w:type="dxa"/>
          </w:tcPr>
          <w:p w14:paraId="02375A36" w14:textId="77777777" w:rsidR="00287CA8" w:rsidRDefault="00287CA8" w:rsidP="001D618D">
            <w:pPr>
              <w:rPr>
                <w:rFonts w:eastAsiaTheme="minorEastAsia"/>
                <w:lang w:eastAsia="zh-CN"/>
              </w:rPr>
            </w:pPr>
          </w:p>
        </w:tc>
        <w:tc>
          <w:tcPr>
            <w:tcW w:w="916" w:type="dxa"/>
          </w:tcPr>
          <w:p w14:paraId="208C72D4" w14:textId="77777777" w:rsidR="00287CA8" w:rsidRDefault="00287CA8" w:rsidP="001D618D">
            <w:pPr>
              <w:tabs>
                <w:tab w:val="left" w:pos="551"/>
              </w:tabs>
              <w:rPr>
                <w:rFonts w:eastAsiaTheme="minorEastAsia"/>
                <w:lang w:val="en-US" w:eastAsia="zh-CN"/>
              </w:rPr>
            </w:pPr>
          </w:p>
        </w:tc>
        <w:tc>
          <w:tcPr>
            <w:tcW w:w="7776" w:type="dxa"/>
          </w:tcPr>
          <w:p w14:paraId="471E051C" w14:textId="77896CB0" w:rsidR="00287CA8" w:rsidRDefault="00287CA8" w:rsidP="001D618D">
            <w:pPr>
              <w:rPr>
                <w:rFonts w:eastAsiaTheme="minorEastAsia"/>
                <w:lang w:eastAsia="zh-CN"/>
              </w:rPr>
            </w:pPr>
            <w:r>
              <w:rPr>
                <w:rFonts w:eastAsiaTheme="minorEastAsia"/>
                <w:lang w:eastAsia="zh-CN"/>
              </w:rPr>
              <w:t>(comment from FUTUREWEI) – we think the “Y” above is from Nordic</w:t>
            </w:r>
          </w:p>
        </w:tc>
      </w:tr>
      <w:tr w:rsidR="00287CA8" w14:paraId="32DA6FFE" w14:textId="77777777" w:rsidTr="00E6015A">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 xml:space="preserve">The modification by Ericsson clarifies the initial DL BWP. 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 xml:space="preserve">However, given the Ericsson’s comments 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 for the understanding for the separate initial DL BWP, we can come back to this proposal.</w:t>
            </w:r>
          </w:p>
        </w:tc>
      </w:tr>
      <w:tr w:rsidR="007E45C9" w14:paraId="6A75044D" w14:textId="77777777" w:rsidTr="00E6015A">
        <w:tc>
          <w:tcPr>
            <w:tcW w:w="1472" w:type="dxa"/>
          </w:tcPr>
          <w:p w14:paraId="1E9117BC" w14:textId="5EC77A46" w:rsidR="007E45C9" w:rsidRDefault="007E45C9" w:rsidP="007E45C9">
            <w:pPr>
              <w:rPr>
                <w:rFonts w:eastAsiaTheme="minorEastAsia"/>
                <w:lang w:eastAsia="zh-CN"/>
              </w:rPr>
            </w:pPr>
            <w:r>
              <w:rPr>
                <w:rFonts w:eastAsiaTheme="minorEastAsia"/>
                <w:lang w:eastAsia="zh-CN"/>
              </w:rPr>
              <w:t xml:space="preserve">Apple </w:t>
            </w:r>
          </w:p>
        </w:tc>
        <w:tc>
          <w:tcPr>
            <w:tcW w:w="916" w:type="dxa"/>
          </w:tcPr>
          <w:p w14:paraId="3F485A51" w14:textId="25AAB3D6" w:rsidR="007E45C9" w:rsidRDefault="007E45C9" w:rsidP="007E45C9">
            <w:pPr>
              <w:tabs>
                <w:tab w:val="left" w:pos="551"/>
              </w:tabs>
              <w:rPr>
                <w:rFonts w:eastAsiaTheme="minorEastAsia"/>
                <w:lang w:val="en-US" w:eastAsia="zh-CN"/>
              </w:rPr>
            </w:pPr>
            <w:r>
              <w:rPr>
                <w:rFonts w:eastAsiaTheme="minorEastAsia"/>
                <w:lang w:val="en-US" w:eastAsia="zh-CN"/>
              </w:rPr>
              <w:t>Y</w:t>
            </w:r>
          </w:p>
        </w:tc>
        <w:tc>
          <w:tcPr>
            <w:tcW w:w="7776" w:type="dxa"/>
          </w:tcPr>
          <w:p w14:paraId="55BDB928" w14:textId="20C1DB81" w:rsidR="007E45C9" w:rsidRDefault="007E45C9" w:rsidP="007E45C9">
            <w:pPr>
              <w:rPr>
                <w:rFonts w:eastAsiaTheme="minorEastAsia"/>
                <w:lang w:eastAsia="zh-CN"/>
              </w:rPr>
            </w:pPr>
            <w:r>
              <w:rPr>
                <w:rFonts w:eastAsiaTheme="minorEastAsia"/>
                <w:lang w:eastAsia="zh-CN"/>
              </w:rPr>
              <w:t xml:space="preserve">In our view, DL/UL central frequencies alignment is very basic/fundamental component to operate TDD system. We do not see any reason to break this rule, especially for a reduced capability UE, instead of advanced UE. </w:t>
            </w: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lastRenderedPageBreak/>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257C733F" w14:textId="77777777" w:rsidR="00E75241" w:rsidRDefault="003B30A8">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ZTE, 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lastRenderedPageBreak/>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lastRenderedPageBreak/>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r w:rsidR="004C2251">
              <w:fldChar w:fldCharType="begin"/>
            </w:r>
            <w:r w:rsidR="004C2251">
              <w:instrText xml:space="preserve"> SEQ Table \* ARABIC </w:instrText>
            </w:r>
            <w:r w:rsidR="004C2251">
              <w:fldChar w:fldCharType="separate"/>
            </w:r>
            <w:r>
              <w:t>3</w:t>
            </w:r>
            <w:r w:rsidR="004C2251">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lastRenderedPageBreak/>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lastRenderedPageBreak/>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lastRenderedPageBreak/>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4C2251">
            <w:pPr>
              <w:rPr>
                <w:color w:val="0000FF"/>
                <w:u w:val="single"/>
                <w:lang w:val="en-US"/>
              </w:rPr>
            </w:pPr>
            <w:hyperlink r:id="rId24"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4C2251">
            <w:pPr>
              <w:rPr>
                <w:color w:val="0000FF"/>
                <w:u w:val="single"/>
                <w:lang w:val="en-US"/>
              </w:rPr>
            </w:pPr>
            <w:hyperlink r:id="rId25"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4C2251">
            <w:pPr>
              <w:rPr>
                <w:color w:val="0000FF"/>
                <w:u w:val="single"/>
                <w:lang w:val="en-US"/>
              </w:rPr>
            </w:pPr>
            <w:hyperlink r:id="rId26"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4C2251">
            <w:pPr>
              <w:rPr>
                <w:color w:val="0000FF"/>
                <w:u w:val="single"/>
                <w:lang w:val="en-US"/>
              </w:rPr>
            </w:pPr>
            <w:hyperlink r:id="rId27"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4C2251">
            <w:pPr>
              <w:rPr>
                <w:color w:val="0000FF"/>
                <w:u w:val="single"/>
                <w:lang w:val="en-US"/>
              </w:rPr>
            </w:pPr>
            <w:hyperlink r:id="rId28"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4C2251">
            <w:pPr>
              <w:rPr>
                <w:color w:val="0000FF"/>
                <w:u w:val="single"/>
                <w:lang w:val="en-US"/>
              </w:rPr>
            </w:pPr>
            <w:hyperlink r:id="rId29"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4C2251">
            <w:pPr>
              <w:rPr>
                <w:color w:val="0000FF"/>
                <w:u w:val="single"/>
                <w:lang w:val="en-US"/>
              </w:rPr>
            </w:pPr>
            <w:hyperlink r:id="rId30"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4C2251">
            <w:pPr>
              <w:rPr>
                <w:color w:val="0000FF"/>
                <w:u w:val="single"/>
                <w:lang w:val="en-US"/>
              </w:rPr>
            </w:pPr>
            <w:hyperlink r:id="rId31"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4C2251">
            <w:pPr>
              <w:rPr>
                <w:color w:val="0000FF"/>
                <w:u w:val="single"/>
                <w:lang w:val="en-US"/>
              </w:rPr>
            </w:pPr>
            <w:hyperlink r:id="rId32"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4C2251">
            <w:pPr>
              <w:rPr>
                <w:color w:val="0000FF"/>
                <w:u w:val="single"/>
                <w:lang w:val="en-US"/>
              </w:rPr>
            </w:pPr>
            <w:hyperlink r:id="rId33"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4C2251">
            <w:pPr>
              <w:rPr>
                <w:color w:val="0000FF"/>
                <w:u w:val="single"/>
                <w:lang w:val="en-US"/>
              </w:rPr>
            </w:pPr>
            <w:hyperlink r:id="rId34"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4C2251">
            <w:pPr>
              <w:rPr>
                <w:color w:val="0000FF"/>
                <w:u w:val="single"/>
                <w:lang w:val="en-US"/>
              </w:rPr>
            </w:pPr>
            <w:hyperlink r:id="rId35"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4C2251">
            <w:pPr>
              <w:rPr>
                <w:color w:val="0000FF"/>
                <w:u w:val="single"/>
                <w:lang w:val="en-US"/>
              </w:rPr>
            </w:pPr>
            <w:hyperlink r:id="rId36"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4C2251">
            <w:pPr>
              <w:rPr>
                <w:lang w:val="en-US"/>
              </w:rPr>
            </w:pPr>
            <w:hyperlink r:id="rId37"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14:paraId="257C776E" w14:textId="77777777" w:rsidR="00E75241" w:rsidRDefault="004C2251">
            <w:pPr>
              <w:rPr>
                <w:color w:val="0000FF"/>
                <w:u w:val="single"/>
                <w:lang w:val="en-US"/>
              </w:rPr>
            </w:pPr>
            <w:hyperlink r:id="rId38"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4C2251">
            <w:pPr>
              <w:rPr>
                <w:color w:val="0000FF"/>
                <w:u w:val="single"/>
                <w:lang w:val="en-US"/>
              </w:rPr>
            </w:pPr>
            <w:hyperlink r:id="rId39"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4C2251">
            <w:pPr>
              <w:rPr>
                <w:color w:val="0000FF"/>
                <w:u w:val="single"/>
                <w:lang w:val="en-US"/>
              </w:rPr>
            </w:pPr>
            <w:hyperlink r:id="rId40"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4C2251">
            <w:pPr>
              <w:rPr>
                <w:color w:val="0000FF"/>
                <w:u w:val="single"/>
                <w:lang w:val="en-US"/>
              </w:rPr>
            </w:pPr>
            <w:hyperlink r:id="rId41"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4C2251">
            <w:pPr>
              <w:rPr>
                <w:color w:val="0000FF"/>
                <w:u w:val="single"/>
                <w:lang w:val="en-US"/>
              </w:rPr>
            </w:pPr>
            <w:hyperlink r:id="rId42"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4C2251">
            <w:pPr>
              <w:rPr>
                <w:color w:val="0000FF"/>
                <w:u w:val="single"/>
                <w:lang w:val="en-US"/>
              </w:rPr>
            </w:pPr>
            <w:hyperlink r:id="rId43"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4C2251">
            <w:pPr>
              <w:rPr>
                <w:color w:val="0000FF"/>
                <w:u w:val="single"/>
                <w:lang w:val="en-US"/>
              </w:rPr>
            </w:pPr>
            <w:hyperlink r:id="rId44"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4C2251">
            <w:pPr>
              <w:rPr>
                <w:color w:val="0000FF"/>
                <w:u w:val="single"/>
                <w:lang w:val="en-US"/>
              </w:rPr>
            </w:pPr>
            <w:hyperlink r:id="rId45"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4C2251">
            <w:pPr>
              <w:rPr>
                <w:color w:val="0000FF"/>
                <w:u w:val="single"/>
                <w:lang w:val="en-US"/>
              </w:rPr>
            </w:pPr>
            <w:hyperlink r:id="rId46"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4C2251">
            <w:pPr>
              <w:rPr>
                <w:color w:val="0000FF"/>
                <w:u w:val="single"/>
                <w:lang w:val="en-US"/>
              </w:rPr>
            </w:pPr>
            <w:hyperlink r:id="rId47"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4C2251">
            <w:pPr>
              <w:rPr>
                <w:color w:val="0000FF"/>
                <w:u w:val="single"/>
                <w:lang w:val="en-US"/>
              </w:rPr>
            </w:pPr>
            <w:hyperlink r:id="rId48"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4C2251">
            <w:pPr>
              <w:rPr>
                <w:color w:val="0000FF"/>
                <w:u w:val="single"/>
                <w:lang w:val="en-US"/>
              </w:rPr>
            </w:pPr>
            <w:hyperlink r:id="rId49"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4C2251">
            <w:pPr>
              <w:rPr>
                <w:color w:val="0000FF"/>
                <w:u w:val="single"/>
                <w:lang w:val="en-US"/>
              </w:rPr>
            </w:pPr>
            <w:hyperlink r:id="rId50"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4C2251">
            <w:pPr>
              <w:rPr>
                <w:color w:val="0000FF"/>
                <w:u w:val="single"/>
                <w:lang w:val="en-US"/>
              </w:rPr>
            </w:pPr>
            <w:hyperlink r:id="rId51"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4C2251">
            <w:pPr>
              <w:rPr>
                <w:lang w:val="en-US"/>
              </w:rPr>
            </w:pPr>
            <w:hyperlink r:id="rId52"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4C2251">
            <w:pPr>
              <w:rPr>
                <w:rStyle w:val="Hyperlink"/>
                <w:color w:val="0000FF"/>
                <w:lang w:val="en-US"/>
              </w:rPr>
            </w:pPr>
            <w:hyperlink r:id="rId53"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4C2251">
            <w:pPr>
              <w:rPr>
                <w:rStyle w:val="Hyperlink"/>
                <w:color w:val="0000FF"/>
                <w:lang w:val="en-US"/>
              </w:rPr>
            </w:pPr>
            <w:hyperlink r:id="rId54"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4C2251">
            <w:pPr>
              <w:rPr>
                <w:lang w:val="en-US"/>
              </w:rPr>
            </w:pPr>
            <w:hyperlink r:id="rId55"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4C2251">
            <w:pPr>
              <w:rPr>
                <w:color w:val="0000FF"/>
                <w:u w:val="single"/>
                <w:lang w:val="en-US"/>
              </w:rPr>
            </w:pPr>
            <w:hyperlink r:id="rId56"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4C2251">
            <w:pPr>
              <w:rPr>
                <w:color w:val="0000FF"/>
                <w:u w:val="single"/>
                <w:lang w:val="en-US"/>
              </w:rPr>
            </w:pPr>
            <w:hyperlink r:id="rId57"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4C2251">
            <w:pPr>
              <w:rPr>
                <w:lang w:val="en-US"/>
              </w:rPr>
            </w:pPr>
            <w:hyperlink r:id="rId58"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4C2251">
            <w:pPr>
              <w:rPr>
                <w:lang w:val="en-US"/>
              </w:rPr>
            </w:pPr>
            <w:hyperlink r:id="rId59"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4C2251">
            <w:pPr>
              <w:rPr>
                <w:lang w:val="en-US"/>
              </w:rPr>
            </w:pPr>
            <w:hyperlink r:id="rId60"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4C2251">
            <w:pPr>
              <w:rPr>
                <w:lang w:val="en-US"/>
              </w:rPr>
            </w:pPr>
            <w:hyperlink r:id="rId61"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4C2251">
            <w:pPr>
              <w:rPr>
                <w:lang w:val="en-US"/>
              </w:rPr>
            </w:pPr>
            <w:hyperlink r:id="rId62"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4C2251">
            <w:pPr>
              <w:rPr>
                <w:lang w:val="en-US"/>
              </w:rPr>
            </w:pPr>
            <w:hyperlink r:id="rId63"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4C2251">
            <w:pPr>
              <w:rPr>
                <w:color w:val="0000FF"/>
                <w:u w:val="single"/>
                <w:lang w:val="en-US"/>
              </w:rPr>
            </w:pPr>
            <w:hyperlink r:id="rId64"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57C77F5" w14:textId="77777777" w:rsidR="00E75241" w:rsidRDefault="004C2251">
            <w:pPr>
              <w:rPr>
                <w:color w:val="0000FF"/>
                <w:u w:val="single"/>
                <w:lang w:val="en-US"/>
              </w:rPr>
            </w:pPr>
            <w:hyperlink r:id="rId65"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4C2251">
            <w:hyperlink r:id="rId66"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4C2251">
            <w:hyperlink r:id="rId67"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4C2251">
            <w:hyperlink r:id="rId68"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4C2251">
            <w:hyperlink r:id="rId69"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4C2251" w:rsidP="001D618D">
            <w:hyperlink r:id="rId70"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D2AE" w14:textId="77777777" w:rsidR="004C2251" w:rsidRDefault="004C2251" w:rsidP="00317BFE">
      <w:pPr>
        <w:spacing w:after="0" w:line="240" w:lineRule="auto"/>
      </w:pPr>
      <w:r>
        <w:separator/>
      </w:r>
    </w:p>
  </w:endnote>
  <w:endnote w:type="continuationSeparator" w:id="0">
    <w:p w14:paraId="7202B818" w14:textId="77777777" w:rsidR="004C2251" w:rsidRDefault="004C2251"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5002EFF" w:usb1="C000E47F" w:usb2="00000029" w:usb3="00000000" w:csb0="000001FF" w:csb1="00000000"/>
  </w:font>
  <w:font w:name="Lohit Devanagari">
    <w:altName w:val="Cambria"/>
    <w:panose1 w:val="020B0604020202020204"/>
    <w:charset w:val="00"/>
    <w:family w:val="roman"/>
    <w:notTrueType/>
    <w:pitch w:val="default"/>
  </w:font>
  <w:font w:name="Malgun Gothic">
    <w:panose1 w:val="020B0503020000020004"/>
    <w:charset w:val="81"/>
    <w:family w:val="swiss"/>
    <w:pitch w:val="variable"/>
    <w:sig w:usb0="900002A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notTrueType/>
    <w:pitch w:val="default"/>
  </w:font>
  <w:font w:name="T25">
    <w:altName w:val="Cambria"/>
    <w:panose1 w:val="020B0604020202020204"/>
    <w:charset w:val="00"/>
    <w:family w:val="roman"/>
    <w:notTrueType/>
    <w:pitch w:val="default"/>
  </w:font>
  <w:font w:name="Helvetica-Bold">
    <w:altName w:val="Helvetica"/>
    <w:panose1 w:val="00000000000000000000"/>
    <w:charset w:val="00"/>
    <w:family w:val="roman"/>
    <w:notTrueType/>
    <w:pitch w:val="default"/>
  </w:font>
  <w:font w:name="Times-Roman">
    <w:altName w:val="Times New Roman"/>
    <w:panose1 w:val="00000500000000020000"/>
    <w:charset w:val="00"/>
    <w:family w:val="roman"/>
    <w:notTrueType/>
    <w:pitch w:val="default"/>
  </w:font>
  <w:font w:name="Times-Italic">
    <w:altName w:val="Times New Roman"/>
    <w:panose1 w:val="0000050000000009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8335" w14:textId="77777777" w:rsidR="004C2251" w:rsidRDefault="004C2251" w:rsidP="00317BFE">
      <w:pPr>
        <w:spacing w:after="0" w:line="240" w:lineRule="auto"/>
      </w:pPr>
      <w:r>
        <w:separator/>
      </w:r>
    </w:p>
  </w:footnote>
  <w:footnote w:type="continuationSeparator" w:id="0">
    <w:p w14:paraId="7EA110CD" w14:textId="77777777" w:rsidR="004C2251" w:rsidRDefault="004C2251"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4"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5"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3"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CFB2392"/>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0"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2"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8"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7"/>
    <w:lvlOverride w:ilvl="0">
      <w:startOverride w:val="1"/>
    </w:lvlOverride>
  </w:num>
  <w:num w:numId="6">
    <w:abstractNumId w:val="68"/>
  </w:num>
  <w:num w:numId="7">
    <w:abstractNumId w:val="95"/>
  </w:num>
  <w:num w:numId="8">
    <w:abstractNumId w:val="30"/>
  </w:num>
  <w:num w:numId="9">
    <w:abstractNumId w:val="108"/>
  </w:num>
  <w:num w:numId="10">
    <w:abstractNumId w:val="35"/>
  </w:num>
  <w:num w:numId="11">
    <w:abstractNumId w:val="32"/>
  </w:num>
  <w:num w:numId="12">
    <w:abstractNumId w:val="114"/>
  </w:num>
  <w:num w:numId="13">
    <w:abstractNumId w:val="66"/>
  </w:num>
  <w:num w:numId="14">
    <w:abstractNumId w:val="81"/>
  </w:num>
  <w:num w:numId="15">
    <w:abstractNumId w:val="74"/>
  </w:num>
  <w:num w:numId="16">
    <w:abstractNumId w:val="63"/>
  </w:num>
  <w:num w:numId="17">
    <w:abstractNumId w:val="96"/>
  </w:num>
  <w:num w:numId="18">
    <w:abstractNumId w:val="117"/>
  </w:num>
  <w:num w:numId="19">
    <w:abstractNumId w:val="18"/>
  </w:num>
  <w:num w:numId="20">
    <w:abstractNumId w:val="25"/>
  </w:num>
  <w:num w:numId="21">
    <w:abstractNumId w:val="43"/>
  </w:num>
  <w:num w:numId="22">
    <w:abstractNumId w:val="62"/>
  </w:num>
  <w:num w:numId="23">
    <w:abstractNumId w:val="93"/>
  </w:num>
  <w:num w:numId="24">
    <w:abstractNumId w:val="75"/>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5"/>
  </w:num>
  <w:num w:numId="29">
    <w:abstractNumId w:val="89"/>
  </w:num>
  <w:num w:numId="30">
    <w:abstractNumId w:val="134"/>
  </w:num>
  <w:num w:numId="31">
    <w:abstractNumId w:val="69"/>
  </w:num>
  <w:num w:numId="32">
    <w:abstractNumId w:val="109"/>
  </w:num>
  <w:num w:numId="33">
    <w:abstractNumId w:val="120"/>
  </w:num>
  <w:num w:numId="34">
    <w:abstractNumId w:val="13"/>
  </w:num>
  <w:num w:numId="35">
    <w:abstractNumId w:val="50"/>
  </w:num>
  <w:num w:numId="36">
    <w:abstractNumId w:val="139"/>
  </w:num>
  <w:num w:numId="37">
    <w:abstractNumId w:val="104"/>
  </w:num>
  <w:num w:numId="38">
    <w:abstractNumId w:val="125"/>
  </w:num>
  <w:num w:numId="39">
    <w:abstractNumId w:val="115"/>
  </w:num>
  <w:num w:numId="40">
    <w:abstractNumId w:val="92"/>
  </w:num>
  <w:num w:numId="41">
    <w:abstractNumId w:val="9"/>
  </w:num>
  <w:num w:numId="42">
    <w:abstractNumId w:val="22"/>
  </w:num>
  <w:num w:numId="43">
    <w:abstractNumId w:val="60"/>
  </w:num>
  <w:num w:numId="44">
    <w:abstractNumId w:val="21"/>
  </w:num>
  <w:num w:numId="45">
    <w:abstractNumId w:val="52"/>
  </w:num>
  <w:num w:numId="46">
    <w:abstractNumId w:val="102"/>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num>
  <w:num w:numId="50">
    <w:abstractNumId w:val="41"/>
  </w:num>
  <w:num w:numId="51">
    <w:abstractNumId w:val="4"/>
  </w:num>
  <w:num w:numId="52">
    <w:abstractNumId w:val="94"/>
  </w:num>
  <w:num w:numId="53">
    <w:abstractNumId w:val="78"/>
  </w:num>
  <w:num w:numId="54">
    <w:abstractNumId w:val="8"/>
  </w:num>
  <w:num w:numId="55">
    <w:abstractNumId w:val="132"/>
  </w:num>
  <w:num w:numId="56">
    <w:abstractNumId w:val="137"/>
  </w:num>
  <w:num w:numId="57">
    <w:abstractNumId w:val="122"/>
  </w:num>
  <w:num w:numId="58">
    <w:abstractNumId w:val="110"/>
  </w:num>
  <w:num w:numId="59">
    <w:abstractNumId w:val="0"/>
  </w:num>
  <w:num w:numId="60">
    <w:abstractNumId w:val="113"/>
  </w:num>
  <w:num w:numId="61">
    <w:abstractNumId w:val="53"/>
  </w:num>
  <w:num w:numId="62">
    <w:abstractNumId w:val="61"/>
  </w:num>
  <w:num w:numId="63">
    <w:abstractNumId w:val="28"/>
  </w:num>
  <w:num w:numId="64">
    <w:abstractNumId w:val="103"/>
  </w:num>
  <w:num w:numId="65">
    <w:abstractNumId w:val="90"/>
  </w:num>
  <w:num w:numId="66">
    <w:abstractNumId w:val="86"/>
  </w:num>
  <w:num w:numId="67">
    <w:abstractNumId w:val="37"/>
  </w:num>
  <w:num w:numId="68">
    <w:abstractNumId w:val="38"/>
  </w:num>
  <w:num w:numId="69">
    <w:abstractNumId w:val="7"/>
  </w:num>
  <w:num w:numId="70">
    <w:abstractNumId w:val="101"/>
  </w:num>
  <w:num w:numId="71">
    <w:abstractNumId w:val="12"/>
  </w:num>
  <w:num w:numId="72">
    <w:abstractNumId w:val="70"/>
  </w:num>
  <w:num w:numId="73">
    <w:abstractNumId w:val="1"/>
  </w:num>
  <w:num w:numId="74">
    <w:abstractNumId w:val="26"/>
  </w:num>
  <w:num w:numId="75">
    <w:abstractNumId w:val="85"/>
  </w:num>
  <w:num w:numId="76">
    <w:abstractNumId w:val="10"/>
  </w:num>
  <w:num w:numId="77">
    <w:abstractNumId w:val="116"/>
  </w:num>
  <w:num w:numId="78">
    <w:abstractNumId w:val="129"/>
  </w:num>
  <w:num w:numId="79">
    <w:abstractNumId w:val="71"/>
  </w:num>
  <w:num w:numId="80">
    <w:abstractNumId w:val="5"/>
  </w:num>
  <w:num w:numId="81">
    <w:abstractNumId w:val="49"/>
  </w:num>
  <w:num w:numId="82">
    <w:abstractNumId w:val="131"/>
  </w:num>
  <w:num w:numId="83">
    <w:abstractNumId w:val="119"/>
  </w:num>
  <w:num w:numId="84">
    <w:abstractNumId w:val="20"/>
  </w:num>
  <w:num w:numId="85">
    <w:abstractNumId w:val="46"/>
  </w:num>
  <w:num w:numId="86">
    <w:abstractNumId w:val="87"/>
  </w:num>
  <w:num w:numId="87">
    <w:abstractNumId w:val="24"/>
  </w:num>
  <w:num w:numId="88">
    <w:abstractNumId w:val="33"/>
  </w:num>
  <w:num w:numId="89">
    <w:abstractNumId w:val="15"/>
  </w:num>
  <w:num w:numId="90">
    <w:abstractNumId w:val="79"/>
  </w:num>
  <w:num w:numId="91">
    <w:abstractNumId w:val="17"/>
  </w:num>
  <w:num w:numId="92">
    <w:abstractNumId w:val="59"/>
  </w:num>
  <w:num w:numId="93">
    <w:abstractNumId w:val="140"/>
  </w:num>
  <w:num w:numId="94">
    <w:abstractNumId w:val="111"/>
  </w:num>
  <w:num w:numId="95">
    <w:abstractNumId w:val="91"/>
  </w:num>
  <w:num w:numId="96">
    <w:abstractNumId w:val="1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3"/>
  </w:num>
  <w:num w:numId="98">
    <w:abstractNumId w:val="56"/>
  </w:num>
  <w:num w:numId="99">
    <w:abstractNumId w:val="48"/>
  </w:num>
  <w:num w:numId="100">
    <w:abstractNumId w:val="136"/>
  </w:num>
  <w:num w:numId="101">
    <w:abstractNumId w:val="112"/>
  </w:num>
  <w:num w:numId="102">
    <w:abstractNumId w:val="58"/>
  </w:num>
  <w:num w:numId="103">
    <w:abstractNumId w:val="121"/>
  </w:num>
  <w:num w:numId="104">
    <w:abstractNumId w:val="135"/>
  </w:num>
  <w:num w:numId="105">
    <w:abstractNumId w:val="44"/>
  </w:num>
  <w:num w:numId="106">
    <w:abstractNumId w:val="128"/>
  </w:num>
  <w:num w:numId="107">
    <w:abstractNumId w:val="80"/>
  </w:num>
  <w:num w:numId="108">
    <w:abstractNumId w:val="118"/>
  </w:num>
  <w:num w:numId="109">
    <w:abstractNumId w:val="64"/>
  </w:num>
  <w:num w:numId="110">
    <w:abstractNumId w:val="76"/>
  </w:num>
  <w:num w:numId="111">
    <w:abstractNumId w:val="29"/>
  </w:num>
  <w:num w:numId="112">
    <w:abstractNumId w:val="141"/>
  </w:num>
  <w:num w:numId="113">
    <w:abstractNumId w:val="127"/>
  </w:num>
  <w:num w:numId="114">
    <w:abstractNumId w:val="133"/>
  </w:num>
  <w:num w:numId="115">
    <w:abstractNumId w:val="83"/>
  </w:num>
  <w:num w:numId="116">
    <w:abstractNumId w:val="39"/>
  </w:num>
  <w:num w:numId="117">
    <w:abstractNumId w:val="100"/>
  </w:num>
  <w:num w:numId="118">
    <w:abstractNumId w:val="107"/>
  </w:num>
  <w:num w:numId="119">
    <w:abstractNumId w:val="19"/>
  </w:num>
  <w:num w:numId="120">
    <w:abstractNumId w:val="54"/>
  </w:num>
  <w:num w:numId="121">
    <w:abstractNumId w:val="138"/>
  </w:num>
  <w:num w:numId="122">
    <w:abstractNumId w:val="16"/>
  </w:num>
  <w:num w:numId="123">
    <w:abstractNumId w:val="126"/>
  </w:num>
  <w:num w:numId="124">
    <w:abstractNumId w:val="88"/>
  </w:num>
  <w:num w:numId="125">
    <w:abstractNumId w:val="98"/>
  </w:num>
  <w:num w:numId="126">
    <w:abstractNumId w:val="57"/>
  </w:num>
  <w:num w:numId="127">
    <w:abstractNumId w:val="82"/>
  </w:num>
  <w:num w:numId="128">
    <w:abstractNumId w:val="84"/>
  </w:num>
  <w:num w:numId="129">
    <w:abstractNumId w:val="77"/>
  </w:num>
  <w:num w:numId="130">
    <w:abstractNumId w:val="40"/>
  </w:num>
  <w:num w:numId="131">
    <w:abstractNumId w:val="106"/>
  </w:num>
  <w:num w:numId="132">
    <w:abstractNumId w:val="65"/>
  </w:num>
  <w:num w:numId="133">
    <w:abstractNumId w:val="55"/>
  </w:num>
  <w:num w:numId="134">
    <w:abstractNumId w:val="42"/>
  </w:num>
  <w:num w:numId="135">
    <w:abstractNumId w:val="97"/>
  </w:num>
  <w:num w:numId="136">
    <w:abstractNumId w:val="36"/>
  </w:num>
  <w:num w:numId="137">
    <w:abstractNumId w:val="47"/>
  </w:num>
  <w:num w:numId="138">
    <w:abstractNumId w:val="51"/>
  </w:num>
  <w:num w:numId="139">
    <w:abstractNumId w:val="130"/>
  </w:num>
  <w:num w:numId="140">
    <w:abstractNumId w:val="34"/>
  </w:num>
  <w:num w:numId="141">
    <w:abstractNumId w:val="99"/>
  </w:num>
  <w:num w:numId="142">
    <w:abstractNumId w:val="14"/>
  </w:num>
  <w:num w:numId="143">
    <w:abstractNumId w:val="6"/>
  </w:num>
  <w:num w:numId="144">
    <w:abstractNumId w:val="12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459.zip" TargetMode="External"/><Relationship Id="rId21" Type="http://schemas.openxmlformats.org/officeDocument/2006/relationships/image" Target="media/image8.png"/><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669.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00.zip" TargetMode="External"/><Relationship Id="rId34" Type="http://schemas.openxmlformats.org/officeDocument/2006/relationships/hyperlink" Target="https://www.3gpp.org/ftp/TSG_RAN/WG1_RL1/TSGR1_106-e/Docs/R1-2107040.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1EC32CF-E454-40D6-B138-005E6A6F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139</Pages>
  <Words>54147</Words>
  <Characters>308638</Characters>
  <Application>Microsoft Office Word</Application>
  <DocSecurity>0</DocSecurity>
  <Lines>2571</Lines>
  <Paragraphs>724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4</cp:revision>
  <dcterms:created xsi:type="dcterms:W3CDTF">2021-08-26T22:21:00Z</dcterms:created>
  <dcterms:modified xsi:type="dcterms:W3CDTF">2021-08-26T23:12:00Z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