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r>
              <w:rPr>
                <w:highlight w:val="green"/>
              </w:rPr>
              <w:t>Agreement</w:t>
            </w:r>
            <w:r>
              <w:t>:Take</w:t>
            </w:r>
            <w:proofErr w:type="spell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eMBB is because the eMBB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The offloading need for paging is unclear. Our observation is that even in NB-IoT with much larger amount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r>
              <w:rPr>
                <w:lang w:val="en-US" w:eastAsia="ko-KR"/>
              </w:rPr>
              <w:t>non CD</w:t>
            </w:r>
            <w:proofErr w:type="spell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proofErr w:type="spellStart"/>
            <w:r>
              <w:rPr>
                <w:rFonts w:eastAsiaTheme="minorEastAsia"/>
                <w:lang w:val="en-US" w:eastAsia="zh-CN"/>
              </w:rPr>
              <w:t>Mediatek</w:t>
            </w:r>
            <w:proofErr w:type="spellEnd"/>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72"/>
        <w:gridCol w:w="1261"/>
        <w:gridCol w:w="71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1261"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123"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lastRenderedPageBreak/>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B6749B">
            <w:pPr>
              <w:rPr>
                <w:lang w:eastAsia="ja-JP"/>
              </w:rPr>
            </w:pPr>
            <w:r w:rsidRPr="00A77291">
              <w:rPr>
                <w:lang w:eastAsia="ja-JP"/>
              </w:rPr>
              <w:lastRenderedPageBreak/>
              <w:t>CMCC</w:t>
            </w:r>
          </w:p>
        </w:tc>
        <w:tc>
          <w:tcPr>
            <w:tcW w:w="1261"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C9171C">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4" w:type="dxa"/>
            <w:gridSpan w:val="2"/>
          </w:tcPr>
          <w:p w14:paraId="4FE55743" w14:textId="40EE792C" w:rsidR="00B80C2C" w:rsidRPr="00A77291" w:rsidRDefault="00B80C2C" w:rsidP="00C9171C">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C9171C">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C9171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C9171C">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C9171C">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6F412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6F412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6F412D">
            <w:pPr>
              <w:rPr>
                <w:bCs/>
              </w:rPr>
            </w:pPr>
            <w:r w:rsidRPr="002F54D9">
              <w:rPr>
                <w:bCs/>
              </w:rPr>
              <w:t>Again, thanks FL efforts and welcome discussion from other companies.</w:t>
            </w:r>
          </w:p>
          <w:p w14:paraId="3CB57854" w14:textId="77777777" w:rsidR="00330771" w:rsidRPr="002F54D9" w:rsidRDefault="00330771" w:rsidP="006F412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6F412D">
            <w:pPr>
              <w:pStyle w:val="ListParagraph"/>
              <w:rPr>
                <w:rFonts w:ascii="Times New Roman" w:hAnsi="Times New Roman" w:cs="Times New Roman"/>
                <w:b/>
                <w:bCs/>
                <w:sz w:val="20"/>
                <w:szCs w:val="20"/>
                <w:lang w:val="en-GB" w:eastAsia="en-US"/>
              </w:rPr>
            </w:pPr>
          </w:p>
          <w:p w14:paraId="6616DC36" w14:textId="77777777" w:rsidR="00330771" w:rsidRDefault="00330771" w:rsidP="006F412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6F412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1F6878">
        <w:tc>
          <w:tcPr>
            <w:tcW w:w="1472" w:type="dxa"/>
          </w:tcPr>
          <w:p w14:paraId="79BE4039" w14:textId="5460611E" w:rsidR="001F6878" w:rsidRPr="00C91058" w:rsidRDefault="00EC2982" w:rsidP="00C755E6">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C755E6">
            <w:pPr>
              <w:tabs>
                <w:tab w:val="left" w:pos="551"/>
              </w:tabs>
              <w:rPr>
                <w:rFonts w:eastAsia="Yu Mincho"/>
                <w:lang w:val="en-US" w:eastAsia="ja-JP"/>
              </w:rPr>
            </w:pPr>
            <w:r>
              <w:rPr>
                <w:rFonts w:eastAsia="Yu Mincho"/>
                <w:lang w:val="en-US" w:eastAsia="ja-JP"/>
              </w:rPr>
              <w:t>N</w:t>
            </w:r>
          </w:p>
        </w:tc>
        <w:tc>
          <w:tcPr>
            <w:tcW w:w="7123" w:type="dxa"/>
          </w:tcPr>
          <w:p w14:paraId="61D3019A" w14:textId="5562F3D4" w:rsidR="001F6878" w:rsidRDefault="00EC2982" w:rsidP="00C755E6">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C755E6">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C755E6">
            <w:pPr>
              <w:rPr>
                <w:rFonts w:eastAsia="Malgun Gothic"/>
                <w:lang w:val="en-US" w:eastAsia="ko-KR"/>
              </w:rPr>
            </w:pPr>
          </w:p>
        </w:tc>
      </w:tr>
      <w:tr w:rsidR="000E10CE" w:rsidRPr="00187115" w14:paraId="23316B95" w14:textId="77777777" w:rsidTr="000E10CE">
        <w:tc>
          <w:tcPr>
            <w:tcW w:w="1472" w:type="dxa"/>
          </w:tcPr>
          <w:p w14:paraId="09995FB8" w14:textId="77777777" w:rsidR="000E10CE" w:rsidRPr="00A77291" w:rsidRDefault="000E10CE" w:rsidP="00CF2DCB">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CF2DCB">
            <w:pPr>
              <w:tabs>
                <w:tab w:val="left" w:pos="551"/>
              </w:tabs>
              <w:rPr>
                <w:rFonts w:eastAsia="Malgun Gothic"/>
                <w:lang w:val="en-US" w:eastAsia="ko-KR"/>
              </w:rPr>
            </w:pPr>
            <w:r w:rsidRPr="00187115">
              <w:rPr>
                <w:rFonts w:eastAsia="Malgun Gothic"/>
                <w:lang w:val="en-US" w:eastAsia="ko-KR"/>
              </w:rPr>
              <w:t>Y</w:t>
            </w:r>
          </w:p>
        </w:tc>
        <w:tc>
          <w:tcPr>
            <w:tcW w:w="7123" w:type="dxa"/>
          </w:tcPr>
          <w:p w14:paraId="1AF4A636" w14:textId="77777777" w:rsidR="000E10CE" w:rsidRPr="00187115" w:rsidRDefault="000E10CE" w:rsidP="00CF2DCB">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CF2DCB">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CF2DCB">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CF2DCB">
            <w:pPr>
              <w:rPr>
                <w:lang w:val="en-US"/>
              </w:rPr>
            </w:pPr>
            <w:r w:rsidRPr="00187115">
              <w:rPr>
                <w:lang w:val="en-US"/>
              </w:rPr>
              <w:t>To avoid PUSCH resource fragmentation for non-RedCap UEs, Ericsson wants to be able to put the UL BWPs used for RedCap UEs near the carrier edge and deactivate 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CF2DCB">
            <w:pPr>
              <w:rPr>
                <w:lang w:val="en-US"/>
              </w:rPr>
            </w:pPr>
            <w:r w:rsidRPr="00187115">
              <w:rPr>
                <w:lang w:val="en-US"/>
              </w:rPr>
              <w:t xml:space="preserve">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w:t>
            </w:r>
            <w:r w:rsidRPr="00187115">
              <w:rPr>
                <w:lang w:val="en-US"/>
              </w:rPr>
              <w:lastRenderedPageBreak/>
              <w:t>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CF2DCB">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CF2DCB">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CF2DCB">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CF2DCB">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CF2DCB">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lastRenderedPageBreak/>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w:t>
      </w:r>
      <w:r>
        <w:rPr>
          <w:rFonts w:ascii="Times" w:hAnsi="Times"/>
          <w:szCs w:val="24"/>
          <w:lang w:val="en-US"/>
        </w:rPr>
        <w:lastRenderedPageBreak/>
        <w:t xml:space="preserve">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lastRenderedPageBreak/>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lastRenderedPageBreak/>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lastRenderedPageBreak/>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lastRenderedPageBreak/>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lastRenderedPageBreak/>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61BE4CBA" w14:textId="77777777" w:rsidR="00F638D3" w:rsidRDefault="007464F2" w:rsidP="0029457A">
            <w:pPr>
              <w:rPr>
                <w:rFonts w:eastAsia="Malgun Gothic"/>
                <w:lang w:val="en-US" w:eastAsia="ko-KR"/>
              </w:rPr>
            </w:pPr>
            <w:r>
              <w:rPr>
                <w:rFonts w:eastAsia="Malgun Gothic"/>
                <w:lang w:val="en-US" w:eastAsia="ko-KR"/>
              </w:rPr>
              <w:t>FL10</w:t>
            </w:r>
          </w:p>
          <w:p w14:paraId="7878658F" w14:textId="77777777" w:rsidR="007464F2" w:rsidRDefault="009D581E" w:rsidP="0029457A">
            <w:pPr>
              <w:rPr>
                <w:rFonts w:eastAsia="Malgun Gothic"/>
                <w:lang w:val="en-US" w:eastAsia="ko-KR"/>
              </w:rPr>
            </w:pPr>
            <w:r>
              <w:rPr>
                <w:rFonts w:eastAsia="Malgun Gothic"/>
                <w:lang w:val="en-US" w:eastAsia="ko-KR"/>
              </w:rPr>
              <w:t>FL11</w:t>
            </w:r>
          </w:p>
          <w:p w14:paraId="0DF547B4" w14:textId="7559825D" w:rsidR="00F638D3" w:rsidRDefault="00F638D3" w:rsidP="0029457A">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23D494C5" w:rsidR="007464F2" w:rsidRPr="00C91058" w:rsidRDefault="00C91058" w:rsidP="0029457A">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29457A">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29457A">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6F412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6F412D">
            <w:pPr>
              <w:tabs>
                <w:tab w:val="left" w:pos="551"/>
              </w:tabs>
              <w:rPr>
                <w:rFonts w:eastAsiaTheme="minorEastAsia"/>
                <w:lang w:val="en-US" w:eastAsia="zh-CN"/>
              </w:rPr>
            </w:pPr>
          </w:p>
        </w:tc>
        <w:tc>
          <w:tcPr>
            <w:tcW w:w="7776" w:type="dxa"/>
          </w:tcPr>
          <w:p w14:paraId="0C44E27F" w14:textId="77777777" w:rsidR="00330771" w:rsidRDefault="00330771" w:rsidP="006F412D">
            <w:pPr>
              <w:rPr>
                <w:rFonts w:eastAsiaTheme="minorEastAsia"/>
                <w:lang w:eastAsia="zh-CN"/>
              </w:rPr>
            </w:pPr>
            <w:r>
              <w:rPr>
                <w:rFonts w:eastAsiaTheme="minorEastAsia"/>
                <w:lang w:eastAsia="zh-CN"/>
              </w:rPr>
              <w:t>Same comments as before</w:t>
            </w:r>
          </w:p>
          <w:p w14:paraId="49B1E3C6" w14:textId="77777777" w:rsidR="00330771" w:rsidRDefault="00330771" w:rsidP="006F412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6F412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6F412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6F412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6F412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CF2DCB">
            <w:pPr>
              <w:rPr>
                <w:rFonts w:eastAsiaTheme="minorEastAsia"/>
                <w:lang w:eastAsia="zh-CN"/>
              </w:rPr>
            </w:pPr>
            <w:r>
              <w:rPr>
                <w:rFonts w:eastAsiaTheme="minorEastAsia"/>
                <w:lang w:eastAsia="zh-CN"/>
              </w:rPr>
              <w:lastRenderedPageBreak/>
              <w:t>Ericsson</w:t>
            </w:r>
          </w:p>
        </w:tc>
        <w:tc>
          <w:tcPr>
            <w:tcW w:w="916" w:type="dxa"/>
          </w:tcPr>
          <w:p w14:paraId="153F2658" w14:textId="77777777" w:rsidR="00E6015A" w:rsidRDefault="00E6015A" w:rsidP="00CF2DCB">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CF2DCB">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CF2DCB">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CF2DCB">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w:t>
            </w:r>
            <w:r>
              <w:rPr>
                <w:rFonts w:eastAsiaTheme="minorEastAsia"/>
                <w:lang w:eastAsia="zh-CN"/>
              </w:rPr>
              <w:t>centre</w:t>
            </w:r>
            <w:r>
              <w:rPr>
                <w:rFonts w:eastAsiaTheme="minorEastAsia"/>
                <w:lang w:eastAsia="zh-CN"/>
              </w:rPr>
              <w:t xml:space="preserve"> frequency. </w:t>
            </w:r>
          </w:p>
          <w:p w14:paraId="1169A4CE" w14:textId="72E2B742" w:rsidR="00E6015A" w:rsidRDefault="00E6015A" w:rsidP="00E6015A">
            <w:pPr>
              <w:rPr>
                <w:rFonts w:eastAsiaTheme="minorEastAsia"/>
                <w:lang w:eastAsia="zh-CN"/>
              </w:rPr>
            </w:pPr>
            <w:r>
              <w:rPr>
                <w:noProof/>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lastRenderedPageBreak/>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lastRenderedPageBreak/>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A21764">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A21764">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A21764">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A21764">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A21764">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A21764">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A21764">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A21764">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A21764">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A21764">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A21764">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A21764">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A21764">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A21764">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A21764">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A21764">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A21764">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A21764">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A21764">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A21764">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A21764">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A21764">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A21764">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A21764">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A21764">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A21764">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A21764">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A21764">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A21764">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A21764">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A21764">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A21764">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A21764">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A21764">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A21764">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A21764">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A21764">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A21764">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A21764">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A21764">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A21764">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A21764">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A21764">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A21764">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A21764">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A21764">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C9171C">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A21764" w:rsidP="00C9171C">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C9171C">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C9171C">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BA65C" w14:textId="77777777" w:rsidR="00A21764" w:rsidRDefault="00A21764" w:rsidP="00317BFE">
      <w:pPr>
        <w:spacing w:after="0" w:line="240" w:lineRule="auto"/>
      </w:pPr>
      <w:r>
        <w:separator/>
      </w:r>
    </w:p>
  </w:endnote>
  <w:endnote w:type="continuationSeparator" w:id="0">
    <w:p w14:paraId="61A87667" w14:textId="77777777" w:rsidR="00A21764" w:rsidRDefault="00A21764"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Segoe Print"/>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B2D07" w14:textId="77777777" w:rsidR="00A21764" w:rsidRDefault="00A21764" w:rsidP="00317BFE">
      <w:pPr>
        <w:spacing w:after="0" w:line="240" w:lineRule="auto"/>
      </w:pPr>
      <w:r>
        <w:separator/>
      </w:r>
    </w:p>
  </w:footnote>
  <w:footnote w:type="continuationSeparator" w:id="0">
    <w:p w14:paraId="2BD90D16" w14:textId="77777777" w:rsidR="00A21764" w:rsidRDefault="00A21764"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0"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4"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1"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2"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8"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3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4"/>
  </w:num>
  <w:num w:numId="5">
    <w:abstractNumId w:val="66"/>
    <w:lvlOverride w:ilvl="0">
      <w:startOverride w:val="1"/>
    </w:lvlOverride>
  </w:num>
  <w:num w:numId="6">
    <w:abstractNumId w:val="67"/>
  </w:num>
  <w:num w:numId="7">
    <w:abstractNumId w:val="94"/>
  </w:num>
  <w:num w:numId="8">
    <w:abstractNumId w:val="29"/>
  </w:num>
  <w:num w:numId="9">
    <w:abstractNumId w:val="107"/>
  </w:num>
  <w:num w:numId="10">
    <w:abstractNumId w:val="34"/>
  </w:num>
  <w:num w:numId="11">
    <w:abstractNumId w:val="31"/>
  </w:num>
  <w:num w:numId="12">
    <w:abstractNumId w:val="113"/>
  </w:num>
  <w:num w:numId="13">
    <w:abstractNumId w:val="65"/>
  </w:num>
  <w:num w:numId="14">
    <w:abstractNumId w:val="80"/>
  </w:num>
  <w:num w:numId="15">
    <w:abstractNumId w:val="73"/>
  </w:num>
  <w:num w:numId="16">
    <w:abstractNumId w:val="62"/>
  </w:num>
  <w:num w:numId="17">
    <w:abstractNumId w:val="95"/>
  </w:num>
  <w:num w:numId="18">
    <w:abstractNumId w:val="116"/>
  </w:num>
  <w:num w:numId="19">
    <w:abstractNumId w:val="17"/>
  </w:num>
  <w:num w:numId="20">
    <w:abstractNumId w:val="24"/>
  </w:num>
  <w:num w:numId="21">
    <w:abstractNumId w:val="42"/>
  </w:num>
  <w:num w:numId="22">
    <w:abstractNumId w:val="61"/>
  </w:num>
  <w:num w:numId="23">
    <w:abstractNumId w:val="92"/>
  </w:num>
  <w:num w:numId="24">
    <w:abstractNumId w:val="74"/>
  </w:num>
  <w:num w:numId="25">
    <w:abstractNumId w:val="26"/>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num>
  <w:num w:numId="29">
    <w:abstractNumId w:val="88"/>
  </w:num>
  <w:num w:numId="30">
    <w:abstractNumId w:val="132"/>
  </w:num>
  <w:num w:numId="31">
    <w:abstractNumId w:val="68"/>
  </w:num>
  <w:num w:numId="32">
    <w:abstractNumId w:val="108"/>
  </w:num>
  <w:num w:numId="33">
    <w:abstractNumId w:val="119"/>
  </w:num>
  <w:num w:numId="34">
    <w:abstractNumId w:val="12"/>
  </w:num>
  <w:num w:numId="35">
    <w:abstractNumId w:val="49"/>
  </w:num>
  <w:num w:numId="36">
    <w:abstractNumId w:val="137"/>
  </w:num>
  <w:num w:numId="37">
    <w:abstractNumId w:val="103"/>
  </w:num>
  <w:num w:numId="38">
    <w:abstractNumId w:val="123"/>
  </w:num>
  <w:num w:numId="39">
    <w:abstractNumId w:val="114"/>
  </w:num>
  <w:num w:numId="40">
    <w:abstractNumId w:val="91"/>
  </w:num>
  <w:num w:numId="41">
    <w:abstractNumId w:val="8"/>
  </w:num>
  <w:num w:numId="42">
    <w:abstractNumId w:val="21"/>
  </w:num>
  <w:num w:numId="43">
    <w:abstractNumId w:val="59"/>
  </w:num>
  <w:num w:numId="44">
    <w:abstractNumId w:val="20"/>
  </w:num>
  <w:num w:numId="45">
    <w:abstractNumId w:val="51"/>
  </w:num>
  <w:num w:numId="46">
    <w:abstractNumId w:val="101"/>
  </w:num>
  <w:num w:numId="47">
    <w:abstractNumId w:val="30"/>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40"/>
  </w:num>
  <w:num w:numId="51">
    <w:abstractNumId w:val="4"/>
  </w:num>
  <w:num w:numId="52">
    <w:abstractNumId w:val="93"/>
  </w:num>
  <w:num w:numId="53">
    <w:abstractNumId w:val="77"/>
  </w:num>
  <w:num w:numId="54">
    <w:abstractNumId w:val="7"/>
  </w:num>
  <w:num w:numId="55">
    <w:abstractNumId w:val="130"/>
  </w:num>
  <w:num w:numId="56">
    <w:abstractNumId w:val="135"/>
  </w:num>
  <w:num w:numId="57">
    <w:abstractNumId w:val="121"/>
  </w:num>
  <w:num w:numId="58">
    <w:abstractNumId w:val="109"/>
  </w:num>
  <w:num w:numId="59">
    <w:abstractNumId w:val="0"/>
  </w:num>
  <w:num w:numId="60">
    <w:abstractNumId w:val="112"/>
  </w:num>
  <w:num w:numId="61">
    <w:abstractNumId w:val="52"/>
  </w:num>
  <w:num w:numId="62">
    <w:abstractNumId w:val="60"/>
  </w:num>
  <w:num w:numId="63">
    <w:abstractNumId w:val="27"/>
  </w:num>
  <w:num w:numId="64">
    <w:abstractNumId w:val="102"/>
  </w:num>
  <w:num w:numId="65">
    <w:abstractNumId w:val="89"/>
  </w:num>
  <w:num w:numId="66">
    <w:abstractNumId w:val="85"/>
  </w:num>
  <w:num w:numId="67">
    <w:abstractNumId w:val="36"/>
  </w:num>
  <w:num w:numId="68">
    <w:abstractNumId w:val="37"/>
  </w:num>
  <w:num w:numId="69">
    <w:abstractNumId w:val="6"/>
  </w:num>
  <w:num w:numId="70">
    <w:abstractNumId w:val="100"/>
  </w:num>
  <w:num w:numId="71">
    <w:abstractNumId w:val="11"/>
  </w:num>
  <w:num w:numId="72">
    <w:abstractNumId w:val="69"/>
  </w:num>
  <w:num w:numId="73">
    <w:abstractNumId w:val="1"/>
  </w:num>
  <w:num w:numId="74">
    <w:abstractNumId w:val="25"/>
  </w:num>
  <w:num w:numId="75">
    <w:abstractNumId w:val="84"/>
  </w:num>
  <w:num w:numId="76">
    <w:abstractNumId w:val="9"/>
  </w:num>
  <w:num w:numId="77">
    <w:abstractNumId w:val="115"/>
  </w:num>
  <w:num w:numId="78">
    <w:abstractNumId w:val="127"/>
  </w:num>
  <w:num w:numId="79">
    <w:abstractNumId w:val="70"/>
  </w:num>
  <w:num w:numId="80">
    <w:abstractNumId w:val="5"/>
  </w:num>
  <w:num w:numId="81">
    <w:abstractNumId w:val="48"/>
  </w:num>
  <w:num w:numId="82">
    <w:abstractNumId w:val="129"/>
  </w:num>
  <w:num w:numId="83">
    <w:abstractNumId w:val="118"/>
  </w:num>
  <w:num w:numId="84">
    <w:abstractNumId w:val="19"/>
  </w:num>
  <w:num w:numId="85">
    <w:abstractNumId w:val="45"/>
  </w:num>
  <w:num w:numId="86">
    <w:abstractNumId w:val="86"/>
  </w:num>
  <w:num w:numId="87">
    <w:abstractNumId w:val="23"/>
  </w:num>
  <w:num w:numId="88">
    <w:abstractNumId w:val="32"/>
  </w:num>
  <w:num w:numId="89">
    <w:abstractNumId w:val="14"/>
  </w:num>
  <w:num w:numId="90">
    <w:abstractNumId w:val="78"/>
  </w:num>
  <w:num w:numId="91">
    <w:abstractNumId w:val="16"/>
  </w:num>
  <w:num w:numId="92">
    <w:abstractNumId w:val="58"/>
  </w:num>
  <w:num w:numId="93">
    <w:abstractNumId w:val="138"/>
  </w:num>
  <w:num w:numId="94">
    <w:abstractNumId w:val="110"/>
  </w:num>
  <w:num w:numId="95">
    <w:abstractNumId w:val="90"/>
  </w:num>
  <w:num w:numId="96">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num>
  <w:num w:numId="98">
    <w:abstractNumId w:val="55"/>
  </w:num>
  <w:num w:numId="99">
    <w:abstractNumId w:val="47"/>
  </w:num>
  <w:num w:numId="100">
    <w:abstractNumId w:val="134"/>
  </w:num>
  <w:num w:numId="101">
    <w:abstractNumId w:val="111"/>
  </w:num>
  <w:num w:numId="102">
    <w:abstractNumId w:val="57"/>
  </w:num>
  <w:num w:numId="103">
    <w:abstractNumId w:val="120"/>
  </w:num>
  <w:num w:numId="104">
    <w:abstractNumId w:val="133"/>
  </w:num>
  <w:num w:numId="105">
    <w:abstractNumId w:val="43"/>
  </w:num>
  <w:num w:numId="106">
    <w:abstractNumId w:val="126"/>
  </w:num>
  <w:num w:numId="107">
    <w:abstractNumId w:val="79"/>
  </w:num>
  <w:num w:numId="108">
    <w:abstractNumId w:val="117"/>
  </w:num>
  <w:num w:numId="109">
    <w:abstractNumId w:val="63"/>
  </w:num>
  <w:num w:numId="110">
    <w:abstractNumId w:val="75"/>
  </w:num>
  <w:num w:numId="111">
    <w:abstractNumId w:val="28"/>
  </w:num>
  <w:num w:numId="112">
    <w:abstractNumId w:val="139"/>
  </w:num>
  <w:num w:numId="113">
    <w:abstractNumId w:val="125"/>
  </w:num>
  <w:num w:numId="114">
    <w:abstractNumId w:val="131"/>
  </w:num>
  <w:num w:numId="115">
    <w:abstractNumId w:val="82"/>
  </w:num>
  <w:num w:numId="116">
    <w:abstractNumId w:val="38"/>
  </w:num>
  <w:num w:numId="117">
    <w:abstractNumId w:val="99"/>
  </w:num>
  <w:num w:numId="118">
    <w:abstractNumId w:val="106"/>
  </w:num>
  <w:num w:numId="119">
    <w:abstractNumId w:val="18"/>
  </w:num>
  <w:num w:numId="120">
    <w:abstractNumId w:val="53"/>
  </w:num>
  <w:num w:numId="121">
    <w:abstractNumId w:val="136"/>
  </w:num>
  <w:num w:numId="122">
    <w:abstractNumId w:val="15"/>
  </w:num>
  <w:num w:numId="123">
    <w:abstractNumId w:val="124"/>
  </w:num>
  <w:num w:numId="124">
    <w:abstractNumId w:val="87"/>
  </w:num>
  <w:num w:numId="125">
    <w:abstractNumId w:val="97"/>
  </w:num>
  <w:num w:numId="126">
    <w:abstractNumId w:val="56"/>
  </w:num>
  <w:num w:numId="127">
    <w:abstractNumId w:val="81"/>
  </w:num>
  <w:num w:numId="128">
    <w:abstractNumId w:val="83"/>
  </w:num>
  <w:num w:numId="129">
    <w:abstractNumId w:val="76"/>
  </w:num>
  <w:num w:numId="130">
    <w:abstractNumId w:val="39"/>
  </w:num>
  <w:num w:numId="131">
    <w:abstractNumId w:val="105"/>
  </w:num>
  <w:num w:numId="132">
    <w:abstractNumId w:val="64"/>
  </w:num>
  <w:num w:numId="133">
    <w:abstractNumId w:val="54"/>
  </w:num>
  <w:num w:numId="134">
    <w:abstractNumId w:val="41"/>
  </w:num>
  <w:num w:numId="135">
    <w:abstractNumId w:val="96"/>
  </w:num>
  <w:num w:numId="136">
    <w:abstractNumId w:val="35"/>
  </w:num>
  <w:num w:numId="137">
    <w:abstractNumId w:val="46"/>
  </w:num>
  <w:num w:numId="138">
    <w:abstractNumId w:val="50"/>
  </w:num>
  <w:num w:numId="139">
    <w:abstractNumId w:val="128"/>
  </w:num>
  <w:num w:numId="140">
    <w:abstractNumId w:val="33"/>
  </w:num>
  <w:num w:numId="141">
    <w:abstractNumId w:val="98"/>
  </w:num>
  <w:num w:numId="142">
    <w:abstractNumId w:val="1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135</Pages>
  <Words>56263</Words>
  <Characters>298195</Characters>
  <Application>Microsoft Office Word</Application>
  <DocSecurity>0</DocSecurity>
  <Lines>2484</Lines>
  <Paragraphs>707</Paragraphs>
  <ScaleCrop>false</ScaleCrop>
  <Company>Panasonic Corporation</Company>
  <LinksUpToDate>false</LinksUpToDate>
  <CharactersWithSpaces>353751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10</cp:revision>
  <dcterms:created xsi:type="dcterms:W3CDTF">2021-08-26T18:12:00Z</dcterms:created>
  <dcterms:modified xsi:type="dcterms:W3CDTF">2021-08-26T19:04:00Z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