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r>
              <w:rPr>
                <w:highlight w:val="green"/>
              </w:rPr>
              <w:t>Agreement</w:t>
            </w:r>
            <w:r>
              <w:t>:Take</w:t>
            </w:r>
            <w:proofErr w:type="spell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w:t>
            </w:r>
            <w:proofErr w:type="spellStart"/>
            <w:r w:rsidRPr="00F02537">
              <w:rPr>
                <w:rFonts w:ascii="Times New Roman" w:eastAsiaTheme="minorEastAsia" w:hAnsi="Times New Roman" w:cs="Times New Roman"/>
                <w:sz w:val="20"/>
                <w:szCs w:val="20"/>
                <w:lang w:val="en-US" w:eastAsia="zh-CN"/>
              </w:rPr>
              <w:t>eMTC</w:t>
            </w:r>
            <w:proofErr w:type="spellEnd"/>
            <w:r w:rsidRPr="00F02537">
              <w:rPr>
                <w:rFonts w:ascii="Times New Roman" w:eastAsiaTheme="minorEastAsia" w:hAnsi="Times New Roman" w:cs="Times New Roman"/>
                <w:sz w:val="20"/>
                <w:szCs w:val="20"/>
                <w:lang w:val="en-US" w:eastAsia="zh-CN"/>
              </w:rPr>
              <w:t>)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The offloading need for paging is unclear. Our observation is that even in NB-IoT with much larger amount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w:t>
            </w:r>
            <w:proofErr w:type="spellStart"/>
            <w:r>
              <w:rPr>
                <w:rFonts w:eastAsiaTheme="minorEastAsia"/>
                <w:lang w:val="en-US" w:eastAsia="zh-CN"/>
              </w:rPr>
              <w:t>Sanechips</w:t>
            </w:r>
            <w:proofErr w:type="spellEnd"/>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72"/>
        <w:gridCol w:w="1261"/>
        <w:gridCol w:w="71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 xml:space="preserve">ZTE, </w:t>
            </w:r>
            <w:proofErr w:type="spellStart"/>
            <w:r w:rsidRPr="00A77291">
              <w:rPr>
                <w:rFonts w:eastAsia="SimSun"/>
                <w:lang w:val="en-US" w:eastAsia="zh-CN"/>
              </w:rPr>
              <w:t>Sanechips</w:t>
            </w:r>
            <w:proofErr w:type="spellEnd"/>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6F412D">
            <w:pPr>
              <w:rPr>
                <w:lang w:val="en-US" w:eastAsia="ko-KR"/>
              </w:rPr>
            </w:pPr>
            <w:r w:rsidRPr="00A77291">
              <w:rPr>
                <w:lang w:val="en-US" w:eastAsia="ko-KR"/>
              </w:rPr>
              <w:t xml:space="preserve">Huawei, </w:t>
            </w:r>
            <w:proofErr w:type="spellStart"/>
            <w:r w:rsidRPr="00A77291">
              <w:rPr>
                <w:lang w:val="en-US" w:eastAsia="ko-KR"/>
              </w:rPr>
              <w:t>HiSilicon</w:t>
            </w:r>
            <w:proofErr w:type="spellEnd"/>
          </w:p>
        </w:tc>
        <w:tc>
          <w:tcPr>
            <w:tcW w:w="1261"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123"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proofErr w:type="spellStart"/>
            <w:r w:rsidRPr="00A77291">
              <w:rPr>
                <w:rFonts w:ascii="Times New Roman" w:hAnsi="Times New Roman" w:cs="Times New Roman"/>
                <w:sz w:val="20"/>
                <w:szCs w:val="20"/>
                <w:lang w:val="en-US" w:eastAsia="ko-KR"/>
              </w:rPr>
              <w:t>HiSilicon</w:t>
            </w:r>
            <w:proofErr w:type="spellEnd"/>
            <w:r w:rsidRPr="00A77291">
              <w:rPr>
                <w:rFonts w:ascii="Times New Roman" w:hAnsi="Times New Roman" w:cs="Times New Roman"/>
                <w:sz w:val="20"/>
                <w:szCs w:val="20"/>
                <w:lang w:val="en-US" w:eastAsia="ko-KR"/>
              </w:rPr>
              <w:t xml:space="preserve">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lastRenderedPageBreak/>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B6749B">
            <w:pPr>
              <w:rPr>
                <w:lang w:eastAsia="ja-JP"/>
              </w:rPr>
            </w:pPr>
            <w:r w:rsidRPr="00A77291">
              <w:rPr>
                <w:lang w:eastAsia="ja-JP"/>
              </w:rPr>
              <w:lastRenderedPageBreak/>
              <w:t>CMCC</w:t>
            </w:r>
          </w:p>
        </w:tc>
        <w:tc>
          <w:tcPr>
            <w:tcW w:w="126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4"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C917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C9171C">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C9171C">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6F412D">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61" w:type="dxa"/>
          </w:tcPr>
          <w:p w14:paraId="34FB1644" w14:textId="77777777" w:rsidR="00330771" w:rsidRPr="00A77291" w:rsidRDefault="00330771" w:rsidP="006F412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6F412D">
            <w:pPr>
              <w:rPr>
                <w:bCs/>
              </w:rPr>
            </w:pPr>
            <w:r w:rsidRPr="002F54D9">
              <w:rPr>
                <w:bCs/>
              </w:rPr>
              <w:t>Again, thanks FL efforts and welcome discussion from other companies.</w:t>
            </w:r>
          </w:p>
          <w:p w14:paraId="3CB57854" w14:textId="77777777" w:rsidR="00330771" w:rsidRPr="002F54D9" w:rsidRDefault="00330771" w:rsidP="006F412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6F412D">
            <w:pPr>
              <w:pStyle w:val="ListParagraph"/>
              <w:rPr>
                <w:rFonts w:ascii="Times New Roman" w:hAnsi="Times New Roman" w:cs="Times New Roman"/>
                <w:b/>
                <w:bCs/>
                <w:sz w:val="20"/>
                <w:szCs w:val="20"/>
                <w:lang w:val="en-GB" w:eastAsia="en-US"/>
              </w:rPr>
            </w:pPr>
          </w:p>
          <w:p w14:paraId="6616DC36" w14:textId="77777777" w:rsidR="00330771" w:rsidRDefault="00330771" w:rsidP="006F412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6F412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1F6878">
        <w:tc>
          <w:tcPr>
            <w:tcW w:w="1472" w:type="dxa"/>
          </w:tcPr>
          <w:p w14:paraId="79BE4039" w14:textId="5460611E" w:rsidR="001F6878" w:rsidRPr="00C91058" w:rsidRDefault="00EC2982" w:rsidP="00C755E6">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C755E6">
            <w:pPr>
              <w:tabs>
                <w:tab w:val="left" w:pos="551"/>
              </w:tabs>
              <w:rPr>
                <w:rFonts w:eastAsia="Yu Mincho"/>
                <w:lang w:val="en-US" w:eastAsia="ja-JP"/>
              </w:rPr>
            </w:pPr>
            <w:r>
              <w:rPr>
                <w:rFonts w:eastAsia="Yu Mincho"/>
                <w:lang w:val="en-US" w:eastAsia="ja-JP"/>
              </w:rPr>
              <w:t>N</w:t>
            </w:r>
          </w:p>
        </w:tc>
        <w:tc>
          <w:tcPr>
            <w:tcW w:w="7123" w:type="dxa"/>
          </w:tcPr>
          <w:p w14:paraId="61D3019A" w14:textId="5562F3D4" w:rsidR="001F6878" w:rsidRDefault="00EC2982" w:rsidP="00C755E6">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C755E6">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 xml:space="preserve">Based on our view above, we can accept the following </w:t>
            </w:r>
            <w:r>
              <w:rPr>
                <w:bCs/>
                <w:lang w:val="en-US"/>
              </w:rPr>
              <w:t xml:space="preserve">updated </w:t>
            </w:r>
            <w:r>
              <w:rPr>
                <w:bCs/>
                <w:lang w:val="en-US"/>
              </w:rPr>
              <w:t>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C755E6">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lastRenderedPageBreak/>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w:t>
      </w:r>
      <w:r>
        <w:rPr>
          <w:rFonts w:ascii="Times" w:hAnsi="Times"/>
          <w:szCs w:val="24"/>
          <w:lang w:val="en-US"/>
        </w:rPr>
        <w:lastRenderedPageBreak/>
        <w:t xml:space="preserve">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lastRenderedPageBreak/>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lastRenderedPageBreak/>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lastRenderedPageBreak/>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lastRenderedPageBreak/>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61BE4CBA" w14:textId="77777777" w:rsidR="00F638D3" w:rsidRDefault="007464F2" w:rsidP="0029457A">
            <w:pPr>
              <w:rPr>
                <w:rFonts w:eastAsia="Malgun Gothic"/>
                <w:lang w:val="en-US" w:eastAsia="ko-KR"/>
              </w:rPr>
            </w:pPr>
            <w:r>
              <w:rPr>
                <w:rFonts w:eastAsia="Malgun Gothic"/>
                <w:lang w:val="en-US" w:eastAsia="ko-KR"/>
              </w:rPr>
              <w:t>FL10</w:t>
            </w:r>
          </w:p>
          <w:p w14:paraId="7878658F" w14:textId="77777777" w:rsidR="007464F2" w:rsidRDefault="009D581E" w:rsidP="0029457A">
            <w:pPr>
              <w:rPr>
                <w:rFonts w:eastAsia="Malgun Gothic"/>
                <w:lang w:val="en-US" w:eastAsia="ko-KR"/>
              </w:rPr>
            </w:pPr>
            <w:r>
              <w:rPr>
                <w:rFonts w:eastAsia="Malgun Gothic"/>
                <w:lang w:val="en-US" w:eastAsia="ko-KR"/>
              </w:rPr>
              <w:t>FL11</w:t>
            </w:r>
          </w:p>
          <w:p w14:paraId="0DF547B4" w14:textId="7559825D" w:rsidR="00F638D3" w:rsidRDefault="00F638D3" w:rsidP="0029457A">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29457A">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6F41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359356BE" w14:textId="77777777" w:rsidR="00330771" w:rsidRDefault="00330771" w:rsidP="006F412D">
            <w:pPr>
              <w:tabs>
                <w:tab w:val="left" w:pos="551"/>
              </w:tabs>
              <w:rPr>
                <w:rFonts w:eastAsiaTheme="minorEastAsia"/>
                <w:lang w:val="en-US" w:eastAsia="zh-CN"/>
              </w:rPr>
            </w:pPr>
          </w:p>
        </w:tc>
        <w:tc>
          <w:tcPr>
            <w:tcW w:w="7776" w:type="dxa"/>
          </w:tcPr>
          <w:p w14:paraId="0C44E27F" w14:textId="77777777" w:rsidR="00330771" w:rsidRDefault="00330771" w:rsidP="006F412D">
            <w:pPr>
              <w:rPr>
                <w:rFonts w:eastAsiaTheme="minorEastAsia"/>
                <w:lang w:eastAsia="zh-CN"/>
              </w:rPr>
            </w:pPr>
            <w:r>
              <w:rPr>
                <w:rFonts w:eastAsiaTheme="minorEastAsia"/>
                <w:lang w:eastAsia="zh-CN"/>
              </w:rPr>
              <w:t>Same comments as before</w:t>
            </w:r>
          </w:p>
          <w:p w14:paraId="49B1E3C6" w14:textId="77777777" w:rsidR="00330771" w:rsidRDefault="00330771" w:rsidP="006F412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6F412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6F412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6F412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6F412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bl>
    <w:p w14:paraId="257C7296" w14:textId="77777777" w:rsidR="00E75241" w:rsidRDefault="00E75241" w:rsidP="00330771">
      <w:pPr>
        <w:ind w:firstLine="284"/>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w:t>
            </w:r>
            <w:r>
              <w:rPr>
                <w:lang w:val="en-US" w:eastAsia="ko-KR"/>
              </w:rPr>
              <w:lastRenderedPageBreak/>
              <w:t xml:space="preserve">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lastRenderedPageBreak/>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lastRenderedPageBreak/>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lastRenderedPageBreak/>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UE bandwidth, support separate initial UL BWP for RedCap UEs (which is not expected to exceed the </w:t>
            </w:r>
            <w:r>
              <w:rPr>
                <w:rFonts w:eastAsia="Times New Roman" w:cs="Times"/>
                <w:lang w:val="en-US" w:eastAsia="ja-JP"/>
              </w:rPr>
              <w:lastRenderedPageBreak/>
              <w:t>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lastRenderedPageBreak/>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lastRenderedPageBreak/>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9B0F10">
              <w:fldChar w:fldCharType="begin"/>
            </w:r>
            <w:r w:rsidR="009B0F10">
              <w:instrText xml:space="preserve"> SEQ Table \* ARABIC </w:instrText>
            </w:r>
            <w:r w:rsidR="009B0F10">
              <w:fldChar w:fldCharType="separate"/>
            </w:r>
            <w:r>
              <w:t>3</w:t>
            </w:r>
            <w:r w:rsidR="009B0F10">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w:t>
            </w:r>
            <w:r>
              <w:rPr>
                <w:lang w:val="en-US" w:eastAsia="zh-CN"/>
              </w:rPr>
              <w:lastRenderedPageBreak/>
              <w:t xml:space="preserve">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lastRenderedPageBreak/>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proofErr w:type="spellStart"/>
            <w:r>
              <w:rPr>
                <w:lang w:val="en-US"/>
              </w:rPr>
              <w:t>Vip</w:t>
            </w:r>
            <w:proofErr w:type="spellEnd"/>
            <w:r>
              <w:rPr>
                <w:lang w:val="en-US"/>
              </w:rPr>
              <w:t xml:space="preserve">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9B0F10">
            <w:pPr>
              <w:rPr>
                <w:color w:val="0000FF"/>
                <w:u w:val="single"/>
                <w:lang w:val="en-US"/>
              </w:rPr>
            </w:pPr>
            <w:hyperlink r:id="rId23"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9B0F10">
            <w:pPr>
              <w:rPr>
                <w:color w:val="0000FF"/>
                <w:u w:val="single"/>
                <w:lang w:val="en-US"/>
              </w:rPr>
            </w:pPr>
            <w:hyperlink r:id="rId24"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9B0F10">
            <w:pPr>
              <w:rPr>
                <w:color w:val="0000FF"/>
                <w:u w:val="single"/>
                <w:lang w:val="en-US"/>
              </w:rPr>
            </w:pPr>
            <w:hyperlink r:id="rId25"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9B0F10">
            <w:pPr>
              <w:rPr>
                <w:color w:val="0000FF"/>
                <w:u w:val="single"/>
                <w:lang w:val="en-US"/>
              </w:rPr>
            </w:pPr>
            <w:hyperlink r:id="rId26"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9B0F10">
            <w:pPr>
              <w:rPr>
                <w:color w:val="0000FF"/>
                <w:u w:val="single"/>
                <w:lang w:val="en-US"/>
              </w:rPr>
            </w:pPr>
            <w:hyperlink r:id="rId27"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9B0F10">
            <w:pPr>
              <w:rPr>
                <w:color w:val="0000FF"/>
                <w:u w:val="single"/>
                <w:lang w:val="en-US"/>
              </w:rPr>
            </w:pPr>
            <w:hyperlink r:id="rId28"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9B0F10">
            <w:pPr>
              <w:rPr>
                <w:color w:val="0000FF"/>
                <w:u w:val="single"/>
                <w:lang w:val="en-US"/>
              </w:rPr>
            </w:pPr>
            <w:hyperlink r:id="rId29"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9B0F10">
            <w:pPr>
              <w:rPr>
                <w:color w:val="0000FF"/>
                <w:u w:val="single"/>
                <w:lang w:val="en-US"/>
              </w:rPr>
            </w:pPr>
            <w:hyperlink r:id="rId30"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9B0F10">
            <w:pPr>
              <w:rPr>
                <w:color w:val="0000FF"/>
                <w:u w:val="single"/>
                <w:lang w:val="en-US"/>
              </w:rPr>
            </w:pPr>
            <w:hyperlink r:id="rId31"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9B0F10">
            <w:pPr>
              <w:rPr>
                <w:color w:val="0000FF"/>
                <w:u w:val="single"/>
                <w:lang w:val="en-US"/>
              </w:rPr>
            </w:pPr>
            <w:hyperlink r:id="rId32"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9B0F10">
            <w:pPr>
              <w:rPr>
                <w:color w:val="0000FF"/>
                <w:u w:val="single"/>
                <w:lang w:val="en-US"/>
              </w:rPr>
            </w:pPr>
            <w:hyperlink r:id="rId33"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9B0F10">
            <w:pPr>
              <w:rPr>
                <w:color w:val="0000FF"/>
                <w:u w:val="single"/>
                <w:lang w:val="en-US"/>
              </w:rPr>
            </w:pPr>
            <w:hyperlink r:id="rId34"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9B0F10">
            <w:pPr>
              <w:rPr>
                <w:color w:val="0000FF"/>
                <w:u w:val="single"/>
                <w:lang w:val="en-US"/>
              </w:rPr>
            </w:pPr>
            <w:hyperlink r:id="rId35"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9B0F10">
            <w:pPr>
              <w:rPr>
                <w:lang w:val="en-US"/>
              </w:rPr>
            </w:pPr>
            <w:hyperlink r:id="rId36"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9B0F10">
            <w:pPr>
              <w:rPr>
                <w:color w:val="0000FF"/>
                <w:u w:val="single"/>
                <w:lang w:val="en-US"/>
              </w:rPr>
            </w:pPr>
            <w:hyperlink r:id="rId37"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9B0F10">
            <w:pPr>
              <w:rPr>
                <w:color w:val="0000FF"/>
                <w:u w:val="single"/>
                <w:lang w:val="en-US"/>
              </w:rPr>
            </w:pPr>
            <w:hyperlink r:id="rId38"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9B0F10">
            <w:pPr>
              <w:rPr>
                <w:color w:val="0000FF"/>
                <w:u w:val="single"/>
                <w:lang w:val="en-US"/>
              </w:rPr>
            </w:pPr>
            <w:hyperlink r:id="rId39"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9B0F10">
            <w:pPr>
              <w:rPr>
                <w:color w:val="0000FF"/>
                <w:u w:val="single"/>
                <w:lang w:val="en-US"/>
              </w:rPr>
            </w:pPr>
            <w:hyperlink r:id="rId40"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9B0F10">
            <w:pPr>
              <w:rPr>
                <w:color w:val="0000FF"/>
                <w:u w:val="single"/>
                <w:lang w:val="en-US"/>
              </w:rPr>
            </w:pPr>
            <w:hyperlink r:id="rId41"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9B0F10">
            <w:pPr>
              <w:rPr>
                <w:color w:val="0000FF"/>
                <w:u w:val="single"/>
                <w:lang w:val="en-US"/>
              </w:rPr>
            </w:pPr>
            <w:hyperlink r:id="rId42"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9B0F10">
            <w:pPr>
              <w:rPr>
                <w:color w:val="0000FF"/>
                <w:u w:val="single"/>
                <w:lang w:val="en-US"/>
              </w:rPr>
            </w:pPr>
            <w:hyperlink r:id="rId43"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9B0F10">
            <w:pPr>
              <w:rPr>
                <w:color w:val="0000FF"/>
                <w:u w:val="single"/>
                <w:lang w:val="en-US"/>
              </w:rPr>
            </w:pPr>
            <w:hyperlink r:id="rId44"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9B0F10">
            <w:pPr>
              <w:rPr>
                <w:color w:val="0000FF"/>
                <w:u w:val="single"/>
                <w:lang w:val="en-US"/>
              </w:rPr>
            </w:pPr>
            <w:hyperlink r:id="rId45"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9B0F10">
            <w:pPr>
              <w:rPr>
                <w:color w:val="0000FF"/>
                <w:u w:val="single"/>
                <w:lang w:val="en-US"/>
              </w:rPr>
            </w:pPr>
            <w:hyperlink r:id="rId46"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proofErr w:type="spellStart"/>
            <w:r>
              <w:rPr>
                <w:lang w:val="en-US"/>
              </w:rPr>
              <w:t>InterDigital</w:t>
            </w:r>
            <w:proofErr w:type="spellEnd"/>
            <w:r>
              <w:rPr>
                <w:lang w:val="en-US"/>
              </w:rPr>
              <w:t>,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9B0F10">
            <w:pPr>
              <w:rPr>
                <w:color w:val="0000FF"/>
                <w:u w:val="single"/>
                <w:lang w:val="en-US"/>
              </w:rPr>
            </w:pPr>
            <w:hyperlink r:id="rId47"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9B0F10">
            <w:pPr>
              <w:rPr>
                <w:color w:val="0000FF"/>
                <w:u w:val="single"/>
                <w:lang w:val="en-US"/>
              </w:rPr>
            </w:pPr>
            <w:hyperlink r:id="rId48"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9B0F10">
            <w:pPr>
              <w:rPr>
                <w:color w:val="0000FF"/>
                <w:u w:val="single"/>
                <w:lang w:val="en-US"/>
              </w:rPr>
            </w:pPr>
            <w:hyperlink r:id="rId49"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9B0F10">
            <w:pPr>
              <w:rPr>
                <w:color w:val="0000FF"/>
                <w:u w:val="single"/>
                <w:lang w:val="en-US"/>
              </w:rPr>
            </w:pPr>
            <w:hyperlink r:id="rId50"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9B0F10">
            <w:pPr>
              <w:rPr>
                <w:lang w:val="en-US"/>
              </w:rPr>
            </w:pPr>
            <w:hyperlink r:id="rId51"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proofErr w:type="spellStart"/>
            <w:r>
              <w:rPr>
                <w:lang w:val="en-US"/>
              </w:rPr>
              <w:t>ASUSTeK</w:t>
            </w:r>
            <w:proofErr w:type="spellEnd"/>
            <w:r>
              <w:rPr>
                <w:lang w:val="en-US"/>
              </w:rPr>
              <w:t xml:space="preserve">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9B0F10">
            <w:pPr>
              <w:rPr>
                <w:rStyle w:val="Hyperlink"/>
                <w:color w:val="0000FF"/>
                <w:lang w:val="en-US"/>
              </w:rPr>
            </w:pPr>
            <w:hyperlink r:id="rId52"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9B0F10">
            <w:pPr>
              <w:rPr>
                <w:rStyle w:val="Hyperlink"/>
                <w:color w:val="0000FF"/>
                <w:lang w:val="en-US"/>
              </w:rPr>
            </w:pPr>
            <w:hyperlink r:id="rId53"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9B0F10">
            <w:pPr>
              <w:rPr>
                <w:lang w:val="en-US"/>
              </w:rPr>
            </w:pPr>
            <w:hyperlink r:id="rId54"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9B0F10">
            <w:pPr>
              <w:rPr>
                <w:color w:val="0000FF"/>
                <w:u w:val="single"/>
                <w:lang w:val="en-US"/>
              </w:rPr>
            </w:pPr>
            <w:hyperlink r:id="rId55"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9B0F10">
            <w:pPr>
              <w:rPr>
                <w:color w:val="0000FF"/>
                <w:u w:val="single"/>
                <w:lang w:val="en-US"/>
              </w:rPr>
            </w:pPr>
            <w:hyperlink r:id="rId56"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9B0F10">
            <w:pPr>
              <w:rPr>
                <w:lang w:val="en-US"/>
              </w:rPr>
            </w:pPr>
            <w:hyperlink r:id="rId57"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9B0F10">
            <w:pPr>
              <w:rPr>
                <w:lang w:val="en-US"/>
              </w:rPr>
            </w:pPr>
            <w:hyperlink r:id="rId58"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9B0F10">
            <w:pPr>
              <w:rPr>
                <w:lang w:val="en-US"/>
              </w:rPr>
            </w:pPr>
            <w:hyperlink r:id="rId59"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9B0F10">
            <w:pPr>
              <w:rPr>
                <w:lang w:val="en-US"/>
              </w:rPr>
            </w:pPr>
            <w:hyperlink r:id="rId60"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9B0F10">
            <w:pPr>
              <w:rPr>
                <w:lang w:val="en-US"/>
              </w:rPr>
            </w:pPr>
            <w:hyperlink r:id="rId61"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9B0F10">
            <w:pPr>
              <w:rPr>
                <w:lang w:val="en-US"/>
              </w:rPr>
            </w:pPr>
            <w:hyperlink r:id="rId62"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9B0F10">
            <w:pPr>
              <w:rPr>
                <w:color w:val="0000FF"/>
                <w:u w:val="single"/>
                <w:lang w:val="en-US"/>
              </w:rPr>
            </w:pPr>
            <w:hyperlink r:id="rId63"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9B0F10">
            <w:pPr>
              <w:rPr>
                <w:color w:val="0000FF"/>
                <w:u w:val="single"/>
                <w:lang w:val="en-US"/>
              </w:rPr>
            </w:pPr>
            <w:hyperlink r:id="rId64"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9B0F10">
            <w:hyperlink r:id="rId65"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9B0F10">
            <w:hyperlink r:id="rId66"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9B0F10">
            <w:hyperlink r:id="rId67"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9B0F10">
            <w:hyperlink r:id="rId68"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9B0F10" w:rsidP="00C9171C">
            <w:hyperlink r:id="rId69"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149FE" w14:textId="77777777" w:rsidR="009B0F10" w:rsidRDefault="009B0F10" w:rsidP="00317BFE">
      <w:pPr>
        <w:spacing w:after="0" w:line="240" w:lineRule="auto"/>
      </w:pPr>
      <w:r>
        <w:separator/>
      </w:r>
    </w:p>
  </w:endnote>
  <w:endnote w:type="continuationSeparator" w:id="0">
    <w:p w14:paraId="2F9A3BDC" w14:textId="77777777" w:rsidR="009B0F10" w:rsidRDefault="009B0F10"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57E1C" w14:textId="77777777" w:rsidR="009B0F10" w:rsidRDefault="009B0F10" w:rsidP="00317BFE">
      <w:pPr>
        <w:spacing w:after="0" w:line="240" w:lineRule="auto"/>
      </w:pPr>
      <w:r>
        <w:separator/>
      </w:r>
    </w:p>
  </w:footnote>
  <w:footnote w:type="continuationSeparator" w:id="0">
    <w:p w14:paraId="73B5BB4E" w14:textId="77777777" w:rsidR="009B0F10" w:rsidRDefault="009B0F10"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9"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3"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9"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0"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6"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3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3"/>
  </w:num>
  <w:num w:numId="5">
    <w:abstractNumId w:val="65"/>
    <w:lvlOverride w:ilvl="0">
      <w:startOverride w:val="1"/>
    </w:lvlOverride>
  </w:num>
  <w:num w:numId="6">
    <w:abstractNumId w:val="66"/>
  </w:num>
  <w:num w:numId="7">
    <w:abstractNumId w:val="93"/>
  </w:num>
  <w:num w:numId="8">
    <w:abstractNumId w:val="28"/>
  </w:num>
  <w:num w:numId="9">
    <w:abstractNumId w:val="105"/>
  </w:num>
  <w:num w:numId="10">
    <w:abstractNumId w:val="33"/>
  </w:num>
  <w:num w:numId="11">
    <w:abstractNumId w:val="30"/>
  </w:num>
  <w:num w:numId="12">
    <w:abstractNumId w:val="111"/>
  </w:num>
  <w:num w:numId="13">
    <w:abstractNumId w:val="64"/>
  </w:num>
  <w:num w:numId="14">
    <w:abstractNumId w:val="79"/>
  </w:num>
  <w:num w:numId="15">
    <w:abstractNumId w:val="72"/>
  </w:num>
  <w:num w:numId="16">
    <w:abstractNumId w:val="61"/>
  </w:num>
  <w:num w:numId="17">
    <w:abstractNumId w:val="94"/>
  </w:num>
  <w:num w:numId="18">
    <w:abstractNumId w:val="114"/>
  </w:num>
  <w:num w:numId="19">
    <w:abstractNumId w:val="16"/>
  </w:num>
  <w:num w:numId="20">
    <w:abstractNumId w:val="23"/>
  </w:num>
  <w:num w:numId="21">
    <w:abstractNumId w:val="41"/>
  </w:num>
  <w:num w:numId="22">
    <w:abstractNumId w:val="60"/>
  </w:num>
  <w:num w:numId="23">
    <w:abstractNumId w:val="91"/>
  </w:num>
  <w:num w:numId="24">
    <w:abstractNumId w:val="73"/>
  </w:num>
  <w:num w:numId="25">
    <w:abstractNumId w:val="25"/>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2"/>
  </w:num>
  <w:num w:numId="29">
    <w:abstractNumId w:val="87"/>
  </w:num>
  <w:num w:numId="30">
    <w:abstractNumId w:val="130"/>
  </w:num>
  <w:num w:numId="31">
    <w:abstractNumId w:val="67"/>
  </w:num>
  <w:num w:numId="32">
    <w:abstractNumId w:val="106"/>
  </w:num>
  <w:num w:numId="33">
    <w:abstractNumId w:val="117"/>
  </w:num>
  <w:num w:numId="34">
    <w:abstractNumId w:val="12"/>
  </w:num>
  <w:num w:numId="35">
    <w:abstractNumId w:val="48"/>
  </w:num>
  <w:num w:numId="36">
    <w:abstractNumId w:val="135"/>
  </w:num>
  <w:num w:numId="37">
    <w:abstractNumId w:val="101"/>
  </w:num>
  <w:num w:numId="38">
    <w:abstractNumId w:val="121"/>
  </w:num>
  <w:num w:numId="39">
    <w:abstractNumId w:val="112"/>
  </w:num>
  <w:num w:numId="40">
    <w:abstractNumId w:val="90"/>
  </w:num>
  <w:num w:numId="41">
    <w:abstractNumId w:val="8"/>
  </w:num>
  <w:num w:numId="42">
    <w:abstractNumId w:val="20"/>
  </w:num>
  <w:num w:numId="43">
    <w:abstractNumId w:val="58"/>
  </w:num>
  <w:num w:numId="44">
    <w:abstractNumId w:val="19"/>
  </w:num>
  <w:num w:numId="45">
    <w:abstractNumId w:val="50"/>
  </w:num>
  <w:num w:numId="46">
    <w:abstractNumId w:val="99"/>
  </w:num>
  <w:num w:numId="47">
    <w:abstractNumId w:val="29"/>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num>
  <w:num w:numId="50">
    <w:abstractNumId w:val="39"/>
  </w:num>
  <w:num w:numId="51">
    <w:abstractNumId w:val="4"/>
  </w:num>
  <w:num w:numId="52">
    <w:abstractNumId w:val="92"/>
  </w:num>
  <w:num w:numId="53">
    <w:abstractNumId w:val="76"/>
  </w:num>
  <w:num w:numId="54">
    <w:abstractNumId w:val="7"/>
  </w:num>
  <w:num w:numId="55">
    <w:abstractNumId w:val="128"/>
  </w:num>
  <w:num w:numId="56">
    <w:abstractNumId w:val="133"/>
  </w:num>
  <w:num w:numId="57">
    <w:abstractNumId w:val="119"/>
  </w:num>
  <w:num w:numId="58">
    <w:abstractNumId w:val="107"/>
  </w:num>
  <w:num w:numId="59">
    <w:abstractNumId w:val="0"/>
  </w:num>
  <w:num w:numId="60">
    <w:abstractNumId w:val="110"/>
  </w:num>
  <w:num w:numId="61">
    <w:abstractNumId w:val="51"/>
  </w:num>
  <w:num w:numId="62">
    <w:abstractNumId w:val="59"/>
  </w:num>
  <w:num w:numId="63">
    <w:abstractNumId w:val="26"/>
  </w:num>
  <w:num w:numId="64">
    <w:abstractNumId w:val="100"/>
  </w:num>
  <w:num w:numId="65">
    <w:abstractNumId w:val="88"/>
  </w:num>
  <w:num w:numId="66">
    <w:abstractNumId w:val="84"/>
  </w:num>
  <w:num w:numId="67">
    <w:abstractNumId w:val="35"/>
  </w:num>
  <w:num w:numId="68">
    <w:abstractNumId w:val="36"/>
  </w:num>
  <w:num w:numId="69">
    <w:abstractNumId w:val="6"/>
  </w:num>
  <w:num w:numId="70">
    <w:abstractNumId w:val="98"/>
  </w:num>
  <w:num w:numId="71">
    <w:abstractNumId w:val="11"/>
  </w:num>
  <w:num w:numId="72">
    <w:abstractNumId w:val="68"/>
  </w:num>
  <w:num w:numId="73">
    <w:abstractNumId w:val="1"/>
  </w:num>
  <w:num w:numId="74">
    <w:abstractNumId w:val="24"/>
  </w:num>
  <w:num w:numId="75">
    <w:abstractNumId w:val="83"/>
  </w:num>
  <w:num w:numId="76">
    <w:abstractNumId w:val="9"/>
  </w:num>
  <w:num w:numId="77">
    <w:abstractNumId w:val="113"/>
  </w:num>
  <w:num w:numId="78">
    <w:abstractNumId w:val="125"/>
  </w:num>
  <w:num w:numId="79">
    <w:abstractNumId w:val="69"/>
  </w:num>
  <w:num w:numId="80">
    <w:abstractNumId w:val="5"/>
  </w:num>
  <w:num w:numId="81">
    <w:abstractNumId w:val="47"/>
  </w:num>
  <w:num w:numId="82">
    <w:abstractNumId w:val="127"/>
  </w:num>
  <w:num w:numId="83">
    <w:abstractNumId w:val="116"/>
  </w:num>
  <w:num w:numId="84">
    <w:abstractNumId w:val="18"/>
  </w:num>
  <w:num w:numId="85">
    <w:abstractNumId w:val="44"/>
  </w:num>
  <w:num w:numId="86">
    <w:abstractNumId w:val="85"/>
  </w:num>
  <w:num w:numId="87">
    <w:abstractNumId w:val="22"/>
  </w:num>
  <w:num w:numId="88">
    <w:abstractNumId w:val="31"/>
  </w:num>
  <w:num w:numId="89">
    <w:abstractNumId w:val="13"/>
  </w:num>
  <w:num w:numId="90">
    <w:abstractNumId w:val="77"/>
  </w:num>
  <w:num w:numId="91">
    <w:abstractNumId w:val="15"/>
  </w:num>
  <w:num w:numId="92">
    <w:abstractNumId w:val="57"/>
  </w:num>
  <w:num w:numId="93">
    <w:abstractNumId w:val="136"/>
  </w:num>
  <w:num w:numId="94">
    <w:abstractNumId w:val="108"/>
  </w:num>
  <w:num w:numId="95">
    <w:abstractNumId w:val="89"/>
  </w:num>
  <w:num w:numId="96">
    <w:abstractNumId w:val="1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num>
  <w:num w:numId="98">
    <w:abstractNumId w:val="54"/>
  </w:num>
  <w:num w:numId="99">
    <w:abstractNumId w:val="46"/>
  </w:num>
  <w:num w:numId="100">
    <w:abstractNumId w:val="132"/>
  </w:num>
  <w:num w:numId="101">
    <w:abstractNumId w:val="109"/>
  </w:num>
  <w:num w:numId="102">
    <w:abstractNumId w:val="56"/>
  </w:num>
  <w:num w:numId="103">
    <w:abstractNumId w:val="118"/>
  </w:num>
  <w:num w:numId="104">
    <w:abstractNumId w:val="131"/>
  </w:num>
  <w:num w:numId="105">
    <w:abstractNumId w:val="42"/>
  </w:num>
  <w:num w:numId="106">
    <w:abstractNumId w:val="124"/>
  </w:num>
  <w:num w:numId="107">
    <w:abstractNumId w:val="78"/>
  </w:num>
  <w:num w:numId="108">
    <w:abstractNumId w:val="115"/>
  </w:num>
  <w:num w:numId="109">
    <w:abstractNumId w:val="62"/>
  </w:num>
  <w:num w:numId="110">
    <w:abstractNumId w:val="74"/>
  </w:num>
  <w:num w:numId="111">
    <w:abstractNumId w:val="27"/>
  </w:num>
  <w:num w:numId="112">
    <w:abstractNumId w:val="137"/>
  </w:num>
  <w:num w:numId="113">
    <w:abstractNumId w:val="123"/>
  </w:num>
  <w:num w:numId="114">
    <w:abstractNumId w:val="129"/>
  </w:num>
  <w:num w:numId="115">
    <w:abstractNumId w:val="81"/>
  </w:num>
  <w:num w:numId="116">
    <w:abstractNumId w:val="37"/>
  </w:num>
  <w:num w:numId="117">
    <w:abstractNumId w:val="97"/>
  </w:num>
  <w:num w:numId="118">
    <w:abstractNumId w:val="104"/>
  </w:num>
  <w:num w:numId="119">
    <w:abstractNumId w:val="17"/>
  </w:num>
  <w:num w:numId="120">
    <w:abstractNumId w:val="52"/>
  </w:num>
  <w:num w:numId="121">
    <w:abstractNumId w:val="134"/>
  </w:num>
  <w:num w:numId="122">
    <w:abstractNumId w:val="14"/>
  </w:num>
  <w:num w:numId="123">
    <w:abstractNumId w:val="122"/>
  </w:num>
  <w:num w:numId="124">
    <w:abstractNumId w:val="86"/>
  </w:num>
  <w:num w:numId="125">
    <w:abstractNumId w:val="96"/>
  </w:num>
  <w:num w:numId="126">
    <w:abstractNumId w:val="55"/>
  </w:num>
  <w:num w:numId="127">
    <w:abstractNumId w:val="80"/>
  </w:num>
  <w:num w:numId="128">
    <w:abstractNumId w:val="82"/>
  </w:num>
  <w:num w:numId="129">
    <w:abstractNumId w:val="75"/>
  </w:num>
  <w:num w:numId="130">
    <w:abstractNumId w:val="38"/>
  </w:num>
  <w:num w:numId="131">
    <w:abstractNumId w:val="103"/>
  </w:num>
  <w:num w:numId="132">
    <w:abstractNumId w:val="63"/>
  </w:num>
  <w:num w:numId="133">
    <w:abstractNumId w:val="53"/>
  </w:num>
  <w:num w:numId="134">
    <w:abstractNumId w:val="40"/>
  </w:num>
  <w:num w:numId="135">
    <w:abstractNumId w:val="95"/>
  </w:num>
  <w:num w:numId="136">
    <w:abstractNumId w:val="34"/>
  </w:num>
  <w:num w:numId="137">
    <w:abstractNumId w:val="45"/>
  </w:num>
  <w:num w:numId="138">
    <w:abstractNumId w:val="49"/>
  </w:num>
  <w:num w:numId="139">
    <w:abstractNumId w:val="126"/>
  </w:num>
  <w:num w:numId="140">
    <w:abstractNumId w:val="3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hyperlink" Target="https://www.3gpp.org/ftp/TSG_RAN/WG1_RL1/TSGR1_106-e/Docs/R1-2108270.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69" Type="http://schemas.openxmlformats.org/officeDocument/2006/relationships/hyperlink" Target="https://www.3gpp.org/ftp/TSG_RAN/WG1_RL1/TSGR1_106-e/Docs/R1-210849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hyperlink" Target="https://www.3gpp.org/ftp/TSG_RAN/WG1_RL1/TSGR1_106-e/Docs/R1-2108269.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134</Pages>
  <Words>52316</Words>
  <Characters>298203</Characters>
  <Application>Microsoft Office Word</Application>
  <DocSecurity>0</DocSecurity>
  <Lines>2485</Lines>
  <Paragraphs>699</Paragraphs>
  <ScaleCrop>false</ScaleCrop>
  <Company>Panasonic Corporation</Company>
  <LinksUpToDate>false</LinksUpToDate>
  <CharactersWithSpaces>349820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8</cp:revision>
  <dcterms:created xsi:type="dcterms:W3CDTF">2021-08-26T18:12:00Z</dcterms:created>
  <dcterms:modified xsi:type="dcterms:W3CDTF">2021-08-26T18:21:00Z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