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sidRPr="00DD2087">
              <w:rPr>
                <w:rFonts w:eastAsiaTheme="minorEastAsia"/>
                <w:lang w:val="en-US" w:eastAsia="zh-CN"/>
              </w:rPr>
              <w:t>RedCap’s</w:t>
            </w:r>
            <w:proofErr w:type="spellEnd"/>
            <w:r w:rsidRPr="00DD2087">
              <w:rPr>
                <w:rFonts w:eastAsiaTheme="minorEastAsia"/>
                <w:lang w:val="en-US" w:eastAsia="zh-CN"/>
              </w:rPr>
              <w:t xml:space="preserve">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w:t>
            </w:r>
            <w:proofErr w:type="spellStart"/>
            <w:r w:rsidRPr="00DD2087">
              <w:rPr>
                <w:rFonts w:ascii="Times New Roman" w:eastAsia="Batang" w:hAnsi="Times New Roman" w:cs="Times New Roman"/>
                <w:sz w:val="20"/>
                <w:szCs w:val="20"/>
                <w:lang w:val="en-US" w:eastAsia="ko-KR"/>
              </w:rPr>
              <w:t>msgB</w:t>
            </w:r>
            <w:proofErr w:type="spellEnd"/>
            <w:r w:rsidRPr="00DD2087">
              <w:rPr>
                <w:rFonts w:ascii="Times New Roman" w:eastAsia="Batang" w:hAnsi="Times New Roman" w:cs="Times New Roman"/>
                <w:sz w:val="20"/>
                <w:szCs w:val="20"/>
                <w:lang w:val="en-US" w:eastAsia="ko-KR"/>
              </w:rPr>
              <w:t>/WUS/paging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 xml:space="preserve">Also agree with </w:t>
            </w:r>
            <w:proofErr w:type="spellStart"/>
            <w:r w:rsidRPr="00DD2087">
              <w:rPr>
                <w:rFonts w:eastAsiaTheme="minorEastAsia"/>
                <w:lang w:val="en-US" w:eastAsia="zh-CN"/>
              </w:rPr>
              <w:t>xiaomi</w:t>
            </w:r>
            <w:proofErr w:type="spellEnd"/>
            <w:r w:rsidRPr="00DD2087">
              <w:rPr>
                <w:rFonts w:eastAsiaTheme="minorEastAsia"/>
                <w:lang w:val="en-US" w:eastAsia="zh-CN"/>
              </w:rPr>
              <w:t xml:space="preserve">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In NR CORESET#0 must be within initial DL BWP on </w:t>
            </w:r>
            <w:proofErr w:type="spellStart"/>
            <w:r w:rsidRPr="00DD2087">
              <w:rPr>
                <w:rFonts w:ascii="Times New Roman" w:hAnsi="Times New Roman" w:cs="Times New Roman"/>
                <w:sz w:val="20"/>
                <w:szCs w:val="20"/>
                <w:lang w:val="en-US" w:eastAsia="zh-CN"/>
              </w:rPr>
              <w:t>PCell</w:t>
            </w:r>
            <w:proofErr w:type="spellEnd"/>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 xml:space="preserve">/defined separately from the initial DL BWP for non-RedCap </w:t>
            </w:r>
            <w:proofErr w:type="spellStart"/>
            <w:r w:rsidRPr="00DD2087">
              <w:rPr>
                <w:lang w:val="en-US"/>
              </w:rPr>
              <w:t>Ues</w:t>
            </w:r>
            <w:proofErr w:type="spellEnd"/>
            <w:r w:rsidRPr="00DD2087">
              <w:rPr>
                <w:lang w:val="en-US"/>
              </w:rPr>
              <w:t xml:space="preserve">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 xml:space="preserve">Lenovo, Motorola </w:t>
            </w:r>
            <w:proofErr w:type="spellStart"/>
            <w:r w:rsidRPr="00DD2087">
              <w:rPr>
                <w:rFonts w:eastAsia="Yu Mincho"/>
                <w:lang w:val="en-US" w:eastAsia="ja-JP"/>
              </w:rPr>
              <w:t>Mobitity</w:t>
            </w:r>
            <w:proofErr w:type="spellEnd"/>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sidRPr="00DD2087">
        <w:rPr>
          <w:i/>
          <w:lang w:val="en-US"/>
        </w:rPr>
        <w:t>locationAndBandwidth</w:t>
      </w:r>
      <w:proofErr w:type="spellEnd"/>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w:t>
            </w:r>
            <w:proofErr w:type="spellStart"/>
            <w:r w:rsidRPr="00DD2087">
              <w:rPr>
                <w:rFonts w:ascii="Times New Roman" w:hAnsi="Times New Roman" w:cs="Times New Roman"/>
                <w:sz w:val="20"/>
                <w:szCs w:val="20"/>
                <w:lang w:val="en-US" w:eastAsia="ko-KR"/>
              </w:rPr>
              <w:t>msgB</w:t>
            </w:r>
            <w:proofErr w:type="spellEnd"/>
            <w:r w:rsidRPr="00DD2087">
              <w:rPr>
                <w:rFonts w:ascii="Times New Roman" w:hAnsi="Times New Roman" w:cs="Times New Roman"/>
                <w:sz w:val="20"/>
                <w:szCs w:val="20"/>
                <w:lang w:val="en-US" w:eastAsia="ko-KR"/>
              </w:rPr>
              <w:t xml:space="preserve">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w:t>
            </w:r>
            <w:proofErr w:type="spellStart"/>
            <w:r w:rsidRPr="00DD2087">
              <w:rPr>
                <w:rFonts w:eastAsiaTheme="minorEastAsia"/>
                <w:lang w:val="en-US" w:eastAsia="zh-CN"/>
              </w:rPr>
              <w:t>centre</w:t>
            </w:r>
            <w:proofErr w:type="spellEnd"/>
            <w:r w:rsidRPr="00DD2087">
              <w:rPr>
                <w:rFonts w:eastAsiaTheme="minorEastAsia"/>
                <w:lang w:val="en-US" w:eastAsia="zh-CN"/>
              </w:rPr>
              <w:t xml:space="preserv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sidRPr="00DD2087">
              <w:rPr>
                <w:rFonts w:eastAsiaTheme="minorEastAsia"/>
                <w:lang w:val="en-US" w:eastAsia="zh-CN"/>
              </w:rPr>
              <w:t>SIBx</w:t>
            </w:r>
            <w:proofErr w:type="spellEnd"/>
            <w:r w:rsidRPr="00DD2087">
              <w:rPr>
                <w:rFonts w:eastAsiaTheme="minorEastAsia"/>
                <w:lang w:val="en-US" w:eastAsia="zh-CN"/>
              </w:rPr>
              <w:t>),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 xml:space="preserve">(2) Should the gNB transmit </w:t>
            </w:r>
            <w:proofErr w:type="spellStart"/>
            <w:r w:rsidRPr="00DD2087">
              <w:rPr>
                <w:rFonts w:eastAsiaTheme="minorEastAsia"/>
                <w:lang w:val="en-US" w:eastAsia="zh-CN"/>
              </w:rPr>
              <w:t>SIBx</w:t>
            </w:r>
            <w:proofErr w:type="spellEnd"/>
            <w:r w:rsidRPr="00DD2087">
              <w:rPr>
                <w:rFonts w:eastAsiaTheme="minorEastAsia"/>
                <w:lang w:val="en-US" w:eastAsia="zh-CN"/>
              </w:rPr>
              <w:t xml:space="preserve"> (other than SIB1) in the separate initial DL BWP? If yes, does it mean the gNB may be required to double the </w:t>
            </w:r>
            <w:proofErr w:type="spellStart"/>
            <w:r w:rsidRPr="00DD2087">
              <w:rPr>
                <w:rFonts w:eastAsiaTheme="minorEastAsia"/>
                <w:lang w:val="en-US" w:eastAsia="zh-CN"/>
              </w:rPr>
              <w:t>SIBx</w:t>
            </w:r>
            <w:proofErr w:type="spellEnd"/>
            <w:r w:rsidRPr="00DD2087">
              <w:rPr>
                <w:rFonts w:eastAsiaTheme="minorEastAsia"/>
                <w:lang w:val="en-US" w:eastAsia="zh-CN"/>
              </w:rPr>
              <w:t xml:space="preserve">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proofErr w:type="spellStart"/>
            <w:r w:rsidRPr="00DD2087">
              <w:rPr>
                <w:b/>
                <w:strike/>
                <w:color w:val="00B0F0"/>
                <w:lang w:val="en-US"/>
              </w:rPr>
              <w:t>A</w:t>
            </w:r>
            <w:proofErr w:type="spellEnd"/>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w:t>
            </w:r>
            <w:proofErr w:type="spellStart"/>
            <w:r w:rsidRPr="00DD2087">
              <w:rPr>
                <w:rFonts w:eastAsia="SimSun"/>
                <w:lang w:val="en-US" w:eastAsia="zh-CN"/>
              </w:rPr>
              <w:t>iDL</w:t>
            </w:r>
            <w:proofErr w:type="spellEnd"/>
            <w:r w:rsidRPr="00DD2087">
              <w:rPr>
                <w:rFonts w:eastAsia="SimSun"/>
                <w:lang w:val="en-US" w:eastAsia="zh-CN"/>
              </w:rPr>
              <w:t xml:space="preserve">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 xml:space="preserve">and Common CORESETs configured by </w:t>
            </w:r>
            <w:proofErr w:type="spellStart"/>
            <w:r w:rsidRPr="00DD2087">
              <w:rPr>
                <w:lang w:val="en-US" w:eastAsia="ko-KR"/>
              </w:rPr>
              <w:t>pddch-ConfigCommon</w:t>
            </w:r>
            <w:proofErr w:type="spellEnd"/>
          </w:p>
          <w:p w14:paraId="0E5890C6" w14:textId="77777777" w:rsidR="003B4CD9" w:rsidRPr="00DD2087" w:rsidRDefault="004B213F">
            <w:pPr>
              <w:rPr>
                <w:lang w:val="en-US" w:eastAsia="ko-KR"/>
              </w:rPr>
            </w:pPr>
            <w:r w:rsidRPr="00DD2087">
              <w:rPr>
                <w:lang w:val="en-US" w:eastAsia="ko-KR"/>
              </w:rPr>
              <w:t xml:space="preserve">need for </w:t>
            </w:r>
            <w:proofErr w:type="spellStart"/>
            <w:r w:rsidRPr="00DD2087">
              <w:rPr>
                <w:lang w:val="en-US" w:eastAsia="ko-KR"/>
              </w:rPr>
              <w:t>pdcch-ConfigCommon</w:t>
            </w:r>
            <w:proofErr w:type="spellEnd"/>
            <w:r w:rsidRPr="00DD2087">
              <w:rPr>
                <w:lang w:val="en-US" w:eastAsia="ko-KR"/>
              </w:rPr>
              <w:t xml:space="preserve">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w:t>
            </w:r>
            <w:proofErr w:type="spellStart"/>
            <w:r w:rsidRPr="00DD2087">
              <w:rPr>
                <w:rFonts w:eastAsia="Yu Mincho"/>
                <w:lang w:val="en-US" w:eastAsia="ja-JP"/>
              </w:rPr>
              <w:t>centre</w:t>
            </w:r>
            <w:proofErr w:type="spellEnd"/>
            <w:r w:rsidRPr="00DD2087">
              <w:rPr>
                <w:rFonts w:eastAsia="Yu Mincho"/>
                <w:lang w:val="en-US" w:eastAsia="ja-JP"/>
              </w:rPr>
              <w:t xml:space="preserv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SIB1 also provides information about availability and scheduling (e.g., periodicity, SI-window size) of other SIBs (</w:t>
            </w:r>
            <w:proofErr w:type="spellStart"/>
            <w:r w:rsidRPr="00DD2087">
              <w:rPr>
                <w:lang w:val="en-US" w:eastAsia="ko-KR"/>
              </w:rPr>
              <w:t>SIBx</w:t>
            </w:r>
            <w:proofErr w:type="spellEnd"/>
            <w:r w:rsidRPr="00DD2087">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DD2087">
              <w:rPr>
                <w:rFonts w:ascii="Times New Roman" w:hAnsi="Times New Roman" w:cs="Times New Roman"/>
                <w:sz w:val="20"/>
                <w:szCs w:val="20"/>
                <w:lang w:val="en-US" w:eastAsia="zh-CN"/>
              </w:rPr>
              <w:t>RedCap’s</w:t>
            </w:r>
            <w:proofErr w:type="spellEnd"/>
            <w:r w:rsidRPr="00DD2087">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proofErr w:type="spellStart"/>
            <w:r w:rsidRPr="00DD2087">
              <w:rPr>
                <w:highlight w:val="green"/>
              </w:rPr>
              <w:t>Agreement</w:t>
            </w:r>
            <w:r w:rsidRPr="00DD2087">
              <w:t>:Take</w:t>
            </w:r>
            <w:proofErr w:type="spellEnd"/>
            <w:r w:rsidRPr="00DD2087">
              <w:t xml:space="preserv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We still prefer NOT to agree to use of the separate initial DL BWP during initial access before we know some of the related details, esp. related to center-</w:t>
            </w:r>
            <w:proofErr w:type="spellStart"/>
            <w:r w:rsidRPr="00DD2087">
              <w:rPr>
                <w:rFonts w:eastAsiaTheme="minorEastAsia"/>
                <w:lang w:val="en-US" w:eastAsia="zh-CN"/>
              </w:rPr>
              <w:t>freq</w:t>
            </w:r>
            <w:proofErr w:type="spellEnd"/>
            <w:r w:rsidRPr="00DD2087">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w:t>
            </w:r>
            <w:proofErr w:type="spellStart"/>
            <w:r w:rsidRPr="00DD2087">
              <w:rPr>
                <w:rFonts w:eastAsiaTheme="minorEastAsia"/>
                <w:lang w:val="en-US" w:eastAsia="zh-CN"/>
              </w:rPr>
              <w:t>Vivo’s</w:t>
            </w:r>
            <w:proofErr w:type="spellEnd"/>
            <w:r w:rsidRPr="00DD2087">
              <w:rPr>
                <w:rFonts w:eastAsiaTheme="minorEastAsia"/>
                <w:lang w:val="en-US" w:eastAsia="zh-CN"/>
              </w:rPr>
              <w:t xml:space="preserve">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sidRPr="00DD2087">
              <w:rPr>
                <w:rFonts w:ascii="Times New Roman" w:eastAsiaTheme="minorEastAsia" w:hAnsi="Times New Roman" w:cs="Times New Roman"/>
                <w:sz w:val="20"/>
                <w:szCs w:val="20"/>
                <w:lang w:val="en-US" w:eastAsia="zh-CN"/>
              </w:rPr>
              <w:t>RedCap’s</w:t>
            </w:r>
            <w:proofErr w:type="spellEnd"/>
            <w:r w:rsidRPr="00DD2087">
              <w:rPr>
                <w:rFonts w:ascii="Times New Roman" w:eastAsiaTheme="minorEastAsia" w:hAnsi="Times New Roman" w:cs="Times New Roman"/>
                <w:sz w:val="20"/>
                <w:szCs w:val="20"/>
                <w:lang w:val="en-US" w:eastAsia="zh-CN"/>
              </w:rPr>
              <w:t xml:space="preserve">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sz w:val="20"/>
                <w:szCs w:val="20"/>
                <w:lang w:val="en-US" w:eastAsia="zh-CN"/>
              </w:rPr>
              <w:t>Opt</w:t>
            </w:r>
            <w:proofErr w:type="spellEnd"/>
            <w:r w:rsidRPr="00DD2087">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w:t>
            </w:r>
            <w:proofErr w:type="spellStart"/>
            <w:r w:rsidRPr="00DD2087">
              <w:rPr>
                <w:lang w:val="en-US" w:eastAsia="ko-KR"/>
              </w:rPr>
              <w:t>Vivo’s</w:t>
            </w:r>
            <w:proofErr w:type="spellEnd"/>
            <w:r w:rsidRPr="00DD2087">
              <w:rPr>
                <w:lang w:val="en-US" w:eastAsia="ko-KR"/>
              </w:rPr>
              <w:t xml:space="preserve">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 xml:space="preserve">Based on the </w:t>
            </w:r>
            <w:proofErr w:type="spellStart"/>
            <w:r w:rsidRPr="00DD2087">
              <w:rPr>
                <w:rFonts w:eastAsia="SimSun"/>
                <w:lang w:val="en-US" w:eastAsia="zh-CN"/>
              </w:rPr>
              <w:t>vivo’s</w:t>
            </w:r>
            <w:proofErr w:type="spellEnd"/>
            <w:r w:rsidRPr="00DD2087">
              <w:rPr>
                <w:rFonts w:eastAsia="SimSun"/>
                <w:lang w:val="en-US" w:eastAsia="zh-CN"/>
              </w:rPr>
              <w:t xml:space="preserve">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 xml:space="preserve">FFS: whether a separately configured initial DL BWP for RedCap UEs needs to contain the entire CORESET #0, and, if not, the Redcap UE </w:t>
            </w:r>
            <w:proofErr w:type="spellStart"/>
            <w:r w:rsidRPr="00DD2087">
              <w:rPr>
                <w:lang w:val="en-US" w:eastAsia="zh-CN"/>
              </w:rPr>
              <w:t>behaviour</w:t>
            </w:r>
            <w:proofErr w:type="spellEnd"/>
            <w:r w:rsidRPr="00DD2087">
              <w:rPr>
                <w:lang w:val="en-US" w:eastAsia="zh-CN"/>
              </w:rPr>
              <w:t xml:space="preserve">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w:t>
            </w:r>
            <w:proofErr w:type="spellStart"/>
            <w:r w:rsidRPr="00DD2087">
              <w:rPr>
                <w:rFonts w:eastAsiaTheme="minorEastAsia"/>
                <w:lang w:eastAsia="zh-CN"/>
              </w:rPr>
              <w:t>iDL</w:t>
            </w:r>
            <w:proofErr w:type="spellEnd"/>
            <w:r w:rsidRPr="00DD2087">
              <w:rPr>
                <w:rFonts w:eastAsiaTheme="minorEastAsia"/>
                <w:lang w:eastAsia="zh-CN"/>
              </w:rPr>
              <w:t xml:space="preserve">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proofErr w:type="spellStart"/>
            <w:r w:rsidRPr="00DD2087">
              <w:rPr>
                <w:rFonts w:ascii="Times New Roman" w:eastAsiaTheme="minorEastAsia" w:hAnsi="Times New Roman" w:cs="Times New Roman"/>
                <w:b/>
                <w:sz w:val="20"/>
                <w:szCs w:val="20"/>
                <w:lang w:val="en-US" w:eastAsia="zh-CN"/>
              </w:rPr>
              <w:t>Opt</w:t>
            </w:r>
            <w:proofErr w:type="spellEnd"/>
            <w:r w:rsidRPr="00DD2087">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w:t>
            </w:r>
            <w:proofErr w:type="spellStart"/>
            <w:r w:rsidRPr="00DD2087">
              <w:rPr>
                <w:rFonts w:eastAsiaTheme="minorEastAsia"/>
                <w:lang w:val="en-US" w:eastAsia="zh-CN"/>
              </w:rPr>
              <w:t>HiSi</w:t>
            </w:r>
            <w:proofErr w:type="spellEnd"/>
            <w:r w:rsidRPr="00DD2087">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proofErr w:type="spellStart"/>
      <w:r w:rsidRPr="00DD2087">
        <w:rPr>
          <w:rFonts w:ascii="Times New Roman" w:hAnsi="Times New Roman" w:cs="Times New Roman"/>
          <w:i/>
          <w:iCs/>
          <w:sz w:val="20"/>
          <w:szCs w:val="20"/>
          <w:lang w:val="en-US"/>
        </w:rPr>
        <w:t>locationAndBandwidth</w:t>
      </w:r>
      <w:proofErr w:type="spellEnd"/>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w:t>
            </w:r>
            <w:proofErr w:type="spellStart"/>
            <w:r w:rsidRPr="00DD2087">
              <w:rPr>
                <w:lang w:val="en-US"/>
              </w:rPr>
              <w:t>depriortize</w:t>
            </w:r>
            <w:proofErr w:type="spellEnd"/>
            <w:r w:rsidRPr="00DD2087">
              <w:rPr>
                <w:lang w:val="en-US"/>
              </w:rPr>
              <w:t xml:space="preserv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sidRPr="00DD2087">
              <w:rPr>
                <w:rFonts w:eastAsiaTheme="minorEastAsia"/>
                <w:lang w:val="en-US" w:eastAsia="zh-CN"/>
              </w:rPr>
              <w:t>eMBB</w:t>
            </w:r>
            <w:proofErr w:type="spellEnd"/>
            <w:r w:rsidRPr="00DD2087">
              <w:rPr>
                <w:rFonts w:eastAsiaTheme="minorEastAsia"/>
                <w:lang w:val="en-US" w:eastAsia="zh-CN"/>
              </w:rPr>
              <w:t xml:space="preserve">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w:t>
            </w:r>
            <w:proofErr w:type="spellStart"/>
            <w:r w:rsidRPr="00DD2087">
              <w:rPr>
                <w:lang w:val="en-US" w:eastAsia="ko-KR"/>
              </w:rPr>
              <w:t>Opt</w:t>
            </w:r>
            <w:proofErr w:type="spellEnd"/>
            <w:r w:rsidRPr="00DD2087">
              <w:rPr>
                <w:lang w:val="en-US" w:eastAsia="ko-KR"/>
              </w:rPr>
              <w:t xml:space="preserve">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 xml:space="preserve">For </w:t>
            </w:r>
            <w:proofErr w:type="spellStart"/>
            <w:r w:rsidRPr="00DD2087">
              <w:rPr>
                <w:rFonts w:eastAsiaTheme="minorEastAsia"/>
                <w:lang w:val="en-US" w:eastAsia="zh-CN"/>
              </w:rPr>
              <w:t>a</w:t>
            </w:r>
            <w:proofErr w:type="spellEnd"/>
            <w:r w:rsidRPr="00DD2087">
              <w:rPr>
                <w:rFonts w:eastAsiaTheme="minorEastAsia"/>
                <w:lang w:val="en-US" w:eastAsia="zh-CN"/>
              </w:rPr>
              <w:t xml:space="preserve">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sidRPr="00DD2087">
              <w:rPr>
                <w:rFonts w:eastAsia="Yu Mincho"/>
                <w:lang w:val="en-US" w:eastAsia="ja-JP"/>
              </w:rPr>
              <w:t>vivo’s</w:t>
            </w:r>
            <w:proofErr w:type="spellEnd"/>
            <w:r w:rsidRPr="00DD2087">
              <w:rPr>
                <w:rFonts w:eastAsia="Yu Mincho"/>
                <w:lang w:val="en-US" w:eastAsia="ja-JP"/>
              </w:rPr>
              <w:t xml:space="preserve">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sidRPr="00DD2087">
              <w:rPr>
                <w:rFonts w:ascii="Times New Roman" w:eastAsiaTheme="minorEastAsia" w:hAnsi="Times New Roman" w:cs="Times New Roman"/>
                <w:sz w:val="20"/>
                <w:szCs w:val="20"/>
                <w:lang w:val="en-US" w:eastAsia="zh-CN"/>
              </w:rPr>
              <w:t>nonRedCap</w:t>
            </w:r>
            <w:proofErr w:type="spellEnd"/>
            <w:r w:rsidRPr="00DD2087">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 xml:space="preserve">Based on some of these scenarios for TDD during initial access, it may be preferrable to avoid transmitting the additional SSB. </w:t>
            </w:r>
            <w:proofErr w:type="spellStart"/>
            <w:r w:rsidRPr="00DD2087">
              <w:rPr>
                <w:rFonts w:eastAsia="Yu Mincho"/>
                <w:lang w:val="en-US" w:eastAsia="ja-JP"/>
              </w:rPr>
              <w:t>vivo’s</w:t>
            </w:r>
            <w:proofErr w:type="spellEnd"/>
            <w:r w:rsidRPr="00DD2087">
              <w:rPr>
                <w:rFonts w:eastAsia="Yu Mincho"/>
                <w:lang w:val="en-US" w:eastAsia="ja-JP"/>
              </w:rPr>
              <w:t xml:space="preserve">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w:t>
            </w:r>
            <w:proofErr w:type="spellStart"/>
            <w:r w:rsidRPr="00DD2087">
              <w:t>behavior</w:t>
            </w:r>
            <w:proofErr w:type="spellEnd"/>
            <w:r w:rsidRPr="00DD2087">
              <w:t xml:space="preserve"> of mandating transmission of SSB, but should focus on the UE </w:t>
            </w:r>
            <w:proofErr w:type="spellStart"/>
            <w:r w:rsidRPr="00DD2087">
              <w:t>behavior</w:t>
            </w:r>
            <w:proofErr w:type="spellEnd"/>
            <w:r w:rsidRPr="00DD2087">
              <w:t xml:space="preserve">,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w:t>
            </w:r>
            <w:proofErr w:type="spellStart"/>
            <w:r w:rsidRPr="00DD2087">
              <w:rPr>
                <w:rFonts w:ascii="Times New Roman" w:eastAsiaTheme="minorEastAsia" w:hAnsi="Times New Roman" w:cs="Times New Roman"/>
                <w:sz w:val="20"/>
                <w:szCs w:val="20"/>
                <w:lang w:val="en-US" w:eastAsia="zh-CN"/>
              </w:rPr>
              <w:t>vivo’s</w:t>
            </w:r>
            <w:proofErr w:type="spellEnd"/>
            <w:r w:rsidRPr="00DD2087">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DD2087">
              <w:rPr>
                <w:rFonts w:ascii="Times New Roman" w:eastAsiaTheme="minorEastAsia" w:hAnsi="Times New Roman" w:cs="Times New Roman"/>
                <w:sz w:val="20"/>
                <w:szCs w:val="20"/>
                <w:lang w:val="en-US" w:eastAsia="zh-CN"/>
              </w:rPr>
              <w:t>subbullet</w:t>
            </w:r>
            <w:proofErr w:type="spellEnd"/>
            <w:r w:rsidRPr="00DD2087">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DD2087">
              <w:rPr>
                <w:rFonts w:eastAsiaTheme="minorEastAsia"/>
                <w:lang w:val="en-US" w:eastAsia="zh-CN"/>
              </w:rPr>
              <w:t>FDMed</w:t>
            </w:r>
            <w:proofErr w:type="spellEnd"/>
            <w:r w:rsidRPr="00DD2087">
              <w:rPr>
                <w:rFonts w:eastAsiaTheme="minorEastAsia"/>
                <w:lang w:val="en-US" w:eastAsia="zh-CN"/>
              </w:rPr>
              <w:t>.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t xml:space="preserve">ZTE, </w:t>
            </w:r>
            <w:proofErr w:type="spellStart"/>
            <w:r w:rsidRPr="00DD2087">
              <w:rPr>
                <w:rFonts w:eastAsia="SimSun"/>
                <w:lang w:val="en-US" w:eastAsia="zh-CN"/>
              </w:rPr>
              <w:t>Sanechips</w:t>
            </w:r>
            <w:proofErr w:type="spellEnd"/>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w:t>
            </w:r>
            <w:proofErr w:type="spellStart"/>
            <w:r w:rsidRPr="00DD2087">
              <w:rPr>
                <w:rFonts w:eastAsiaTheme="minorEastAsia"/>
                <w:lang w:val="en-US" w:eastAsia="zh-CN"/>
              </w:rPr>
              <w:t>iDL</w:t>
            </w:r>
            <w:proofErr w:type="spellEnd"/>
            <w:r w:rsidRPr="00DD2087">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w:t>
            </w:r>
            <w:proofErr w:type="spellStart"/>
            <w:r w:rsidRPr="00DD2087">
              <w:rPr>
                <w:rFonts w:ascii="Times New Roman" w:eastAsiaTheme="minorEastAsia" w:hAnsi="Times New Roman" w:cs="Times New Roman"/>
                <w:sz w:val="20"/>
                <w:szCs w:val="20"/>
                <w:lang w:val="en-US" w:eastAsia="zh-CN"/>
              </w:rPr>
              <w:t>etc</w:t>
            </w:r>
            <w:proofErr w:type="spellEnd"/>
            <w:r w:rsidRPr="00DD2087">
              <w:rPr>
                <w:rFonts w:ascii="Times New Roman" w:eastAsiaTheme="minorEastAsia" w:hAnsi="Times New Roman" w:cs="Times New Roman"/>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 xml:space="preserve">Yes. The separate initial DL BWP should support the CORESET for type 1 PDCCH CSS (RA-RNTI, </w:t>
            </w:r>
            <w:proofErr w:type="spellStart"/>
            <w:r w:rsidRPr="00DD2087">
              <w:rPr>
                <w:lang w:val="en-US" w:eastAsia="ko-KR"/>
              </w:rPr>
              <w:t>MsgB</w:t>
            </w:r>
            <w:proofErr w:type="spellEnd"/>
            <w:r w:rsidRPr="00DD2087">
              <w:rPr>
                <w:lang w:val="en-US" w:eastAsia="ko-KR"/>
              </w:rPr>
              <w:t>-RNTI,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 xml:space="preserve">2. It is not required to have SSB in this BWP. UE can retune to the CD-SSB. As the network decision, </w:t>
            </w:r>
            <w:proofErr w:type="spellStart"/>
            <w:r w:rsidRPr="00DD2087">
              <w:rPr>
                <w:lang w:val="en-US" w:eastAsia="ko-KR"/>
              </w:rPr>
              <w:t>non CD</w:t>
            </w:r>
            <w:proofErr w:type="spellEnd"/>
            <w:r w:rsidRPr="00DD2087">
              <w:rPr>
                <w:lang w:val="en-US" w:eastAsia="ko-KR"/>
              </w:rPr>
              <w:t>-SSB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 xml:space="preserve">Additionally, the issue discussed for separate initial UL BWP is because the </w:t>
            </w:r>
            <w:proofErr w:type="spellStart"/>
            <w:r w:rsidRPr="00DD2087">
              <w:rPr>
                <w:rFonts w:eastAsiaTheme="minorEastAsia"/>
                <w:lang w:val="en-US" w:eastAsia="zh-CN"/>
              </w:rPr>
              <w:t>TDMed</w:t>
            </w:r>
            <w:proofErr w:type="spellEnd"/>
            <w:r w:rsidRPr="00DD2087">
              <w:rPr>
                <w:rFonts w:eastAsiaTheme="minorEastAsia"/>
                <w:lang w:val="en-US" w:eastAsia="zh-CN"/>
              </w:rPr>
              <w:t xml:space="preserve"> SSB mapping to </w:t>
            </w:r>
            <w:proofErr w:type="spellStart"/>
            <w:r w:rsidRPr="00DD2087">
              <w:rPr>
                <w:rFonts w:eastAsiaTheme="minorEastAsia"/>
                <w:lang w:val="en-US" w:eastAsia="zh-CN"/>
              </w:rPr>
              <w:t>FDMed</w:t>
            </w:r>
            <w:proofErr w:type="spellEnd"/>
            <w:r w:rsidRPr="00DD2087">
              <w:rPr>
                <w:rFonts w:eastAsiaTheme="minorEastAsia"/>
                <w:lang w:val="en-US" w:eastAsia="zh-CN"/>
              </w:rPr>
              <w:t xml:space="preserve">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sidRPr="00DD2087">
              <w:rPr>
                <w:rFonts w:ascii="Times New Roman" w:eastAsiaTheme="minorEastAsia" w:hAnsi="Times New Roman" w:cs="Times New Roman"/>
                <w:bCs/>
                <w:sz w:val="20"/>
                <w:szCs w:val="20"/>
                <w:lang w:val="en-US" w:eastAsia="zh-CN"/>
              </w:rPr>
              <w:t>iDL</w:t>
            </w:r>
            <w:proofErr w:type="spellEnd"/>
            <w:r w:rsidRPr="00DD2087">
              <w:rPr>
                <w:rFonts w:ascii="Times New Roman" w:eastAsiaTheme="minorEastAsia" w:hAnsi="Times New Roman" w:cs="Times New Roman"/>
                <w:bCs/>
                <w:sz w:val="20"/>
                <w:szCs w:val="20"/>
                <w:lang w:val="en-US" w:eastAsia="zh-CN"/>
              </w:rPr>
              <w:t xml:space="preserve">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Does not have to, it should contain </w:t>
            </w:r>
            <w:proofErr w:type="spellStart"/>
            <w:r w:rsidRPr="00DD2087">
              <w:rPr>
                <w:rFonts w:ascii="Times New Roman" w:hAnsi="Times New Roman" w:cs="Times New Roman"/>
                <w:sz w:val="20"/>
                <w:szCs w:val="20"/>
                <w:lang w:val="en-US" w:eastAsia="ko-KR"/>
              </w:rPr>
              <w:t>pdcch-ConfigCommon</w:t>
            </w:r>
            <w:proofErr w:type="spellEnd"/>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w:t>
            </w:r>
            <w:proofErr w:type="spellStart"/>
            <w:r w:rsidRPr="00DD2087">
              <w:rPr>
                <w:rFonts w:eastAsiaTheme="minorEastAsia"/>
                <w:lang w:val="en-US" w:eastAsia="zh-CN"/>
              </w:rPr>
              <w:t>Sanechips</w:t>
            </w:r>
            <w:proofErr w:type="spellEnd"/>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sidRPr="00DD2087">
              <w:rPr>
                <w:rFonts w:ascii="Times New Roman" w:hAnsi="Times New Roman" w:cs="Times New Roman"/>
                <w:b/>
                <w:bCs/>
                <w:i/>
                <w:iCs/>
                <w:sz w:val="20"/>
                <w:szCs w:val="20"/>
                <w:lang w:val="en-US"/>
              </w:rPr>
              <w:t>Propoal</w:t>
            </w:r>
            <w:proofErr w:type="spellEnd"/>
            <w:r w:rsidRPr="00DD2087">
              <w:rPr>
                <w:rFonts w:ascii="Times New Roman" w:hAnsi="Times New Roman" w:cs="Times New Roman"/>
                <w:b/>
                <w:bCs/>
                <w:i/>
                <w:iCs/>
                <w:sz w:val="20"/>
                <w:szCs w:val="20"/>
                <w:lang w:val="en-US"/>
              </w:rPr>
              <w:t>:</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 xml:space="preserve">If a separate initial DL and/or UL BWP is configured in SIB, which can be used by RedCap </w:t>
            </w:r>
            <w:proofErr w:type="spellStart"/>
            <w:r w:rsidRPr="00DD2087">
              <w:rPr>
                <w:rFonts w:ascii="Times New Roman" w:hAnsi="Times New Roman" w:cs="Times New Roman"/>
                <w:b/>
                <w:bCs/>
                <w:i/>
                <w:iCs/>
                <w:sz w:val="20"/>
                <w:szCs w:val="20"/>
                <w:lang w:val="en-US"/>
              </w:rPr>
              <w:t>Ues</w:t>
            </w:r>
            <w:proofErr w:type="spellEnd"/>
            <w:r w:rsidRPr="00DD2087">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 sets configured by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is must on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xml:space="preserve">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gNB configures </w:t>
            </w:r>
            <w:proofErr w:type="spellStart"/>
            <w:r w:rsidRPr="00DD2087">
              <w:rPr>
                <w:rFonts w:ascii="Times New Roman" w:hAnsi="Times New Roman" w:cs="Times New Roman"/>
                <w:sz w:val="20"/>
                <w:szCs w:val="20"/>
                <w:lang w:val="en-US" w:eastAsia="ko-KR"/>
              </w:rPr>
              <w:t>pdcch-ConfigCommon</w:t>
            </w:r>
            <w:proofErr w:type="spellEnd"/>
            <w:r w:rsidRPr="00DD2087">
              <w:rPr>
                <w:rFonts w:ascii="Times New Roman" w:hAnsi="Times New Roman" w:cs="Times New Roman"/>
                <w:sz w:val="20"/>
                <w:szCs w:val="20"/>
                <w:lang w:val="en-US" w:eastAsia="ko-KR"/>
              </w:rPr>
              <w:t xml:space="preserve"> in active BWP on a </w:t>
            </w:r>
            <w:proofErr w:type="spellStart"/>
            <w:r w:rsidRPr="00DD2087">
              <w:rPr>
                <w:rFonts w:ascii="Times New Roman" w:hAnsi="Times New Roman" w:cs="Times New Roman"/>
                <w:sz w:val="20"/>
                <w:szCs w:val="20"/>
                <w:lang w:val="en-US" w:eastAsia="ko-KR"/>
              </w:rPr>
              <w:t>Pcell</w:t>
            </w:r>
            <w:proofErr w:type="spellEnd"/>
            <w:r w:rsidRPr="00DD2087">
              <w:rPr>
                <w:rFonts w:ascii="Times New Roman" w:hAnsi="Times New Roman" w:cs="Times New Roman"/>
                <w:sz w:val="20"/>
                <w:szCs w:val="20"/>
                <w:lang w:val="en-US" w:eastAsia="ko-KR"/>
              </w:rPr>
              <w:t>,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w:t>
            </w:r>
            <w:proofErr w:type="spellStart"/>
            <w:r w:rsidRPr="00DD2087">
              <w:rPr>
                <w:lang w:val="en-US" w:eastAsia="ko-KR"/>
              </w:rPr>
              <w:t>pdcch-ConfigCommon</w:t>
            </w:r>
            <w:proofErr w:type="spellEnd"/>
            <w:r w:rsidRPr="00DD2087">
              <w:rPr>
                <w:lang w:val="en-US" w:eastAsia="ko-KR"/>
              </w:rPr>
              <w:t xml:space="preserve"> in active BWP on a </w:t>
            </w:r>
            <w:proofErr w:type="spellStart"/>
            <w:r w:rsidRPr="00DD2087">
              <w:rPr>
                <w:lang w:val="en-US" w:eastAsia="ko-KR"/>
              </w:rPr>
              <w:t>Pcell</w:t>
            </w:r>
            <w:proofErr w:type="spellEnd"/>
            <w:r w:rsidRPr="00DD2087">
              <w:rPr>
                <w:lang w:val="en-US" w:eastAsia="ko-KR"/>
              </w:rPr>
              <w:t xml:space="preserve">.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sidRPr="00DD2087">
              <w:rPr>
                <w:rFonts w:ascii="Times New Roman" w:hAnsi="Times New Roman" w:cs="Times New Roman"/>
                <w:sz w:val="20"/>
                <w:szCs w:val="20"/>
                <w:lang w:val="en-US" w:eastAsia="ko-KR"/>
              </w:rPr>
              <w:t>CommonCORESET</w:t>
            </w:r>
            <w:proofErr w:type="spellEnd"/>
            <w:r w:rsidRPr="00DD2087">
              <w:rPr>
                <w:rFonts w:ascii="Times New Roman" w:hAnsi="Times New Roman" w:cs="Times New Roman"/>
                <w:sz w:val="20"/>
                <w:szCs w:val="20"/>
                <w:lang w:val="en-US" w:eastAsia="ko-KR"/>
              </w:rPr>
              <w:t xml:space="preserve">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w:t>
            </w:r>
            <w:proofErr w:type="spellStart"/>
            <w:r w:rsidRPr="00DD2087">
              <w:rPr>
                <w:rFonts w:ascii="Times New Roman" w:eastAsiaTheme="minorEastAsia" w:hAnsi="Times New Roman" w:cs="Times New Roman"/>
                <w:sz w:val="20"/>
                <w:szCs w:val="20"/>
                <w:lang w:val="en-US" w:eastAsia="zh-CN"/>
              </w:rPr>
              <w:t>gNB’s</w:t>
            </w:r>
            <w:proofErr w:type="spellEnd"/>
            <w:r w:rsidRPr="00DD2087">
              <w:rPr>
                <w:rFonts w:ascii="Times New Roman" w:eastAsiaTheme="minorEastAsia" w:hAnsi="Times New Roman" w:cs="Times New Roman"/>
                <w:sz w:val="20"/>
                <w:szCs w:val="20"/>
                <w:lang w:val="en-US" w:eastAsia="zh-CN"/>
              </w:rPr>
              <w:t xml:space="preserve">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DD2087">
              <w:rPr>
                <w:rFonts w:eastAsiaTheme="minorEastAsia"/>
                <w:i/>
                <w:iCs/>
                <w:lang w:val="en-US" w:eastAsia="zh-CN"/>
              </w:rPr>
              <w:t>onDemandSIB</w:t>
            </w:r>
            <w:proofErr w:type="spellEnd"/>
            <w:r w:rsidRPr="00DD2087">
              <w:rPr>
                <w:rFonts w:eastAsiaTheme="minorEastAsia"/>
                <w:i/>
                <w:iCs/>
                <w:lang w:val="en-US" w:eastAsia="zh-CN"/>
              </w:rPr>
              <w:t>-Request.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 xml:space="preserve">ZTE, </w:t>
            </w:r>
            <w:proofErr w:type="spellStart"/>
            <w:r w:rsidRPr="00DD2087">
              <w:rPr>
                <w:rFonts w:eastAsiaTheme="minorEastAsia"/>
                <w:lang w:val="en-US" w:eastAsia="zh-CN"/>
              </w:rPr>
              <w:t>Sanechips</w:t>
            </w:r>
            <w:proofErr w:type="spellEnd"/>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ListParagraph"/>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5B2B67">
        <w:tc>
          <w:tcPr>
            <w:tcW w:w="1479"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5B2B67">
        <w:tc>
          <w:tcPr>
            <w:tcW w:w="1479"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6780"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ListParagraph"/>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ListParagraph"/>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ListParagraph"/>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ListParagraph"/>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ListParagraph"/>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ListParagraph"/>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ListParagraph"/>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ListParagraph"/>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ListParagraph"/>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5B2B67">
        <w:tc>
          <w:tcPr>
            <w:tcW w:w="1479" w:type="dxa"/>
          </w:tcPr>
          <w:p w14:paraId="665189C3" w14:textId="31CBC6D5" w:rsidR="00AA6C91" w:rsidRPr="00DD2087" w:rsidRDefault="00E56C39" w:rsidP="005B2B67">
            <w:pPr>
              <w:rPr>
                <w:lang w:val="en-US" w:eastAsia="ko-KR"/>
              </w:rPr>
            </w:pPr>
            <w:r>
              <w:rPr>
                <w:lang w:val="en-US" w:eastAsia="ko-KR"/>
              </w:rPr>
              <w:t xml:space="preserve">Nordic </w:t>
            </w:r>
          </w:p>
        </w:tc>
        <w:tc>
          <w:tcPr>
            <w:tcW w:w="1372"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6780"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pagingSearchSpace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w:t>
                  </w:r>
                  <w:proofErr w:type="spellStart"/>
                  <w:r w:rsidRPr="00A33125">
                    <w:rPr>
                      <w:rFonts w:ascii="Helvetica-BoldOblique" w:eastAsia="Times New Roman" w:hAnsi="Helvetica-BoldOblique"/>
                      <w:b/>
                      <w:bCs/>
                      <w:i/>
                      <w:iCs/>
                      <w:color w:val="000000"/>
                      <w:sz w:val="18"/>
                      <w:szCs w:val="18"/>
                      <w:lang w:val="en-US" w:eastAsia="fi-FI"/>
                    </w:rPr>
                    <w:t>SearchSpace</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proofErr w:type="spellStart"/>
                  <w:r w:rsidRPr="00A33125">
                    <w:rPr>
                      <w:rFonts w:ascii="Helvetica-BoldOblique" w:eastAsia="Times New Roman" w:hAnsi="Helvetica-BoldOblique"/>
                      <w:b/>
                      <w:bCs/>
                      <w:i/>
                      <w:iCs/>
                      <w:color w:val="000000"/>
                      <w:sz w:val="18"/>
                      <w:szCs w:val="18"/>
                      <w:lang w:val="en-US" w:eastAsia="fi-FI"/>
                    </w:rPr>
                    <w:t>searchSpaceOtherSystemInformation</w:t>
                  </w:r>
                  <w:proofErr w:type="spellEnd"/>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w:t>
                  </w:r>
                  <w:proofErr w:type="spellStart"/>
                  <w:r w:rsidRPr="00A33125">
                    <w:rPr>
                      <w:rFonts w:ascii="Helvetica" w:eastAsia="Times New Roman" w:hAnsi="Helvetica" w:cs="Helvetica"/>
                      <w:color w:val="000000"/>
                      <w:sz w:val="18"/>
                      <w:szCs w:val="18"/>
                      <w:lang w:val="en-US" w:eastAsia="fi-FI"/>
                    </w:rPr>
                    <w:t>PCell</w:t>
                  </w:r>
                  <w:proofErr w:type="spellEnd"/>
                  <w:r w:rsidRPr="00A33125">
                    <w:rPr>
                      <w:rFonts w:ascii="Helvetica" w:eastAsia="Times New Roman" w:hAnsi="Helvetica" w:cs="Helvetica"/>
                      <w:color w:val="000000"/>
                      <w:sz w:val="18"/>
                      <w:szCs w:val="18"/>
                      <w:lang w:val="en-US" w:eastAsia="fi-FI"/>
                    </w:rPr>
                    <w:t xml:space="preserve">,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6D5664">
            <w:pPr>
              <w:pStyle w:val="ListParagraph"/>
              <w:numPr>
                <w:ilvl w:val="0"/>
                <w:numId w:val="116"/>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w:t>
            </w:r>
            <w:proofErr w:type="spellStart"/>
            <w:r w:rsidRPr="002540EC">
              <w:rPr>
                <w:rFonts w:ascii="Times New Roman" w:eastAsia="Times New Roman" w:hAnsi="Times New Roman" w:cs="Times New Roman"/>
                <w:sz w:val="20"/>
                <w:szCs w:val="20"/>
                <w:lang w:val="en-US" w:eastAsia="fi-FI"/>
              </w:rPr>
              <w:t>fall-back</w:t>
            </w:r>
            <w:proofErr w:type="spellEnd"/>
            <w:r w:rsidRPr="002540EC">
              <w:rPr>
                <w:rFonts w:ascii="Times New Roman" w:eastAsia="Times New Roman" w:hAnsi="Times New Roman" w:cs="Times New Roman"/>
                <w:sz w:val="20"/>
                <w:szCs w:val="20"/>
                <w:lang w:val="en-US" w:eastAsia="fi-FI"/>
              </w:rPr>
              <w:t xml:space="preserve">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5B2B67">
        <w:tc>
          <w:tcPr>
            <w:tcW w:w="1479" w:type="dxa"/>
          </w:tcPr>
          <w:p w14:paraId="3E7A48F3" w14:textId="16425385" w:rsidR="00AA6C91" w:rsidRPr="00DD2087" w:rsidRDefault="00E21A63" w:rsidP="005B2B67">
            <w:pPr>
              <w:rPr>
                <w:lang w:val="en-US" w:eastAsia="ko-KR"/>
              </w:rPr>
            </w:pPr>
            <w:r>
              <w:rPr>
                <w:lang w:val="en-US" w:eastAsia="ko-KR"/>
              </w:rPr>
              <w:t>Nokia, NSB</w:t>
            </w:r>
          </w:p>
        </w:tc>
        <w:tc>
          <w:tcPr>
            <w:tcW w:w="1372"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6780"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proofErr w:type="spellStart"/>
            <w:r w:rsidR="00825331">
              <w:rPr>
                <w:lang w:val="en-US" w:eastAsia="ko-KR"/>
              </w:rPr>
              <w:t>v</w:t>
            </w:r>
            <w:r>
              <w:rPr>
                <w:lang w:val="en-US" w:eastAsia="ko-KR"/>
              </w:rPr>
              <w:t>ivo’s</w:t>
            </w:r>
            <w:proofErr w:type="spellEnd"/>
            <w:r>
              <w:rPr>
                <w:lang w:val="en-US" w:eastAsia="ko-KR"/>
              </w:rPr>
              <w:t xml:space="preserve">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5B2B67">
        <w:tc>
          <w:tcPr>
            <w:tcW w:w="1479" w:type="dxa"/>
          </w:tcPr>
          <w:p w14:paraId="4942AE02" w14:textId="16C5C351" w:rsidR="0096361F" w:rsidRDefault="0096361F" w:rsidP="0096361F">
            <w:pPr>
              <w:rPr>
                <w:lang w:val="en-US" w:eastAsia="ko-KR"/>
              </w:rPr>
            </w:pPr>
            <w:r>
              <w:rPr>
                <w:lang w:val="en-US" w:eastAsia="ko-KR"/>
              </w:rPr>
              <w:t>Qualcomm</w:t>
            </w:r>
          </w:p>
        </w:tc>
        <w:tc>
          <w:tcPr>
            <w:tcW w:w="1372" w:type="dxa"/>
          </w:tcPr>
          <w:p w14:paraId="1E1A69C1" w14:textId="3BE2B4F2" w:rsidR="0096361F" w:rsidRDefault="0096361F" w:rsidP="0096361F">
            <w:pPr>
              <w:tabs>
                <w:tab w:val="left" w:pos="551"/>
              </w:tabs>
              <w:rPr>
                <w:lang w:val="en-US" w:eastAsia="ko-KR"/>
              </w:rPr>
            </w:pPr>
            <w:r>
              <w:rPr>
                <w:lang w:val="en-US" w:eastAsia="ko-KR"/>
              </w:rPr>
              <w:t>N</w:t>
            </w:r>
          </w:p>
        </w:tc>
        <w:tc>
          <w:tcPr>
            <w:tcW w:w="6780"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96361F">
            <w:pPr>
              <w:pStyle w:val="ListParagraph"/>
              <w:numPr>
                <w:ilvl w:val="0"/>
                <w:numId w:val="118"/>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20 ms periodicity for SSB burst</w:t>
            </w:r>
          </w:p>
          <w:p w14:paraId="25BB4E78" w14:textId="77777777" w:rsidR="0096361F" w:rsidRPr="00BA45A7" w:rsidRDefault="0096361F" w:rsidP="0096361F">
            <w:pPr>
              <w:pStyle w:val="ListParagraph"/>
              <w:numPr>
                <w:ilvl w:val="0"/>
                <w:numId w:val="118"/>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96361F">
            <w:pPr>
              <w:pStyle w:val="ListParagraph"/>
              <w:numPr>
                <w:ilvl w:val="0"/>
                <w:numId w:val="11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D62833">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96361F">
            <w:pPr>
              <w:pStyle w:val="ListParagraph"/>
              <w:numPr>
                <w:ilvl w:val="0"/>
                <w:numId w:val="120"/>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7777777" w:rsidR="00210E30" w:rsidRPr="00A9722C" w:rsidRDefault="00210E30" w:rsidP="00210E30">
            <w:pPr>
              <w:pStyle w:val="ListParagraph"/>
              <w:numPr>
                <w:ilvl w:val="0"/>
                <w:numId w:val="119"/>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3AA7A48B"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210E30">
            <w:pPr>
              <w:pStyle w:val="ListParagraph"/>
              <w:numPr>
                <w:ilvl w:val="1"/>
                <w:numId w:val="119"/>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210E30">
            <w:pPr>
              <w:pStyle w:val="ListParagraph"/>
              <w:numPr>
                <w:ilvl w:val="2"/>
                <w:numId w:val="119"/>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210E30">
            <w:pPr>
              <w:pStyle w:val="ListParagraph"/>
              <w:numPr>
                <w:ilvl w:val="0"/>
                <w:numId w:val="119"/>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210E30">
            <w:pPr>
              <w:pStyle w:val="ListParagraph"/>
              <w:numPr>
                <w:ilvl w:val="2"/>
                <w:numId w:val="119"/>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210E30">
            <w:pPr>
              <w:pStyle w:val="ListParagraph"/>
              <w:numPr>
                <w:ilvl w:val="0"/>
                <w:numId w:val="119"/>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210E30">
            <w:pPr>
              <w:pStyle w:val="ListParagraph"/>
              <w:numPr>
                <w:ilvl w:val="1"/>
                <w:numId w:val="119"/>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210E30">
            <w:pPr>
              <w:pStyle w:val="ListParagraph"/>
              <w:numPr>
                <w:ilvl w:val="2"/>
                <w:numId w:val="119"/>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210E30">
            <w:pPr>
              <w:pStyle w:val="ListParagraph"/>
              <w:numPr>
                <w:ilvl w:val="1"/>
                <w:numId w:val="119"/>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96361F">
            <w:pPr>
              <w:pStyle w:val="ListParagraph"/>
              <w:numPr>
                <w:ilvl w:val="2"/>
                <w:numId w:val="119"/>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5B2B67">
        <w:tc>
          <w:tcPr>
            <w:tcW w:w="1479" w:type="dxa"/>
          </w:tcPr>
          <w:p w14:paraId="3FE98635" w14:textId="00D0E8E0" w:rsidR="00B32993" w:rsidRDefault="00B32993" w:rsidP="0096361F">
            <w:pPr>
              <w:rPr>
                <w:lang w:val="en-US" w:eastAsia="ko-KR"/>
              </w:rPr>
            </w:pPr>
            <w:r>
              <w:rPr>
                <w:lang w:val="en-US" w:eastAsia="ko-KR"/>
              </w:rPr>
              <w:t>IDCC</w:t>
            </w:r>
          </w:p>
        </w:tc>
        <w:tc>
          <w:tcPr>
            <w:tcW w:w="1372" w:type="dxa"/>
          </w:tcPr>
          <w:p w14:paraId="7CCE7F89" w14:textId="69829BC2" w:rsidR="00B32993" w:rsidRDefault="00B32993" w:rsidP="0096361F">
            <w:pPr>
              <w:tabs>
                <w:tab w:val="left" w:pos="551"/>
              </w:tabs>
              <w:rPr>
                <w:lang w:val="en-US" w:eastAsia="ko-KR"/>
              </w:rPr>
            </w:pPr>
            <w:r>
              <w:rPr>
                <w:lang w:val="en-US" w:eastAsia="ko-KR"/>
              </w:rPr>
              <w:t>Y</w:t>
            </w:r>
          </w:p>
        </w:tc>
        <w:tc>
          <w:tcPr>
            <w:tcW w:w="6780"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5B2B67">
        <w:tc>
          <w:tcPr>
            <w:tcW w:w="1479" w:type="dxa"/>
          </w:tcPr>
          <w:p w14:paraId="4EBC7A87" w14:textId="37B88968" w:rsidR="0015634E" w:rsidRDefault="0015634E" w:rsidP="0096361F">
            <w:pPr>
              <w:rPr>
                <w:lang w:val="en-US" w:eastAsia="ko-KR"/>
              </w:rPr>
            </w:pPr>
            <w:r>
              <w:rPr>
                <w:lang w:val="en-US" w:eastAsia="ko-KR"/>
              </w:rPr>
              <w:t xml:space="preserve">Apple </w:t>
            </w:r>
          </w:p>
        </w:tc>
        <w:tc>
          <w:tcPr>
            <w:tcW w:w="1372" w:type="dxa"/>
          </w:tcPr>
          <w:p w14:paraId="2FB56220" w14:textId="77777777" w:rsidR="0015634E" w:rsidRDefault="0015634E" w:rsidP="0096361F">
            <w:pPr>
              <w:tabs>
                <w:tab w:val="left" w:pos="551"/>
              </w:tabs>
              <w:rPr>
                <w:lang w:val="en-US" w:eastAsia="ko-KR"/>
              </w:rPr>
            </w:pPr>
          </w:p>
        </w:tc>
        <w:tc>
          <w:tcPr>
            <w:tcW w:w="6780"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3149A2">
            <w:pPr>
              <w:pStyle w:val="ListParagraph"/>
              <w:numPr>
                <w:ilvl w:val="0"/>
                <w:numId w:val="121"/>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46CF7D3B" w14:textId="13131109" w:rsidR="0015634E" w:rsidRDefault="0015634E" w:rsidP="0015634E">
            <w:pPr>
              <w:pStyle w:val="ListParagraph"/>
              <w:numPr>
                <w:ilvl w:val="0"/>
                <w:numId w:val="12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ListParagraph"/>
              <w:rPr>
                <w:rFonts w:ascii="Times New Roman" w:eastAsia="Batang" w:hAnsi="Times New Roman" w:cs="Times New Roman"/>
                <w:sz w:val="20"/>
                <w:szCs w:val="20"/>
                <w:lang w:val="en-US" w:eastAsia="ko-KR"/>
              </w:rPr>
            </w:pPr>
          </w:p>
          <w:p w14:paraId="690002F1" w14:textId="6D0CF7C4" w:rsidR="001F0117" w:rsidRDefault="003149A2" w:rsidP="001F0117">
            <w:pPr>
              <w:pStyle w:val="ListParagraph"/>
              <w:numPr>
                <w:ilvl w:val="0"/>
                <w:numId w:val="121"/>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ListParagraph"/>
              <w:rPr>
                <w:rFonts w:ascii="Times New Roman" w:eastAsia="Batang" w:hAnsi="Times New Roman" w:cs="Times New Roman"/>
                <w:sz w:val="20"/>
                <w:szCs w:val="20"/>
                <w:lang w:val="en-US" w:eastAsia="ko-KR"/>
              </w:rPr>
            </w:pPr>
          </w:p>
          <w:p w14:paraId="53010548" w14:textId="77777777" w:rsidR="0015634E" w:rsidRDefault="0015634E" w:rsidP="0015634E">
            <w:pPr>
              <w:pStyle w:val="ListParagraph"/>
              <w:numPr>
                <w:ilvl w:val="0"/>
                <w:numId w:val="121"/>
              </w:numPr>
              <w:rPr>
                <w:lang w:val="en-US" w:eastAsia="ko-KR"/>
              </w:rPr>
            </w:pPr>
            <w:r>
              <w:rPr>
                <w:lang w:val="en-US" w:eastAsia="ko-KR"/>
              </w:rPr>
              <w:t xml:space="preserve">Regarding the detailed proposals: </w:t>
            </w:r>
          </w:p>
          <w:p w14:paraId="76DD5730" w14:textId="206A2481" w:rsidR="003149A2" w:rsidRDefault="0015634E" w:rsidP="0015634E">
            <w:pPr>
              <w:pStyle w:val="ListParagraph"/>
              <w:numPr>
                <w:ilvl w:val="1"/>
                <w:numId w:val="121"/>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3149A2">
            <w:pPr>
              <w:pStyle w:val="ListParagraph"/>
              <w:numPr>
                <w:ilvl w:val="2"/>
                <w:numId w:val="121"/>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Msg4 scheduling only without any other CSS/USS? How to map this into TS 38.213 and TS 38.331? </w:t>
            </w:r>
          </w:p>
          <w:p w14:paraId="01C5ACA4" w14:textId="0848EE59" w:rsidR="003149A2" w:rsidRDefault="003149A2" w:rsidP="003149A2">
            <w:pPr>
              <w:pStyle w:val="ListParagraph"/>
              <w:numPr>
                <w:ilvl w:val="1"/>
                <w:numId w:val="121"/>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3149A2">
            <w:pPr>
              <w:pStyle w:val="ListParagraph"/>
              <w:numPr>
                <w:ilvl w:val="2"/>
                <w:numId w:val="121"/>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1F0117">
            <w:pPr>
              <w:pStyle w:val="ListParagraph"/>
              <w:numPr>
                <w:ilvl w:val="1"/>
                <w:numId w:val="121"/>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1F0117">
            <w:pPr>
              <w:pStyle w:val="ListParagraph"/>
              <w:numPr>
                <w:ilvl w:val="2"/>
                <w:numId w:val="121"/>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1F0117">
            <w:pPr>
              <w:pStyle w:val="ListParagraph"/>
              <w:numPr>
                <w:ilvl w:val="3"/>
                <w:numId w:val="121"/>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B07993">
            <w:pPr>
              <w:pStyle w:val="ListParagraph"/>
              <w:numPr>
                <w:ilvl w:val="3"/>
                <w:numId w:val="121"/>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77A0CE05" w14:textId="77777777" w:rsidR="00B07993" w:rsidRDefault="00B07993" w:rsidP="00B07993">
            <w:pPr>
              <w:pStyle w:val="ListParagraph"/>
              <w:numPr>
                <w:ilvl w:val="4"/>
                <w:numId w:val="121"/>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B07993">
            <w:pPr>
              <w:pStyle w:val="ListParagraph"/>
              <w:numPr>
                <w:ilvl w:val="4"/>
                <w:numId w:val="121"/>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5B2B67">
        <w:tc>
          <w:tcPr>
            <w:tcW w:w="1479" w:type="dxa"/>
          </w:tcPr>
          <w:p w14:paraId="56CCC196" w14:textId="6FAF8417" w:rsidR="002C7654" w:rsidRDefault="002C7654" w:rsidP="002C7654">
            <w:pPr>
              <w:rPr>
                <w:lang w:val="en-US" w:eastAsia="ko-KR"/>
              </w:rPr>
            </w:pPr>
            <w:r>
              <w:rPr>
                <w:lang w:val="en-US" w:eastAsia="ko-KR"/>
              </w:rPr>
              <w:t>Intel</w:t>
            </w:r>
          </w:p>
        </w:tc>
        <w:tc>
          <w:tcPr>
            <w:tcW w:w="1372" w:type="dxa"/>
          </w:tcPr>
          <w:p w14:paraId="082B87BD" w14:textId="3B6B618A" w:rsidR="002C7654" w:rsidRDefault="002C7654" w:rsidP="002C7654">
            <w:pPr>
              <w:tabs>
                <w:tab w:val="left" w:pos="551"/>
              </w:tabs>
              <w:rPr>
                <w:lang w:val="en-US" w:eastAsia="ko-KR"/>
              </w:rPr>
            </w:pPr>
            <w:r>
              <w:rPr>
                <w:lang w:val="en-US" w:eastAsia="ko-KR"/>
              </w:rPr>
              <w:t>Y (almost)</w:t>
            </w:r>
          </w:p>
        </w:tc>
        <w:tc>
          <w:tcPr>
            <w:tcW w:w="6780"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5B2B67">
        <w:tc>
          <w:tcPr>
            <w:tcW w:w="1479" w:type="dxa"/>
          </w:tcPr>
          <w:p w14:paraId="201AE549" w14:textId="0BA68635" w:rsidR="00B47447" w:rsidRDefault="00B47447" w:rsidP="00B4744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DADF56" w14:textId="0E77508F" w:rsidR="00B47447" w:rsidRDefault="00B47447" w:rsidP="00B47447">
            <w:pPr>
              <w:tabs>
                <w:tab w:val="left" w:pos="551"/>
              </w:tabs>
              <w:rPr>
                <w:lang w:val="en-US" w:eastAsia="ko-KR"/>
              </w:rPr>
            </w:pPr>
            <w:r>
              <w:rPr>
                <w:rFonts w:eastAsia="Yu Mincho" w:hint="eastAsia"/>
                <w:lang w:val="en-US" w:eastAsia="ja-JP"/>
              </w:rPr>
              <w:t>Y</w:t>
            </w:r>
          </w:p>
        </w:tc>
        <w:tc>
          <w:tcPr>
            <w:tcW w:w="6780" w:type="dxa"/>
          </w:tcPr>
          <w:p w14:paraId="125A455C" w14:textId="77777777" w:rsidR="00B47447" w:rsidRDefault="00B47447" w:rsidP="00B47447">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61B6BA76" w14:textId="2C2391DF" w:rsidR="00B47447" w:rsidRDefault="00B47447" w:rsidP="00B47447">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2B5C5F" w:rsidRPr="00DD2087" w14:paraId="30EE009B" w14:textId="77777777" w:rsidTr="005B2B67">
        <w:tc>
          <w:tcPr>
            <w:tcW w:w="1479" w:type="dxa"/>
          </w:tcPr>
          <w:p w14:paraId="60CDD552" w14:textId="564F72D3" w:rsidR="002B5C5F" w:rsidRDefault="002B5C5F" w:rsidP="00B47447">
            <w:pPr>
              <w:rPr>
                <w:rFonts w:eastAsia="Yu Mincho"/>
                <w:lang w:val="en-US" w:eastAsia="ja-JP"/>
              </w:rPr>
            </w:pPr>
            <w:r>
              <w:rPr>
                <w:rFonts w:eastAsia="Yu Mincho"/>
                <w:lang w:val="en-US" w:eastAsia="ja-JP"/>
              </w:rPr>
              <w:t>FUTUREWEI9</w:t>
            </w:r>
          </w:p>
        </w:tc>
        <w:tc>
          <w:tcPr>
            <w:tcW w:w="1372" w:type="dxa"/>
          </w:tcPr>
          <w:p w14:paraId="537D921D" w14:textId="77777777" w:rsidR="002B5C5F" w:rsidRDefault="002B5C5F" w:rsidP="00B47447">
            <w:pPr>
              <w:tabs>
                <w:tab w:val="left" w:pos="551"/>
              </w:tabs>
              <w:rPr>
                <w:rFonts w:eastAsia="Yu Mincho"/>
                <w:lang w:val="en-US" w:eastAsia="ja-JP"/>
              </w:rPr>
            </w:pPr>
          </w:p>
        </w:tc>
        <w:tc>
          <w:tcPr>
            <w:tcW w:w="6780" w:type="dxa"/>
          </w:tcPr>
          <w:p w14:paraId="633ABDB0" w14:textId="77777777" w:rsidR="002B5C5F" w:rsidRPr="002B5C5F" w:rsidRDefault="002B5C5F" w:rsidP="002B5C5F">
            <w:pPr>
              <w:rPr>
                <w:rFonts w:eastAsia="Yu Mincho"/>
                <w:lang w:val="en-US" w:eastAsia="ja-JP"/>
              </w:rPr>
            </w:pPr>
            <w:r w:rsidRPr="002B5C5F">
              <w:rPr>
                <w:rFonts w:eastAsia="Yu Mincho"/>
                <w:lang w:val="en-US" w:eastAsia="ja-JP"/>
              </w:rPr>
              <w:t xml:space="preserve">We would like to thank the FL for the great efforts. </w:t>
            </w:r>
          </w:p>
          <w:p w14:paraId="5F8BE21A" w14:textId="77777777" w:rsidR="002B5C5F" w:rsidRPr="002B5C5F" w:rsidRDefault="002B5C5F" w:rsidP="002B5C5F">
            <w:pPr>
              <w:rPr>
                <w:rFonts w:eastAsia="Yu Mincho"/>
                <w:lang w:val="en-US" w:eastAsia="ja-JP"/>
              </w:rPr>
            </w:pPr>
            <w:r w:rsidRPr="002B5C5F">
              <w:rPr>
                <w:rFonts w:eastAsia="Yu Mincho"/>
                <w:lang w:val="en-US" w:eastAsia="ja-JP"/>
              </w:rPr>
              <w:t>The first item is a good start. As a suggestion for 1b, instead of “cannot expect”, perhaps better wording is “should not expect”.</w:t>
            </w:r>
          </w:p>
          <w:p w14:paraId="146DDF22" w14:textId="68101443" w:rsidR="002B5C5F" w:rsidRPr="002B5C5F" w:rsidRDefault="002B5C5F" w:rsidP="002B5C5F">
            <w:pPr>
              <w:rPr>
                <w:rFonts w:eastAsia="Yu Mincho"/>
                <w:lang w:val="en-US" w:eastAsia="ja-JP"/>
              </w:rPr>
            </w:pPr>
            <w:r w:rsidRPr="002B5C5F">
              <w:rPr>
                <w:rFonts w:eastAsia="Yu Mincho"/>
                <w:lang w:val="en-US" w:eastAsia="ja-JP"/>
              </w:rPr>
              <w:t xml:space="preserve">The second item is a good start. As a suggestion for 2b, instead of “[can always / cannot]”, perhaps better wording is “[should / should not]”. </w:t>
            </w:r>
            <w:r>
              <w:rPr>
                <w:rFonts w:eastAsia="Yu Mincho"/>
                <w:lang w:val="en-US" w:eastAsia="ja-JP"/>
              </w:rPr>
              <w:t>We prefer to keep the FFS</w:t>
            </w:r>
          </w:p>
          <w:p w14:paraId="5615CD1A" w14:textId="083DE2A5" w:rsidR="002B5C5F" w:rsidRPr="002B5C5F" w:rsidRDefault="002B5C5F" w:rsidP="002B5C5F">
            <w:pPr>
              <w:rPr>
                <w:rFonts w:eastAsia="Yu Mincho"/>
                <w:lang w:val="en-US" w:eastAsia="ja-JP"/>
              </w:rPr>
            </w:pPr>
            <w:r w:rsidRPr="002B5C5F">
              <w:rPr>
                <w:rFonts w:eastAsia="Yu Mincho"/>
                <w:lang w:val="en-US" w:eastAsia="ja-JP"/>
              </w:rPr>
              <w:t xml:space="preserve">The third item is unclear. Is a separate initial DL BWP for the connected state even defined </w:t>
            </w:r>
            <w:r>
              <w:rPr>
                <w:rFonts w:eastAsia="Yu Mincho"/>
                <w:lang w:val="en-US" w:eastAsia="ja-JP"/>
              </w:rPr>
              <w:t>in the current standards</w:t>
            </w:r>
            <w:r w:rsidRPr="002B5C5F">
              <w:rPr>
                <w:rFonts w:eastAsia="Yu Mincho"/>
                <w:lang w:val="en-US" w:eastAsia="ja-JP"/>
              </w:rPr>
              <w:t xml:space="preserve">. </w:t>
            </w:r>
            <w:r>
              <w:rPr>
                <w:rFonts w:eastAsia="Yu Mincho"/>
                <w:lang w:val="en-US" w:eastAsia="ja-JP"/>
              </w:rPr>
              <w:t>I</w:t>
            </w:r>
            <w:r w:rsidRPr="002B5C5F">
              <w:rPr>
                <w:rFonts w:eastAsia="Yu Mincho"/>
                <w:lang w:val="en-US" w:eastAsia="ja-JP"/>
              </w:rPr>
              <w:t>n the connected state, we have BWP#0</w:t>
            </w:r>
            <w:r>
              <w:rPr>
                <w:rFonts w:eastAsia="Yu Mincho"/>
                <w:lang w:val="en-US" w:eastAsia="ja-JP"/>
              </w:rPr>
              <w:t>.</w:t>
            </w:r>
            <w:r w:rsidRPr="002B5C5F">
              <w:rPr>
                <w:rFonts w:eastAsia="Yu Mincho"/>
                <w:lang w:val="en-US" w:eastAsia="ja-JP"/>
              </w:rPr>
              <w:t xml:space="preserve"> Note it is clear for the idle / inactive states. Similar comments about replacing “cannot expect” with “should not expect”</w:t>
            </w:r>
          </w:p>
          <w:p w14:paraId="135B4EE2" w14:textId="643FBAC7" w:rsidR="002B5C5F" w:rsidRDefault="002B5C5F" w:rsidP="002B5C5F">
            <w:pPr>
              <w:rPr>
                <w:rFonts w:eastAsia="Yu Mincho"/>
                <w:lang w:val="en-US" w:eastAsia="ja-JP"/>
              </w:rPr>
            </w:pPr>
            <w:r w:rsidRPr="002B5C5F">
              <w:rPr>
                <w:rFonts w:eastAsia="Yu Mincho"/>
                <w:lang w:val="en-US" w:eastAsia="ja-JP"/>
              </w:rPr>
              <w:t xml:space="preserve">For the fourth item, </w:t>
            </w:r>
            <w:r>
              <w:rPr>
                <w:rFonts w:eastAsia="Yu Mincho"/>
                <w:lang w:val="en-US" w:eastAsia="ja-JP"/>
              </w:rPr>
              <w:t>we have similar concerns as vivo and Nordic.</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 xml:space="preserve">Several contributions support that an initial DL BWP for RedCap UEs can be optionally configured/defined separately from the initial DL BWP for non-RedCap </w:t>
      </w:r>
      <w:proofErr w:type="spellStart"/>
      <w:r w:rsidRPr="00DD2087">
        <w:rPr>
          <w:lang w:val="en-US"/>
        </w:rPr>
        <w:t>U</w:t>
      </w:r>
      <w:r w:rsidR="00D47FBD" w:rsidRPr="00DD2087">
        <w:rPr>
          <w:lang w:val="en-US"/>
        </w:rPr>
        <w:t>e</w:t>
      </w:r>
      <w:r w:rsidRPr="00DD2087">
        <w:rPr>
          <w:lang w:val="en-US"/>
        </w:rPr>
        <w:t>s</w:t>
      </w:r>
      <w:proofErr w:type="spellEnd"/>
      <w:r w:rsidRPr="00DD2087">
        <w:rPr>
          <w:lang w:val="en-US"/>
        </w:rPr>
        <w:t xml:space="preserve">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xml:space="preserve">: An initial DL BWP for 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can be optionally configured/defined separately from the initial DL BWP for non-RedCap </w:t>
      </w:r>
      <w:proofErr w:type="spellStart"/>
      <w:r w:rsidRPr="00DD2087">
        <w:rPr>
          <w:b/>
          <w:lang w:val="en-US"/>
        </w:rPr>
        <w:t>U</w:t>
      </w:r>
      <w:r w:rsidR="00D47FBD" w:rsidRPr="00DD2087">
        <w:rPr>
          <w:b/>
          <w:lang w:val="en-US"/>
        </w:rPr>
        <w:t>e</w:t>
      </w:r>
      <w:r w:rsidRPr="00DD2087">
        <w:rPr>
          <w:b/>
          <w:lang w:val="en-US"/>
        </w:rPr>
        <w:t>s</w:t>
      </w:r>
      <w:proofErr w:type="spellEnd"/>
      <w:r w:rsidRPr="00DD2087">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w:t>
            </w:r>
            <w:r w:rsidR="00D47FB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 xml:space="preserve">Both during and after initial access, even for the scenario where the initial UL BWP for non-RedCap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 xml:space="preserve"> is not configured to be wider than the RedCap UE bandwidth, a separate initial UL BWP can optionally be configured/defined for RedCap </w:t>
            </w:r>
            <w:proofErr w:type="spellStart"/>
            <w:r>
              <w:rPr>
                <w:rFonts w:ascii="Times" w:hAnsi="Times"/>
                <w:szCs w:val="24"/>
              </w:rPr>
              <w:t>U</w:t>
            </w:r>
            <w:r w:rsidR="00D47FBD">
              <w:rPr>
                <w:rFonts w:ascii="Times" w:hAnsi="Times"/>
                <w:szCs w:val="24"/>
              </w:rPr>
              <w:t>e</w:t>
            </w:r>
            <w:r>
              <w:rPr>
                <w:rFonts w:ascii="Times" w:hAnsi="Times"/>
                <w:szCs w:val="24"/>
              </w:rPr>
              <w:t>s</w:t>
            </w:r>
            <w:proofErr w:type="spellEnd"/>
            <w:r>
              <w:rPr>
                <w:rFonts w:ascii="Times" w:hAnsi="Times"/>
                <w:szCs w:val="24"/>
              </w:rPr>
              <w:t>.</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proofErr w:type="spellStart"/>
      <w:r>
        <w:rPr>
          <w:rFonts w:ascii="Times" w:hAnsi="Times"/>
          <w:szCs w:val="24"/>
          <w:lang w:val="en-US"/>
        </w:rPr>
        <w:t>U</w:t>
      </w:r>
      <w:r w:rsidR="00D47FB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ListParagraph"/>
              <w:numPr>
                <w:ilvl w:val="0"/>
                <w:numId w:val="85"/>
              </w:numPr>
              <w:rPr>
                <w:sz w:val="20"/>
                <w:szCs w:val="20"/>
                <w:lang w:val="en-US" w:eastAsia="ko-KR"/>
              </w:rPr>
            </w:pPr>
            <w:r>
              <w:rPr>
                <w:sz w:val="20"/>
                <w:szCs w:val="20"/>
                <w:lang w:val="en-US" w:eastAsia="ko-KR"/>
              </w:rPr>
              <w:t xml:space="preserve">Both during and after initial access, for the scenario where the initial UL BWP 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RedCap UE bandwidth, a separate initial UL BWP no wider than the RedCap UE maximum bandwidth is configured/defined for 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E589993" w14:textId="4C65D691" w:rsidR="003B4CD9" w:rsidRDefault="004B213F">
            <w:pPr>
              <w:pStyle w:val="ListParagraph"/>
              <w:numPr>
                <w:ilvl w:val="0"/>
                <w:numId w:val="87"/>
              </w:numPr>
              <w:rPr>
                <w:sz w:val="20"/>
                <w:szCs w:val="20"/>
                <w:lang w:val="en-US" w:eastAsia="ko-KR"/>
              </w:rPr>
            </w:pPr>
            <w:r>
              <w:rPr>
                <w:sz w:val="20"/>
                <w:szCs w:val="20"/>
                <w:lang w:val="en-US" w:eastAsia="ko-KR"/>
              </w:rPr>
              <w:t xml:space="preserve">For non-RedCap </w:t>
            </w:r>
            <w:proofErr w:type="spellStart"/>
            <w:r>
              <w:rPr>
                <w:sz w:val="20"/>
                <w:szCs w:val="20"/>
                <w:lang w:val="en-US" w:eastAsia="ko-KR"/>
              </w:rPr>
              <w:t>U</w:t>
            </w:r>
            <w:r w:rsidR="00D47FB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9BE"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w:t>
            </w:r>
            <w:r w:rsidR="00D47FBD">
              <w:rPr>
                <w:rFonts w:eastAsiaTheme="minorEastAsia"/>
                <w:lang w:val="en-US" w:eastAsia="zh-CN"/>
              </w:rPr>
              <w:t>“</w:t>
            </w:r>
            <w:r>
              <w:rPr>
                <w:rFonts w:eastAsiaTheme="minorEastAsia"/>
                <w:lang w:val="en-US" w:eastAsia="zh-CN"/>
              </w:rPr>
              <w:t>center-</w:t>
            </w:r>
            <w:proofErr w:type="spellStart"/>
            <w:r>
              <w:rPr>
                <w:rFonts w:eastAsiaTheme="minorEastAsia"/>
                <w:lang w:val="en-US" w:eastAsia="zh-CN"/>
              </w:rPr>
              <w:t>freq</w:t>
            </w:r>
            <w:proofErr w:type="spellEnd"/>
            <w:r>
              <w:rPr>
                <w:rFonts w:eastAsiaTheme="minorEastAsia"/>
                <w:lang w:val="en-US" w:eastAsia="zh-CN"/>
              </w:rPr>
              <w:t xml:space="preserve">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(which is not expected to exceed the maximum RedCap UE bandwidth) can be optionally configured/defined separately from the initial DL BWP for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proofErr w:type="spellStart"/>
            <w:r>
              <w:rPr>
                <w:rFonts w:eastAsia="Malgun Gothic"/>
                <w:lang w:val="en-US" w:eastAsia="ko-KR"/>
              </w:rPr>
              <w:t>U</w:t>
            </w:r>
            <w:r w:rsidR="00D47FBD">
              <w:rPr>
                <w:rFonts w:eastAsia="Malgun Gothic"/>
                <w:lang w:val="en-US" w:eastAsia="ko-KR"/>
              </w:rPr>
              <w:t>e</w:t>
            </w:r>
            <w:r>
              <w:rPr>
                <w:rFonts w:eastAsia="Malgun Gothic"/>
                <w:lang w:val="en-US" w:eastAsia="ko-KR"/>
              </w:rPr>
              <w:t>s</w:t>
            </w:r>
            <w:proofErr w:type="spellEnd"/>
            <w:r>
              <w:rPr>
                <w:rFonts w:eastAsia="Malgun Gothic"/>
                <w:lang w:val="en-US" w:eastAsia="ko-KR"/>
              </w:rPr>
              <w:t>,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D47FB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 xml:space="preserve"> is configured to be wider than the RedCap UE bandwidth, a separate initial UL BWP no wider than the RedCap UE maximum bandwidth is configured/defined for RedCap </w:t>
            </w:r>
            <w:proofErr w:type="spellStart"/>
            <w:r>
              <w:rPr>
                <w:b/>
                <w:sz w:val="20"/>
                <w:szCs w:val="22"/>
                <w:lang w:val="en-GB"/>
              </w:rPr>
              <w:t>U</w:t>
            </w:r>
            <w:r w:rsidR="00D47FBD">
              <w:rPr>
                <w:b/>
                <w:sz w:val="20"/>
                <w:szCs w:val="22"/>
                <w:lang w:val="en-GB"/>
              </w:rPr>
              <w:t>e</w:t>
            </w:r>
            <w:r>
              <w:rPr>
                <w:b/>
                <w:sz w:val="20"/>
                <w:szCs w:val="22"/>
                <w:lang w:val="en-GB"/>
              </w:rPr>
              <w:t>s</w:t>
            </w:r>
            <w:proofErr w:type="spellEnd"/>
            <w:r>
              <w:rPr>
                <w:b/>
                <w:sz w:val="20"/>
                <w:szCs w:val="22"/>
                <w:lang w:val="en-GB"/>
              </w:rPr>
              <w:t>.</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Yu Mincho"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Yu Mincho"/>
                <w:lang w:eastAsia="ja-JP"/>
              </w:rPr>
              <w:t xml:space="preserve">Since </w:t>
            </w:r>
            <w:r w:rsidRPr="008E37A0">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2B5C5F" w14:paraId="35D47138" w14:textId="77777777" w:rsidTr="005B2B67">
        <w:tc>
          <w:tcPr>
            <w:tcW w:w="1472" w:type="dxa"/>
          </w:tcPr>
          <w:p w14:paraId="56F187C2" w14:textId="6B3376B7" w:rsidR="002B5C5F" w:rsidRDefault="002B5C5F" w:rsidP="004B2432">
            <w:pPr>
              <w:rPr>
                <w:rFonts w:eastAsia="Yu Mincho"/>
                <w:lang w:eastAsia="ja-JP"/>
              </w:rPr>
            </w:pPr>
            <w:r>
              <w:rPr>
                <w:rFonts w:eastAsia="Yu Mincho"/>
                <w:lang w:eastAsia="ja-JP"/>
              </w:rPr>
              <w:t>FUTUREWEI9</w:t>
            </w:r>
          </w:p>
        </w:tc>
        <w:tc>
          <w:tcPr>
            <w:tcW w:w="916" w:type="dxa"/>
          </w:tcPr>
          <w:p w14:paraId="0AF1F153" w14:textId="4FCB4BFB" w:rsidR="002B5C5F" w:rsidRDefault="002B5C5F" w:rsidP="004B2432">
            <w:pPr>
              <w:tabs>
                <w:tab w:val="left" w:pos="551"/>
              </w:tabs>
              <w:rPr>
                <w:rFonts w:eastAsia="Yu Mincho"/>
                <w:lang w:val="en-US" w:eastAsia="ja-JP"/>
              </w:rPr>
            </w:pPr>
          </w:p>
        </w:tc>
        <w:tc>
          <w:tcPr>
            <w:tcW w:w="7776" w:type="dxa"/>
          </w:tcPr>
          <w:p w14:paraId="7EC3BA71" w14:textId="03A1D6B5" w:rsidR="002B5C5F" w:rsidRDefault="002B5C5F" w:rsidP="002B5C5F">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t>
            </w:r>
            <w:r w:rsidR="00C03871">
              <w:rPr>
                <w:rFonts w:eastAsiaTheme="minorEastAsia"/>
                <w:lang w:eastAsia="zh-CN"/>
              </w:rPr>
              <w:t>We would like to keep the last FFS.</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1D7C02">
              <w:fldChar w:fldCharType="begin"/>
            </w:r>
            <w:r w:rsidR="001D7C02">
              <w:instrText xml:space="preserve"> SEQ Table \* ARABIC </w:instrText>
            </w:r>
            <w:r w:rsidR="001D7C02">
              <w:fldChar w:fldCharType="separate"/>
            </w:r>
            <w:r>
              <w:t>3</w:t>
            </w:r>
            <w:r w:rsidR="001D7C02">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E589DF9"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1D7C02">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1D7C02">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1D7C02">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1D7C02">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1D7C02">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1D7C02">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1D7C02">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1D7C02">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1D7C02">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1D7C02">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1D7C02">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1D7C02">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1D7C02">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1D7C02">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1D7C02">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1D7C02">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1D7C02">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1D7C02">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1D7C02">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1D7C02">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1D7C02">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1D7C02">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1D7C02">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1D7C02">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proofErr w:type="spellStart"/>
            <w:r>
              <w:rPr>
                <w:lang w:val="en-US"/>
              </w:rPr>
              <w:t>InterDigital</w:t>
            </w:r>
            <w:proofErr w:type="spellEnd"/>
            <w:r>
              <w:rPr>
                <w:lang w:val="en-US"/>
              </w:rPr>
              <w:t>,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1D7C02">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1D7C02">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1D7C02">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1D7C02">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1D7C02">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proofErr w:type="spellStart"/>
            <w:r>
              <w:rPr>
                <w:lang w:val="en-US"/>
              </w:rPr>
              <w:t>ASUSTeK</w:t>
            </w:r>
            <w:proofErr w:type="spellEnd"/>
            <w:r>
              <w:rPr>
                <w:lang w:val="en-US"/>
              </w:rPr>
              <w:t xml:space="preserve">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1D7C02">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1D7C02">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1D7C02">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1D7C02">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1D7C02">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1D7C02">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1D7C02">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1D7C02">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1D7C02">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1D7C02">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1D7C02">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1D7C02">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1D7C02">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1D7C02">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1D7C02">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1D7C02">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1D7C02">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B507" w14:textId="77777777" w:rsidR="001D7C02" w:rsidRDefault="001D7C02" w:rsidP="00582863">
      <w:pPr>
        <w:spacing w:after="0" w:line="240" w:lineRule="auto"/>
      </w:pPr>
      <w:r>
        <w:separator/>
      </w:r>
    </w:p>
  </w:endnote>
  <w:endnote w:type="continuationSeparator" w:id="0">
    <w:p w14:paraId="371F1566" w14:textId="77777777" w:rsidR="001D7C02" w:rsidRDefault="001D7C02"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7B291" w14:textId="77777777" w:rsidR="001D7C02" w:rsidRDefault="001D7C02" w:rsidP="00582863">
      <w:pPr>
        <w:spacing w:after="0" w:line="240" w:lineRule="auto"/>
      </w:pPr>
      <w:r>
        <w:separator/>
      </w:r>
    </w:p>
  </w:footnote>
  <w:footnote w:type="continuationSeparator" w:id="0">
    <w:p w14:paraId="2BCBDC27" w14:textId="77777777" w:rsidR="001D7C02" w:rsidRDefault="001D7C02"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E365181"/>
    <w:multiLevelType w:val="hybridMultilevel"/>
    <w:tmpl w:val="354E6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742462"/>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9"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1"/>
  </w:num>
  <w:num w:numId="5">
    <w:abstractNumId w:val="56"/>
    <w:lvlOverride w:ilvl="0">
      <w:startOverride w:val="1"/>
    </w:lvlOverride>
  </w:num>
  <w:num w:numId="6">
    <w:abstractNumId w:val="57"/>
  </w:num>
  <w:num w:numId="7">
    <w:abstractNumId w:val="79"/>
  </w:num>
  <w:num w:numId="8">
    <w:abstractNumId w:val="29"/>
  </w:num>
  <w:num w:numId="9">
    <w:abstractNumId w:val="37"/>
  </w:num>
  <w:num w:numId="10">
    <w:abstractNumId w:val="87"/>
  </w:num>
  <w:num w:numId="11">
    <w:abstractNumId w:val="89"/>
  </w:num>
  <w:num w:numId="12">
    <w:abstractNumId w:val="33"/>
  </w:num>
  <w:num w:numId="13">
    <w:abstractNumId w:val="31"/>
  </w:num>
  <w:num w:numId="14">
    <w:abstractNumId w:val="96"/>
  </w:num>
  <w:num w:numId="15">
    <w:abstractNumId w:val="55"/>
  </w:num>
  <w:num w:numId="16">
    <w:abstractNumId w:val="68"/>
  </w:num>
  <w:num w:numId="17">
    <w:abstractNumId w:val="62"/>
  </w:num>
  <w:num w:numId="18">
    <w:abstractNumId w:val="53"/>
  </w:num>
  <w:num w:numId="19">
    <w:abstractNumId w:val="80"/>
  </w:num>
  <w:num w:numId="20">
    <w:abstractNumId w:val="99"/>
  </w:num>
  <w:num w:numId="21">
    <w:abstractNumId w:val="16"/>
  </w:num>
  <w:num w:numId="22">
    <w:abstractNumId w:val="24"/>
  </w:num>
  <w:num w:numId="23">
    <w:abstractNumId w:val="39"/>
  </w:num>
  <w:num w:numId="24">
    <w:abstractNumId w:val="52"/>
  </w:num>
  <w:num w:numId="25">
    <w:abstractNumId w:val="77"/>
  </w:num>
  <w:num w:numId="26">
    <w:abstractNumId w:val="63"/>
  </w:num>
  <w:num w:numId="27">
    <w:abstractNumId w:val="26"/>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73"/>
  </w:num>
  <w:num w:numId="32">
    <w:abstractNumId w:val="112"/>
  </w:num>
  <w:num w:numId="33">
    <w:abstractNumId w:val="58"/>
  </w:num>
  <w:num w:numId="34">
    <w:abstractNumId w:val="90"/>
  </w:num>
  <w:num w:numId="35">
    <w:abstractNumId w:val="102"/>
  </w:num>
  <w:num w:numId="36">
    <w:abstractNumId w:val="12"/>
  </w:num>
  <w:num w:numId="37">
    <w:abstractNumId w:val="44"/>
  </w:num>
  <w:num w:numId="38">
    <w:abstractNumId w:val="116"/>
  </w:num>
  <w:num w:numId="39">
    <w:abstractNumId w:val="85"/>
  </w:num>
  <w:num w:numId="40">
    <w:abstractNumId w:val="105"/>
  </w:num>
  <w:num w:numId="41">
    <w:abstractNumId w:val="97"/>
  </w:num>
  <w:num w:numId="42">
    <w:abstractNumId w:val="76"/>
  </w:num>
  <w:num w:numId="43">
    <w:abstractNumId w:val="8"/>
  </w:num>
  <w:num w:numId="44">
    <w:abstractNumId w:val="21"/>
  </w:num>
  <w:num w:numId="45">
    <w:abstractNumId w:val="50"/>
  </w:num>
  <w:num w:numId="46">
    <w:abstractNumId w:val="20"/>
  </w:num>
  <w:num w:numId="47">
    <w:abstractNumId w:val="45"/>
  </w:num>
  <w:num w:numId="48">
    <w:abstractNumId w:val="83"/>
  </w:num>
  <w:num w:numId="49">
    <w:abstractNumId w:val="30"/>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38"/>
  </w:num>
  <w:num w:numId="53">
    <w:abstractNumId w:val="4"/>
  </w:num>
  <w:num w:numId="54">
    <w:abstractNumId w:val="78"/>
  </w:num>
  <w:num w:numId="55">
    <w:abstractNumId w:val="65"/>
  </w:num>
  <w:num w:numId="56">
    <w:abstractNumId w:val="7"/>
  </w:num>
  <w:num w:numId="57">
    <w:abstractNumId w:val="110"/>
  </w:num>
  <w:num w:numId="58">
    <w:abstractNumId w:val="114"/>
  </w:num>
  <w:num w:numId="59">
    <w:abstractNumId w:val="104"/>
  </w:num>
  <w:num w:numId="60">
    <w:abstractNumId w:val="0"/>
  </w:num>
  <w:num w:numId="61">
    <w:abstractNumId w:val="51"/>
  </w:num>
  <w:num w:numId="62">
    <w:abstractNumId w:val="27"/>
  </w:num>
  <w:num w:numId="63">
    <w:abstractNumId w:val="84"/>
  </w:num>
  <w:num w:numId="64">
    <w:abstractNumId w:val="74"/>
  </w:num>
  <w:num w:numId="65">
    <w:abstractNumId w:val="71"/>
  </w:num>
  <w:num w:numId="66">
    <w:abstractNumId w:val="34"/>
  </w:num>
  <w:num w:numId="67">
    <w:abstractNumId w:val="35"/>
  </w:num>
  <w:num w:numId="68">
    <w:abstractNumId w:val="6"/>
  </w:num>
  <w:num w:numId="69">
    <w:abstractNumId w:val="82"/>
  </w:num>
  <w:num w:numId="70">
    <w:abstractNumId w:val="11"/>
  </w:num>
  <w:num w:numId="71">
    <w:abstractNumId w:val="59"/>
  </w:num>
  <w:num w:numId="72">
    <w:abstractNumId w:val="1"/>
  </w:num>
  <w:num w:numId="73">
    <w:abstractNumId w:val="70"/>
  </w:num>
  <w:num w:numId="74">
    <w:abstractNumId w:val="9"/>
  </w:num>
  <w:num w:numId="75">
    <w:abstractNumId w:val="60"/>
  </w:num>
  <w:num w:numId="76">
    <w:abstractNumId w:val="5"/>
  </w:num>
  <w:num w:numId="77">
    <w:abstractNumId w:val="43"/>
  </w:num>
  <w:num w:numId="78">
    <w:abstractNumId w:val="109"/>
  </w:num>
  <w:num w:numId="79">
    <w:abstractNumId w:val="101"/>
  </w:num>
  <w:num w:numId="80">
    <w:abstractNumId w:val="19"/>
  </w:num>
  <w:num w:numId="81">
    <w:abstractNumId w:val="42"/>
  </w:num>
  <w:num w:numId="82">
    <w:abstractNumId w:val="94"/>
  </w:num>
  <w:num w:numId="83">
    <w:abstractNumId w:val="48"/>
  </w:num>
  <w:num w:numId="84">
    <w:abstractNumId w:val="103"/>
  </w:num>
  <w:num w:numId="85">
    <w:abstractNumId w:val="113"/>
  </w:num>
  <w:num w:numId="86">
    <w:abstractNumId w:val="40"/>
  </w:num>
  <w:num w:numId="87">
    <w:abstractNumId w:val="107"/>
  </w:num>
  <w:num w:numId="88">
    <w:abstractNumId w:val="67"/>
  </w:num>
  <w:num w:numId="89">
    <w:abstractNumId w:val="100"/>
  </w:num>
  <w:num w:numId="90">
    <w:abstractNumId w:val="54"/>
  </w:num>
  <w:num w:numId="91">
    <w:abstractNumId w:val="64"/>
  </w:num>
  <w:num w:numId="92">
    <w:abstractNumId w:val="28"/>
  </w:num>
  <w:num w:numId="93">
    <w:abstractNumId w:val="118"/>
  </w:num>
  <w:num w:numId="94">
    <w:abstractNumId w:val="106"/>
  </w:num>
  <w:num w:numId="95">
    <w:abstractNumId w:val="111"/>
  </w:num>
  <w:num w:numId="96">
    <w:abstractNumId w:val="69"/>
  </w:num>
  <w:num w:numId="97">
    <w:abstractNumId w:val="36"/>
  </w:num>
  <w:num w:numId="98">
    <w:abstractNumId w:val="81"/>
  </w:num>
  <w:num w:numId="99">
    <w:abstractNumId w:val="88"/>
  </w:num>
  <w:num w:numId="100">
    <w:abstractNumId w:val="17"/>
  </w:num>
  <w:num w:numId="101">
    <w:abstractNumId w:val="47"/>
  </w:num>
  <w:num w:numId="102">
    <w:abstractNumId w:val="115"/>
  </w:num>
  <w:num w:numId="103">
    <w:abstractNumId w:val="14"/>
  </w:num>
  <w:num w:numId="104">
    <w:abstractNumId w:val="95"/>
  </w:num>
  <w:num w:numId="105">
    <w:abstractNumId w:val="108"/>
  </w:num>
  <w:num w:numId="106">
    <w:abstractNumId w:val="72"/>
  </w:num>
  <w:num w:numId="107">
    <w:abstractNumId w:val="46"/>
  </w:num>
  <w:num w:numId="108">
    <w:abstractNumId w:val="25"/>
  </w:num>
  <w:num w:numId="109">
    <w:abstractNumId w:val="23"/>
  </w:num>
  <w:num w:numId="110">
    <w:abstractNumId w:val="98"/>
  </w:num>
  <w:num w:numId="111">
    <w:abstractNumId w:val="32"/>
  </w:num>
  <w:num w:numId="112">
    <w:abstractNumId w:val="91"/>
  </w:num>
  <w:num w:numId="113">
    <w:abstractNumId w:val="13"/>
  </w:num>
  <w:num w:numId="114">
    <w:abstractNumId w:val="18"/>
  </w:num>
  <w:num w:numId="115">
    <w:abstractNumId w:val="92"/>
  </w:num>
  <w:num w:numId="116">
    <w:abstractNumId w:val="66"/>
  </w:num>
  <w:num w:numId="117">
    <w:abstractNumId w:val="49"/>
  </w:num>
  <w:num w:numId="118">
    <w:abstractNumId w:val="15"/>
  </w:num>
  <w:num w:numId="119">
    <w:abstractNumId w:val="93"/>
  </w:num>
  <w:num w:numId="120">
    <w:abstractNumId w:val="117"/>
  </w:num>
  <w:num w:numId="121">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 w:type="character" w:customStyle="1" w:styleId="fontstyle01">
    <w:name w:val="fontstyle01"/>
    <w:basedOn w:val="DefaultParagraphFont"/>
    <w:rsid w:val="00A33125"/>
    <w:rPr>
      <w:rFonts w:ascii="Helvetica-BoldOblique" w:hAnsi="Helvetica-BoldOblique" w:hint="default"/>
      <w:b/>
      <w:bCs/>
      <w:i/>
      <w:iCs/>
      <w:color w:val="000000"/>
      <w:sz w:val="18"/>
      <w:szCs w:val="18"/>
    </w:rPr>
  </w:style>
  <w:style w:type="character" w:customStyle="1" w:styleId="fontstyle11">
    <w:name w:val="fontstyle11"/>
    <w:basedOn w:val="DefaultParagraphFont"/>
    <w:rsid w:val="00A3312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A33125"/>
    <w:rPr>
      <w:rFonts w:ascii="Helvetica-Oblique" w:hAnsi="Helvetica-Oblique" w:hint="default"/>
      <w:b w:val="0"/>
      <w:bCs w:val="0"/>
      <w:i/>
      <w:iCs/>
      <w:color w:val="000000"/>
      <w:sz w:val="18"/>
      <w:szCs w:val="18"/>
    </w:rPr>
  </w:style>
  <w:style w:type="character" w:customStyle="1" w:styleId="fontstyle41">
    <w:name w:val="fontstyle41"/>
    <w:basedOn w:val="DefaultParagraphFont"/>
    <w:rsid w:val="00A33125"/>
    <w:rPr>
      <w:rFonts w:ascii="T25" w:hAnsi="T25" w:hint="default"/>
      <w:b w:val="0"/>
      <w:bCs w:val="0"/>
      <w:i w:val="0"/>
      <w:iCs w:val="0"/>
      <w:color w:val="000000"/>
      <w:sz w:val="18"/>
      <w:szCs w:val="18"/>
    </w:rPr>
  </w:style>
  <w:style w:type="character" w:customStyle="1" w:styleId="fontstyle51">
    <w:name w:val="fontstyle51"/>
    <w:basedOn w:val="DefaultParagraphFont"/>
    <w:rsid w:val="00A33125"/>
    <w:rPr>
      <w:rFonts w:ascii="Helvetica-Bold" w:hAnsi="Helvetica-Bold" w:hint="default"/>
      <w:b/>
      <w:bCs/>
      <w:i w:val="0"/>
      <w:iCs w:val="0"/>
      <w:color w:val="000000"/>
      <w:sz w:val="18"/>
      <w:szCs w:val="18"/>
    </w:rPr>
  </w:style>
  <w:style w:type="character" w:customStyle="1" w:styleId="fontstyle61">
    <w:name w:val="fontstyle61"/>
    <w:basedOn w:val="DefaultParagraphFont"/>
    <w:rsid w:val="00A33125"/>
    <w:rPr>
      <w:rFonts w:ascii="Times-Roman" w:hAnsi="Times-Roman" w:hint="default"/>
      <w:b w:val="0"/>
      <w:bCs w:val="0"/>
      <w:i w:val="0"/>
      <w:iCs w:val="0"/>
      <w:color w:val="000000"/>
      <w:sz w:val="20"/>
      <w:szCs w:val="20"/>
    </w:rPr>
  </w:style>
  <w:style w:type="character" w:customStyle="1" w:styleId="fontstyle71">
    <w:name w:val="fontstyle71"/>
    <w:basedOn w:val="DefaultParagraphFont"/>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A02BB5-5507-4EFE-B27C-33A19895C20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47056</Words>
  <Characters>268225</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Vipul Desai</cp:lastModifiedBy>
  <cp:revision>2</cp:revision>
  <dcterms:created xsi:type="dcterms:W3CDTF">2021-08-26T02:28:00Z</dcterms:created>
  <dcterms:modified xsi:type="dcterms:W3CDTF">2021-08-26T02:28:00Z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