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ListParagraph"/>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ListParagraph"/>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ListParagraph"/>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ListParagraph"/>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ListParagraph"/>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ListParagraph"/>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ListParagraph"/>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ListParagraph"/>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lastRenderedPageBreak/>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ListParagraph"/>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ListParagraph"/>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lastRenderedPageBreak/>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ListParagraph"/>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ListParagraph"/>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ListParagraph"/>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ListParagraph"/>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ListParagraph"/>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lastRenderedPageBreak/>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ListParagraph"/>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ListParagraph"/>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3FEE358A" w14:textId="338A428F" w:rsidR="00A218D5" w:rsidRPr="0056406A" w:rsidRDefault="00A218D5" w:rsidP="0056406A">
            <w:pPr>
              <w:pStyle w:val="ListParagraph"/>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lastRenderedPageBreak/>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ListParagraph"/>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ListParagraph"/>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ListParagraph"/>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ListParagraph"/>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ListParagraph"/>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68269EBC"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t xml:space="preserve">Nordic </w:t>
            </w:r>
          </w:p>
        </w:tc>
        <w:tc>
          <w:tcPr>
            <w:tcW w:w="8275" w:type="dxa"/>
          </w:tcPr>
          <w:p w14:paraId="56C558F0" w14:textId="71FF515A" w:rsidR="00832D48" w:rsidRDefault="00832D48" w:rsidP="00906130">
            <w:pPr>
              <w:pStyle w:val="ListParagraph"/>
              <w:numPr>
                <w:ilvl w:val="0"/>
                <w:numId w:val="94"/>
              </w:numPr>
              <w:rPr>
                <w:lang w:val="en-US" w:eastAsia="ko-KR"/>
              </w:rPr>
            </w:pPr>
            <w:r>
              <w:rPr>
                <w:lang w:val="en-US" w:eastAsia="ko-KR"/>
              </w:rPr>
              <w:t>CORESET#0 by MIB is not necessary, but having separate CORESET#0 and/or CommonCORESET +   TYPE0/0A/TYPE1/TYPE2 SS sets configured by pdcch-</w:t>
            </w:r>
            <w:r>
              <w:rPr>
                <w:lang w:val="en-US" w:eastAsia="ko-KR"/>
              </w:rPr>
              <w:lastRenderedPageBreak/>
              <w:t xml:space="preserve">ConfigCommon is must on Pcell as per RAN2 specification, otherwise UE does not receive paging/RAR/SIBs in this BWP. This is how NR works. </w:t>
            </w:r>
          </w:p>
          <w:p w14:paraId="6BF1D11E" w14:textId="77777777" w:rsidR="00832D48" w:rsidRDefault="00832D48" w:rsidP="00906130">
            <w:pPr>
              <w:pStyle w:val="ListParagraph"/>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ListParagraph"/>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ListParagraph"/>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lastRenderedPageBreak/>
              <w:t>V</w:t>
            </w:r>
            <w:r w:rsidR="0020173C">
              <w:rPr>
                <w:rFonts w:eastAsiaTheme="minorEastAsia"/>
                <w:lang w:val="en-US" w:eastAsia="zh-CN"/>
              </w:rPr>
              <w:t>ivo</w:t>
            </w:r>
          </w:p>
        </w:tc>
        <w:tc>
          <w:tcPr>
            <w:tcW w:w="8275" w:type="dxa"/>
          </w:tcPr>
          <w:p w14:paraId="4FBB8B11" w14:textId="2777CC97"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ListParagraph"/>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 xml:space="preserve">(5) Having said so much, we can see that FG 6-1a is important to support, or simply clarify that RF retuning for SSB measurement/reception outside the active DL BWP is supported. Otherwise, if we </w:t>
            </w:r>
            <w:r>
              <w:rPr>
                <w:rFonts w:eastAsiaTheme="minorEastAsia" w:hint="eastAsia"/>
                <w:lang w:val="en-US" w:eastAsia="zh-CN"/>
              </w:rPr>
              <w:lastRenderedPageBreak/>
              <w:t>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70662F" w14:paraId="52B1C4EC" w14:textId="77777777" w:rsidTr="00016A23">
        <w:trPr>
          <w:trHeight w:val="5285"/>
        </w:trPr>
        <w:tc>
          <w:tcPr>
            <w:tcW w:w="1472" w:type="dxa"/>
          </w:tcPr>
          <w:p w14:paraId="1BE2D89B" w14:textId="7E328502" w:rsidR="0070662F" w:rsidRDefault="0070662F" w:rsidP="0070662F">
            <w:pPr>
              <w:rPr>
                <w:rFonts w:eastAsiaTheme="minorEastAsia"/>
                <w:lang w:val="en-US" w:eastAsia="zh-CN"/>
              </w:rPr>
            </w:pPr>
            <w:r>
              <w:rPr>
                <w:rFonts w:eastAsiaTheme="minorEastAsia"/>
                <w:lang w:val="en-US" w:eastAsia="zh-CN"/>
              </w:rPr>
              <w:t>Intel</w:t>
            </w:r>
          </w:p>
        </w:tc>
        <w:tc>
          <w:tcPr>
            <w:tcW w:w="8275" w:type="dxa"/>
          </w:tcPr>
          <w:p w14:paraId="7325AAD0" w14:textId="77777777" w:rsidR="0070662F" w:rsidRDefault="0070662F" w:rsidP="0070662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70662F" w:rsidRDefault="0070662F" w:rsidP="0070662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70662F" w:rsidRDefault="0070662F" w:rsidP="0070662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70662F" w:rsidRDefault="0070662F" w:rsidP="0070662F">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70662F" w:rsidRDefault="0070662F" w:rsidP="0070662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016A23" w14:paraId="3ABBFA9D" w14:textId="77777777" w:rsidTr="002C57B7">
        <w:tc>
          <w:tcPr>
            <w:tcW w:w="1472" w:type="dxa"/>
          </w:tcPr>
          <w:p w14:paraId="793F3463" w14:textId="0CFC656B" w:rsidR="00016A23" w:rsidRDefault="00016A23" w:rsidP="0070662F">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016A23" w:rsidRDefault="00016A23" w:rsidP="00016A23">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016A23" w:rsidRDefault="00016A23" w:rsidP="00016A23">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016A23" w:rsidRDefault="00016A23" w:rsidP="00016A23">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w:t>
            </w:r>
            <w:r w:rsidR="001814B2">
              <w:rPr>
                <w:rFonts w:eastAsiaTheme="minorEastAsia"/>
                <w:lang w:val="en-US" w:eastAsia="zh-CN"/>
              </w:rPr>
              <w:t xml:space="preserve">initial BWPs for non-RedCap UEs or separate initial BWP for RedCap UEs, depending on whether paging and/or RA is configured in the separate initial DL BWP. </w:t>
            </w:r>
          </w:p>
          <w:p w14:paraId="08C9A497" w14:textId="2F41048F" w:rsidR="001814B2" w:rsidRPr="00016A23" w:rsidRDefault="001814B2" w:rsidP="00016A23">
            <w:pPr>
              <w:rPr>
                <w:rFonts w:eastAsiaTheme="minorEastAsia"/>
                <w:lang w:val="en-US" w:eastAsia="zh-CN"/>
              </w:rPr>
            </w:pPr>
            <w:r>
              <w:rPr>
                <w:rFonts w:eastAsiaTheme="minorEastAsia"/>
                <w:lang w:val="en-US" w:eastAsia="zh-CN"/>
              </w:rPr>
              <w:lastRenderedPageBreak/>
              <w:t>4. Same for option1 and option2.</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lastRenderedPageBreak/>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lastRenderedPageBreak/>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lastRenderedPageBreak/>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016A23">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016A23">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016A23">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016A23">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016A23">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016A23">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016A23">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016A23">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016A23">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016A23">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016A23">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016A23">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016A23">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016A23">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016A23">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016A23">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016A23">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016A23">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016A23">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016A23">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016A23">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016A23">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016A23">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016A23">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016A23">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016A23">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016A23">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016A23">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016A23">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016A23">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016A23">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016A23">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016A23">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016A23">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016A23">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016A23">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016A23">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016A23">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016A23">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016A23">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016A23">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016A23">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016A23">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016A23">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016A23"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016A23"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1B94E" w14:textId="77777777" w:rsidR="00C51699" w:rsidRDefault="00C51699" w:rsidP="0046414F">
      <w:pPr>
        <w:spacing w:after="0" w:line="240" w:lineRule="auto"/>
      </w:pPr>
      <w:r>
        <w:separator/>
      </w:r>
    </w:p>
  </w:endnote>
  <w:endnote w:type="continuationSeparator" w:id="0">
    <w:p w14:paraId="437A27D7" w14:textId="77777777" w:rsidR="00C51699" w:rsidRDefault="00C51699"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99A7A" w14:textId="77777777" w:rsidR="00C51699" w:rsidRDefault="00C51699" w:rsidP="0046414F">
      <w:pPr>
        <w:spacing w:after="0" w:line="240" w:lineRule="auto"/>
      </w:pPr>
      <w:r>
        <w:separator/>
      </w:r>
    </w:p>
  </w:footnote>
  <w:footnote w:type="continuationSeparator" w:id="0">
    <w:p w14:paraId="41061738" w14:textId="77777777" w:rsidR="00C51699" w:rsidRDefault="00C51699"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336A37CC"/>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29"/>
  </w:num>
  <w:num w:numId="5">
    <w:abstractNumId w:val="42"/>
    <w:lvlOverride w:ilvl="0">
      <w:startOverride w:val="1"/>
    </w:lvlOverride>
  </w:num>
  <w:num w:numId="6">
    <w:abstractNumId w:val="43"/>
  </w:num>
  <w:num w:numId="7">
    <w:abstractNumId w:val="61"/>
  </w:num>
  <w:num w:numId="8">
    <w:abstractNumId w:val="19"/>
  </w:num>
  <w:num w:numId="9">
    <w:abstractNumId w:val="25"/>
  </w:num>
  <w:num w:numId="10">
    <w:abstractNumId w:val="68"/>
  </w:num>
  <w:num w:numId="11">
    <w:abstractNumId w:val="70"/>
  </w:num>
  <w:num w:numId="12">
    <w:abstractNumId w:val="21"/>
  </w:num>
  <w:num w:numId="13">
    <w:abstractNumId w:val="73"/>
  </w:num>
  <w:num w:numId="14">
    <w:abstractNumId w:val="41"/>
  </w:num>
  <w:num w:numId="15">
    <w:abstractNumId w:val="52"/>
  </w:num>
  <w:num w:numId="16">
    <w:abstractNumId w:val="47"/>
  </w:num>
  <w:num w:numId="17">
    <w:abstractNumId w:val="39"/>
  </w:num>
  <w:num w:numId="18">
    <w:abstractNumId w:val="62"/>
  </w:num>
  <w:num w:numId="19">
    <w:abstractNumId w:val="75"/>
  </w:num>
  <w:num w:numId="20">
    <w:abstractNumId w:val="10"/>
  </w:num>
  <w:num w:numId="21">
    <w:abstractNumId w:val="15"/>
  </w:num>
  <w:num w:numId="22">
    <w:abstractNumId w:val="27"/>
  </w:num>
  <w:num w:numId="23">
    <w:abstractNumId w:val="38"/>
  </w:num>
  <w:num w:numId="24">
    <w:abstractNumId w:val="59"/>
  </w:num>
  <w:num w:numId="25">
    <w:abstractNumId w:val="48"/>
  </w:num>
  <w:num w:numId="26">
    <w:abstractNumId w:val="16"/>
  </w:num>
  <w:num w:numId="27">
    <w:abstractNumId w:val="67"/>
  </w:num>
  <w:num w:numId="28">
    <w:abstractNumId w:val="56"/>
  </w:num>
  <w:num w:numId="29">
    <w:abstractNumId w:val="85"/>
  </w:num>
  <w:num w:numId="30">
    <w:abstractNumId w:val="44"/>
  </w:num>
  <w:num w:numId="31">
    <w:abstractNumId w:val="71"/>
  </w:num>
  <w:num w:numId="32">
    <w:abstractNumId w:val="77"/>
  </w:num>
  <w:num w:numId="33">
    <w:abstractNumId w:val="8"/>
  </w:num>
  <w:num w:numId="34">
    <w:abstractNumId w:val="31"/>
  </w:num>
  <w:num w:numId="35">
    <w:abstractNumId w:val="88"/>
  </w:num>
  <w:num w:numId="36">
    <w:abstractNumId w:val="66"/>
  </w:num>
  <w:num w:numId="37">
    <w:abstractNumId w:val="79"/>
  </w:num>
  <w:num w:numId="38">
    <w:abstractNumId w:val="74"/>
  </w:num>
  <w:num w:numId="39">
    <w:abstractNumId w:val="58"/>
  </w:num>
  <w:num w:numId="40">
    <w:abstractNumId w:val="5"/>
  </w:num>
  <w:num w:numId="41">
    <w:abstractNumId w:val="13"/>
  </w:num>
  <w:num w:numId="42">
    <w:abstractNumId w:val="35"/>
  </w:num>
  <w:num w:numId="43">
    <w:abstractNumId w:val="12"/>
  </w:num>
  <w:num w:numId="44">
    <w:abstractNumId w:val="32"/>
  </w:num>
  <w:num w:numId="45">
    <w:abstractNumId w:val="64"/>
  </w:num>
  <w:num w:numId="46">
    <w:abstractNumId w:val="20"/>
  </w:num>
  <w:num w:numId="47">
    <w:abstractNumId w:val="34"/>
  </w:num>
  <w:num w:numId="48">
    <w:abstractNumId w:val="78"/>
  </w:num>
  <w:num w:numId="49">
    <w:abstractNumId w:val="86"/>
  </w:num>
  <w:num w:numId="50">
    <w:abstractNumId w:val="28"/>
  </w:num>
  <w:num w:numId="51">
    <w:abstractNumId w:val="81"/>
  </w:num>
  <w:num w:numId="52">
    <w:abstractNumId w:val="51"/>
  </w:num>
  <w:num w:numId="53">
    <w:abstractNumId w:val="76"/>
  </w:num>
  <w:num w:numId="54">
    <w:abstractNumId w:val="49"/>
  </w:num>
  <w:num w:numId="55">
    <w:abstractNumId w:val="18"/>
  </w:num>
  <w:num w:numId="56">
    <w:abstractNumId w:val="89"/>
  </w:num>
  <w:num w:numId="57">
    <w:abstractNumId w:val="80"/>
  </w:num>
  <w:num w:numId="58">
    <w:abstractNumId w:val="84"/>
  </w:num>
  <w:num w:numId="59">
    <w:abstractNumId w:val="24"/>
  </w:num>
  <w:num w:numId="60">
    <w:abstractNumId w:val="63"/>
  </w:num>
  <w:num w:numId="61">
    <w:abstractNumId w:val="69"/>
  </w:num>
  <w:num w:numId="62">
    <w:abstractNumId w:val="11"/>
  </w:num>
  <w:num w:numId="63">
    <w:abstractNumId w:val="33"/>
  </w:num>
  <w:num w:numId="64">
    <w:abstractNumId w:val="87"/>
  </w:num>
  <w:num w:numId="65">
    <w:abstractNumId w:val="9"/>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72"/>
  </w:num>
  <w:num w:numId="69">
    <w:abstractNumId w:val="53"/>
  </w:num>
  <w:num w:numId="70">
    <w:abstractNumId w:val="41"/>
  </w:num>
  <w:num w:numId="71">
    <w:abstractNumId w:val="52"/>
  </w:num>
  <w:num w:numId="72">
    <w:abstractNumId w:val="47"/>
  </w:num>
  <w:num w:numId="73">
    <w:abstractNumId w:val="39"/>
  </w:num>
  <w:num w:numId="74">
    <w:abstractNumId w:val="62"/>
  </w:num>
  <w:num w:numId="75">
    <w:abstractNumId w:val="75"/>
  </w:num>
  <w:num w:numId="76">
    <w:abstractNumId w:val="10"/>
  </w:num>
  <w:num w:numId="77">
    <w:abstractNumId w:val="15"/>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48"/>
  </w:num>
  <w:num w:numId="82">
    <w:abstractNumId w:val="40"/>
  </w:num>
  <w:num w:numId="83">
    <w:abstractNumId w:val="46"/>
  </w:num>
  <w:num w:numId="84">
    <w:abstractNumId w:val="36"/>
  </w:num>
  <w:num w:numId="85">
    <w:abstractNumId w:val="54"/>
  </w:num>
  <w:num w:numId="86">
    <w:abstractNumId w:val="45"/>
  </w:num>
  <w:num w:numId="87">
    <w:abstractNumId w:val="26"/>
  </w:num>
  <w:num w:numId="88">
    <w:abstractNumId w:val="17"/>
  </w:num>
  <w:num w:numId="89">
    <w:abstractNumId w:val="2"/>
  </w:num>
  <w:num w:numId="90">
    <w:abstractNumId w:val="3"/>
  </w:num>
  <w:num w:numId="91">
    <w:abstractNumId w:val="60"/>
  </w:num>
  <w:num w:numId="92">
    <w:abstractNumId w:val="65"/>
  </w:num>
  <w:num w:numId="93">
    <w:abstractNumId w:val="6"/>
  </w:num>
  <w:num w:numId="94">
    <w:abstractNumId w:val="30"/>
  </w:num>
  <w:num w:numId="95">
    <w:abstractNumId w:val="50"/>
  </w:num>
  <w:num w:numId="96">
    <w:abstractNumId w:val="57"/>
  </w:num>
  <w:num w:numId="97">
    <w:abstractNumId w:val="82"/>
  </w:num>
  <w:num w:numId="98">
    <w:abstractNumId w:val="4"/>
  </w:num>
  <w:num w:numId="99">
    <w:abstractNumId w:val="55"/>
  </w:num>
  <w:num w:numId="100">
    <w:abstractNumId w:val="83"/>
  </w:num>
  <w:num w:numId="101">
    <w:abstractNumId w:val="23"/>
  </w:num>
  <w:num w:numId="102">
    <w:abstractNumId w:val="3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宋体" w:eastAsia="宋体"/>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B347A0-04EC-4AFA-8230-CAA09BFB223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108</Pages>
  <Words>41160</Words>
  <Characters>234613</Characters>
  <Application>Microsoft Office Word</Application>
  <DocSecurity>0</DocSecurity>
  <Lines>1955</Lines>
  <Paragraphs>550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27</cp:revision>
  <dcterms:created xsi:type="dcterms:W3CDTF">2021-08-25T06:10:00Z</dcterms:created>
  <dcterms:modified xsi:type="dcterms:W3CDTF">2021-08-25T07:29:00Z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