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1AA10D" w14:textId="01D4ACAB" w:rsidR="004607C3" w:rsidRPr="00A2299C" w:rsidRDefault="004607C3" w:rsidP="00E0498C">
      <w:pPr>
        <w:pStyle w:val="Header"/>
        <w:tabs>
          <w:tab w:val="clear" w:pos="8306"/>
          <w:tab w:val="right" w:pos="7088"/>
          <w:tab w:val="right" w:pos="9781"/>
        </w:tabs>
        <w:rPr>
          <w:rFonts w:ascii="Arial" w:hAnsi="Arial" w:cs="Arial"/>
          <w:b/>
          <w:bCs/>
          <w:sz w:val="24"/>
        </w:rPr>
      </w:pPr>
      <w:r w:rsidRPr="00A2299C">
        <w:rPr>
          <w:rFonts w:ascii="Arial" w:hAnsi="Arial" w:cs="Arial"/>
          <w:b/>
          <w:bCs/>
          <w:sz w:val="24"/>
        </w:rPr>
        <w:t>3GPP TSG-</w:t>
      </w:r>
      <w:r w:rsidR="007E3CA1" w:rsidRPr="00A2299C">
        <w:rPr>
          <w:rFonts w:ascii="Arial" w:hAnsi="Arial" w:cs="Arial"/>
          <w:b/>
          <w:bCs/>
          <w:sz w:val="24"/>
        </w:rPr>
        <w:t>RAN WG1</w:t>
      </w:r>
      <w:r w:rsidR="00417CBD">
        <w:rPr>
          <w:rFonts w:ascii="Arial" w:hAnsi="Arial" w:cs="Arial"/>
          <w:b/>
          <w:bCs/>
          <w:sz w:val="24"/>
        </w:rPr>
        <w:t>#10</w:t>
      </w:r>
      <w:r w:rsidR="00877623">
        <w:rPr>
          <w:rFonts w:ascii="Arial" w:hAnsi="Arial" w:cs="Arial"/>
          <w:b/>
          <w:bCs/>
          <w:sz w:val="24"/>
        </w:rPr>
        <w:t>6</w:t>
      </w:r>
      <w:r w:rsidR="00417CBD">
        <w:rPr>
          <w:rFonts w:ascii="Arial" w:hAnsi="Arial" w:cs="Arial"/>
          <w:b/>
          <w:bCs/>
          <w:sz w:val="24"/>
        </w:rPr>
        <w:t>-e</w:t>
      </w:r>
      <w:r w:rsidRPr="00A2299C">
        <w:rPr>
          <w:rFonts w:ascii="Arial" w:hAnsi="Arial" w:cs="Arial"/>
          <w:b/>
          <w:bCs/>
          <w:sz w:val="24"/>
        </w:rPr>
        <w:tab/>
      </w:r>
      <w:r w:rsidR="00ED218B">
        <w:rPr>
          <w:rFonts w:ascii="Arial" w:hAnsi="Arial" w:cs="Arial"/>
          <w:b/>
          <w:bCs/>
          <w:sz w:val="24"/>
        </w:rPr>
        <w:tab/>
      </w:r>
      <w:r w:rsidR="005E1ABD">
        <w:rPr>
          <w:rFonts w:ascii="Arial" w:hAnsi="Arial" w:cs="Arial"/>
          <w:b/>
          <w:bCs/>
          <w:sz w:val="24"/>
        </w:rPr>
        <w:tab/>
      </w:r>
      <w:r w:rsidR="00ED218B">
        <w:rPr>
          <w:rFonts w:ascii="Arial" w:hAnsi="Arial" w:cs="Arial"/>
          <w:b/>
          <w:bCs/>
          <w:sz w:val="24"/>
        </w:rPr>
        <w:t>R1-</w:t>
      </w:r>
      <w:r w:rsidR="00AC1095" w:rsidRPr="00AC1095">
        <w:rPr>
          <w:rFonts w:ascii="Arial" w:hAnsi="Arial" w:cs="Arial"/>
          <w:b/>
          <w:bCs/>
          <w:sz w:val="24"/>
        </w:rPr>
        <w:t>21</w:t>
      </w:r>
      <w:r w:rsidR="00D70DB0">
        <w:rPr>
          <w:rFonts w:ascii="Arial" w:hAnsi="Arial" w:cs="Arial"/>
          <w:b/>
          <w:bCs/>
          <w:sz w:val="24"/>
        </w:rPr>
        <w:t>0</w:t>
      </w:r>
      <w:r w:rsidR="00D70DB0" w:rsidRPr="00D70DB0">
        <w:rPr>
          <w:rFonts w:ascii="Arial" w:hAnsi="Arial" w:cs="Arial"/>
          <w:b/>
          <w:bCs/>
          <w:sz w:val="24"/>
        </w:rPr>
        <w:t>8019</w:t>
      </w:r>
    </w:p>
    <w:p w14:paraId="56A15566" w14:textId="2C43F4EE" w:rsidR="004607C3" w:rsidRPr="00A2299C" w:rsidRDefault="00417CBD" w:rsidP="00F6026A">
      <w:pPr>
        <w:pStyle w:val="Header"/>
        <w:tabs>
          <w:tab w:val="clear" w:pos="8306"/>
          <w:tab w:val="right" w:pos="9639"/>
        </w:tabs>
        <w:rPr>
          <w:rFonts w:ascii="Arial" w:hAnsi="Arial" w:cs="Arial"/>
          <w:b/>
          <w:bCs/>
          <w:sz w:val="24"/>
        </w:rPr>
      </w:pPr>
      <w:r>
        <w:rPr>
          <w:rFonts w:ascii="Arial" w:hAnsi="Arial" w:cs="Arial"/>
          <w:b/>
          <w:bCs/>
          <w:sz w:val="24"/>
        </w:rPr>
        <w:t>e-Meeting</w:t>
      </w:r>
      <w:r w:rsidR="00C00997" w:rsidRPr="00C00997">
        <w:rPr>
          <w:rFonts w:ascii="Arial" w:hAnsi="Arial" w:cs="Arial"/>
          <w:b/>
          <w:bCs/>
          <w:sz w:val="24"/>
        </w:rPr>
        <w:t xml:space="preserve">, </w:t>
      </w:r>
      <w:r w:rsidR="00877623" w:rsidRPr="00877623">
        <w:rPr>
          <w:rFonts w:ascii="Arial" w:hAnsi="Arial" w:cs="Arial"/>
          <w:b/>
          <w:bCs/>
          <w:sz w:val="24"/>
        </w:rPr>
        <w:t>August 16</w:t>
      </w:r>
      <w:r w:rsidR="00877623" w:rsidRPr="00FB0C25">
        <w:rPr>
          <w:rFonts w:ascii="Arial" w:hAnsi="Arial" w:cs="Arial"/>
          <w:b/>
          <w:bCs/>
          <w:sz w:val="24"/>
          <w:vertAlign w:val="superscript"/>
        </w:rPr>
        <w:t>th</w:t>
      </w:r>
      <w:r w:rsidR="00877623" w:rsidRPr="00877623">
        <w:rPr>
          <w:rFonts w:ascii="Arial" w:hAnsi="Arial" w:cs="Arial"/>
          <w:b/>
          <w:bCs/>
          <w:sz w:val="24"/>
        </w:rPr>
        <w:t xml:space="preserve"> – 27</w:t>
      </w:r>
      <w:r w:rsidR="00877623" w:rsidRPr="00FB0C25">
        <w:rPr>
          <w:rFonts w:ascii="Arial" w:hAnsi="Arial" w:cs="Arial"/>
          <w:b/>
          <w:bCs/>
          <w:sz w:val="24"/>
          <w:vertAlign w:val="superscript"/>
        </w:rPr>
        <w:t>th</w:t>
      </w:r>
      <w:r w:rsidR="00C00997" w:rsidRPr="00C00997">
        <w:rPr>
          <w:rFonts w:ascii="Arial" w:hAnsi="Arial" w:cs="Arial"/>
          <w:b/>
          <w:bCs/>
          <w:sz w:val="24"/>
        </w:rPr>
        <w:t>, 20</w:t>
      </w:r>
      <w:r w:rsidR="009E43C5">
        <w:rPr>
          <w:rFonts w:ascii="Arial" w:hAnsi="Arial" w:cs="Arial"/>
          <w:b/>
          <w:bCs/>
          <w:sz w:val="24"/>
        </w:rPr>
        <w:t>2</w:t>
      </w:r>
      <w:r w:rsidR="00AC70DF">
        <w:rPr>
          <w:rFonts w:ascii="Arial" w:hAnsi="Arial" w:cs="Arial"/>
          <w:b/>
          <w:bCs/>
          <w:sz w:val="24"/>
        </w:rPr>
        <w:t>1</w:t>
      </w:r>
    </w:p>
    <w:p w14:paraId="0656168E" w14:textId="77777777" w:rsidR="004607C3" w:rsidRPr="00A2299C" w:rsidRDefault="004607C3" w:rsidP="00A23578">
      <w:pPr>
        <w:rPr>
          <w:rFonts w:ascii="Arial" w:hAnsi="Arial" w:cs="Arial"/>
          <w:sz w:val="22"/>
        </w:rPr>
      </w:pPr>
    </w:p>
    <w:p w14:paraId="2FABF9AA" w14:textId="61299934" w:rsidR="004607C3" w:rsidRPr="00A2299C" w:rsidRDefault="005D20F1" w:rsidP="0069390B">
      <w:pPr>
        <w:spacing w:after="60"/>
        <w:ind w:left="1985" w:hanging="1985"/>
        <w:rPr>
          <w:rFonts w:ascii="Arial" w:hAnsi="Arial" w:cs="Arial"/>
          <w:b/>
          <w:sz w:val="22"/>
        </w:rPr>
      </w:pPr>
      <w:r w:rsidRPr="00A2299C">
        <w:rPr>
          <w:rFonts w:ascii="Arial" w:hAnsi="Arial" w:cs="Arial"/>
          <w:b/>
          <w:sz w:val="22"/>
        </w:rPr>
        <w:t>Agenda item</w:t>
      </w:r>
      <w:r w:rsidR="004607C3" w:rsidRPr="00A2299C">
        <w:rPr>
          <w:rFonts w:ascii="Arial" w:hAnsi="Arial" w:cs="Arial"/>
          <w:b/>
          <w:sz w:val="22"/>
        </w:rPr>
        <w:t>:</w:t>
      </w:r>
      <w:r w:rsidR="004607C3" w:rsidRPr="00A2299C">
        <w:rPr>
          <w:rFonts w:ascii="Arial" w:hAnsi="Arial" w:cs="Arial"/>
          <w:b/>
          <w:sz w:val="22"/>
        </w:rPr>
        <w:tab/>
      </w:r>
      <w:r w:rsidR="00AD041A">
        <w:rPr>
          <w:rFonts w:ascii="Arial" w:hAnsi="Arial" w:cs="Arial"/>
          <w:b/>
          <w:sz w:val="22"/>
        </w:rPr>
        <w:t>8.1.1</w:t>
      </w:r>
    </w:p>
    <w:p w14:paraId="7395AB72" w14:textId="1E4A4931" w:rsidR="005D20F1" w:rsidRPr="00A2299C" w:rsidRDefault="005D20F1" w:rsidP="008911D1">
      <w:pPr>
        <w:spacing w:after="60"/>
        <w:ind w:left="1985" w:hanging="1985"/>
        <w:rPr>
          <w:rFonts w:ascii="Arial" w:hAnsi="Arial" w:cs="Arial"/>
          <w:b/>
          <w:sz w:val="22"/>
        </w:rPr>
      </w:pPr>
      <w:r w:rsidRPr="00A2299C">
        <w:rPr>
          <w:rFonts w:ascii="Arial" w:hAnsi="Arial" w:cs="Arial"/>
          <w:b/>
          <w:sz w:val="22"/>
        </w:rPr>
        <w:t>Title:</w:t>
      </w:r>
      <w:r w:rsidRPr="00A2299C">
        <w:rPr>
          <w:rFonts w:ascii="Arial" w:hAnsi="Arial" w:cs="Arial"/>
          <w:b/>
          <w:sz w:val="22"/>
        </w:rPr>
        <w:tab/>
      </w:r>
      <w:r w:rsidR="00EA75A4" w:rsidRPr="00EA75A4">
        <w:rPr>
          <w:rFonts w:ascii="Arial" w:hAnsi="Arial" w:cs="Arial"/>
          <w:b/>
          <w:sz w:val="22"/>
        </w:rPr>
        <w:t>Enhancements on Multi-beam Operation</w:t>
      </w:r>
    </w:p>
    <w:p w14:paraId="4FDF3990" w14:textId="5847FBBE" w:rsidR="004607C3" w:rsidRPr="00A2299C" w:rsidRDefault="004607C3" w:rsidP="00A23578">
      <w:pPr>
        <w:spacing w:after="60"/>
        <w:ind w:left="1985" w:hanging="1985"/>
        <w:rPr>
          <w:rFonts w:ascii="Arial" w:hAnsi="Arial" w:cs="Arial"/>
          <w:b/>
          <w:sz w:val="22"/>
        </w:rPr>
      </w:pPr>
      <w:r w:rsidRPr="00A2299C">
        <w:rPr>
          <w:rFonts w:ascii="Arial" w:hAnsi="Arial" w:cs="Arial"/>
          <w:b/>
          <w:sz w:val="22"/>
        </w:rPr>
        <w:t>Source:</w:t>
      </w:r>
      <w:r w:rsidRPr="00A2299C">
        <w:rPr>
          <w:rFonts w:ascii="Arial" w:hAnsi="Arial" w:cs="Arial"/>
          <w:b/>
          <w:sz w:val="22"/>
        </w:rPr>
        <w:tab/>
      </w:r>
      <w:r w:rsidR="00EF1127" w:rsidRPr="00A2299C">
        <w:rPr>
          <w:rFonts w:ascii="Arial" w:hAnsi="Arial" w:cs="Arial"/>
          <w:b/>
          <w:sz w:val="22"/>
        </w:rPr>
        <w:t>Convida Wireless</w:t>
      </w:r>
    </w:p>
    <w:p w14:paraId="41B01A9C" w14:textId="7657E2A8" w:rsidR="004607C3" w:rsidRPr="00A2299C" w:rsidRDefault="005D20F1" w:rsidP="00A23578">
      <w:pPr>
        <w:spacing w:after="60"/>
        <w:ind w:left="1985" w:hanging="1985"/>
        <w:rPr>
          <w:rFonts w:ascii="Arial" w:hAnsi="Arial" w:cs="Arial"/>
          <w:b/>
          <w:sz w:val="22"/>
        </w:rPr>
      </w:pPr>
      <w:r w:rsidRPr="00A2299C">
        <w:rPr>
          <w:rFonts w:ascii="Arial" w:hAnsi="Arial" w:cs="Arial"/>
          <w:b/>
          <w:sz w:val="22"/>
        </w:rPr>
        <w:t>Document for</w:t>
      </w:r>
      <w:r w:rsidR="004607C3" w:rsidRPr="00A2299C">
        <w:rPr>
          <w:rFonts w:ascii="Arial" w:hAnsi="Arial" w:cs="Arial"/>
          <w:b/>
          <w:sz w:val="22"/>
        </w:rPr>
        <w:t>:</w:t>
      </w:r>
      <w:r w:rsidR="004607C3" w:rsidRPr="00A2299C">
        <w:rPr>
          <w:rFonts w:ascii="Arial" w:hAnsi="Arial" w:cs="Arial"/>
          <w:b/>
          <w:sz w:val="22"/>
        </w:rPr>
        <w:tab/>
      </w:r>
      <w:r w:rsidR="00EF1127" w:rsidRPr="00A2299C">
        <w:rPr>
          <w:rFonts w:ascii="Arial" w:hAnsi="Arial" w:cs="Arial"/>
          <w:b/>
          <w:sz w:val="22"/>
        </w:rPr>
        <w:t>Discussion</w:t>
      </w:r>
    </w:p>
    <w:p w14:paraId="1BF9AF96" w14:textId="77777777" w:rsidR="004607C3" w:rsidRDefault="004607C3" w:rsidP="00A23578">
      <w:pPr>
        <w:pBdr>
          <w:bottom w:val="single" w:sz="4" w:space="1" w:color="auto"/>
        </w:pBdr>
        <w:rPr>
          <w:rFonts w:ascii="Arial" w:hAnsi="Arial" w:cs="Arial"/>
        </w:rPr>
      </w:pPr>
    </w:p>
    <w:p w14:paraId="0F3DAC40" w14:textId="026A098E" w:rsidR="004607C3" w:rsidRPr="000D37D3" w:rsidRDefault="005D20F1" w:rsidP="00FD520A">
      <w:pPr>
        <w:pStyle w:val="Heading1"/>
      </w:pPr>
      <w:r w:rsidRPr="000D37D3">
        <w:t>Introduction</w:t>
      </w:r>
    </w:p>
    <w:p w14:paraId="50B0473D" w14:textId="0664357D" w:rsidR="00C00997" w:rsidRDefault="00273ABF" w:rsidP="00705C2B">
      <w:pPr>
        <w:rPr>
          <w:rFonts w:eastAsia="Batang"/>
          <w:lang w:eastAsia="ko-KR"/>
        </w:rPr>
      </w:pPr>
      <w:r>
        <w:rPr>
          <w:rFonts w:eastAsia="Batang"/>
          <w:lang w:eastAsia="ko-KR"/>
        </w:rPr>
        <w:t xml:space="preserve">Rel-16 eMIMO introduced </w:t>
      </w:r>
      <w:r w:rsidR="003840BD">
        <w:rPr>
          <w:rFonts w:eastAsia="Batang"/>
          <w:lang w:eastAsia="ko-KR"/>
        </w:rPr>
        <w:t xml:space="preserve">various </w:t>
      </w:r>
      <w:r>
        <w:rPr>
          <w:rFonts w:eastAsia="Batang"/>
          <w:lang w:eastAsia="ko-KR"/>
        </w:rPr>
        <w:t>enhancements for multi-</w:t>
      </w:r>
      <w:r w:rsidR="003840BD">
        <w:rPr>
          <w:rFonts w:eastAsia="Batang"/>
          <w:lang w:eastAsia="ko-KR"/>
        </w:rPr>
        <w:t>beam operation</w:t>
      </w:r>
      <w:r>
        <w:rPr>
          <w:rFonts w:eastAsia="Batang"/>
          <w:lang w:eastAsia="ko-KR"/>
        </w:rPr>
        <w:t xml:space="preserve">. Rel-17 FeMIMO WI will </w:t>
      </w:r>
      <w:r w:rsidR="003840BD">
        <w:rPr>
          <w:rFonts w:eastAsia="Batang"/>
          <w:lang w:eastAsia="ko-KR"/>
        </w:rPr>
        <w:t>further enhance</w:t>
      </w:r>
      <w:r>
        <w:rPr>
          <w:rFonts w:eastAsia="Batang"/>
          <w:lang w:eastAsia="ko-KR"/>
        </w:rPr>
        <w:t xml:space="preserve"> </w:t>
      </w:r>
      <w:r w:rsidR="003840BD">
        <w:rPr>
          <w:rFonts w:eastAsia="Batang"/>
          <w:lang w:eastAsia="ko-KR"/>
        </w:rPr>
        <w:t xml:space="preserve">the multi-beam operation </w:t>
      </w:r>
      <w:r w:rsidR="005362C5">
        <w:rPr>
          <w:rFonts w:eastAsia="Batang"/>
          <w:lang w:eastAsia="ko-KR"/>
        </w:rPr>
        <w:fldChar w:fldCharType="begin"/>
      </w:r>
      <w:r w:rsidR="005362C5">
        <w:rPr>
          <w:rFonts w:eastAsia="Batang"/>
          <w:lang w:eastAsia="ko-KR"/>
        </w:rPr>
        <w:instrText xml:space="preserve"> REF _Ref47472804 \n \h </w:instrText>
      </w:r>
      <w:r w:rsidR="005362C5">
        <w:rPr>
          <w:rFonts w:eastAsia="Batang"/>
          <w:lang w:eastAsia="ko-KR"/>
        </w:rPr>
      </w:r>
      <w:r w:rsidR="005362C5">
        <w:rPr>
          <w:rFonts w:eastAsia="Batang"/>
          <w:lang w:eastAsia="ko-KR"/>
        </w:rPr>
        <w:fldChar w:fldCharType="separate"/>
      </w:r>
      <w:r w:rsidR="005362C5">
        <w:rPr>
          <w:rFonts w:eastAsia="Batang"/>
          <w:lang w:eastAsia="ko-KR"/>
        </w:rPr>
        <w:t>[1]</w:t>
      </w:r>
      <w:r w:rsidR="005362C5">
        <w:rPr>
          <w:rFonts w:eastAsia="Batang"/>
          <w:lang w:eastAsia="ko-KR"/>
        </w:rPr>
        <w:fldChar w:fldCharType="end"/>
      </w:r>
      <w:r>
        <w:rPr>
          <w:rFonts w:eastAsia="Batang"/>
          <w:lang w:eastAsia="ko-KR"/>
        </w:rPr>
        <w:t>.</w:t>
      </w:r>
    </w:p>
    <w:tbl>
      <w:tblPr>
        <w:tblStyle w:val="TableGrid"/>
        <w:tblW w:w="0" w:type="auto"/>
        <w:tblLook w:val="04A0" w:firstRow="1" w:lastRow="0" w:firstColumn="1" w:lastColumn="0" w:noHBand="0" w:noVBand="1"/>
      </w:tblPr>
      <w:tblGrid>
        <w:gridCol w:w="9855"/>
      </w:tblGrid>
      <w:tr w:rsidR="00E654BD" w14:paraId="36243033" w14:textId="77777777" w:rsidTr="00E654BD">
        <w:tc>
          <w:tcPr>
            <w:tcW w:w="9855" w:type="dxa"/>
          </w:tcPr>
          <w:p w14:paraId="397F0999" w14:textId="77777777" w:rsidR="00BD302C" w:rsidRDefault="00BD302C" w:rsidP="00B46F66">
            <w:pPr>
              <w:numPr>
                <w:ilvl w:val="0"/>
                <w:numId w:val="9"/>
              </w:numPr>
              <w:overflowPunct w:val="0"/>
              <w:autoSpaceDE w:val="0"/>
              <w:autoSpaceDN w:val="0"/>
              <w:adjustRightInd w:val="0"/>
              <w:snapToGrid w:val="0"/>
              <w:spacing w:after="120"/>
              <w:ind w:right="-99"/>
              <w:jc w:val="left"/>
              <w:rPr>
                <w:color w:val="000000"/>
                <w:lang w:eastAsia="ko-KR"/>
              </w:rPr>
            </w:pPr>
            <w:r w:rsidRPr="00401C76">
              <w:rPr>
                <w:color w:val="000000"/>
                <w:lang w:eastAsia="ko-KR"/>
              </w:rPr>
              <w:t>Extend specification support in the following areas [RAN1]</w:t>
            </w:r>
          </w:p>
          <w:p w14:paraId="73D08E79" w14:textId="77777777" w:rsidR="00D736EC" w:rsidRPr="0051690F" w:rsidRDefault="00D736EC" w:rsidP="00D736EC">
            <w:pPr>
              <w:pStyle w:val="ListParagraph"/>
              <w:numPr>
                <w:ilvl w:val="0"/>
                <w:numId w:val="12"/>
              </w:numPr>
              <w:spacing w:before="0" w:line="240" w:lineRule="auto"/>
            </w:pPr>
            <w:r w:rsidRPr="0051690F">
              <w:t xml:space="preserve">Enhancement on multi-beam operation, mainly targeting FR2 while also applicable to FR1: </w:t>
            </w:r>
          </w:p>
          <w:p w14:paraId="22F6BCF5" w14:textId="77777777" w:rsidR="00D736EC" w:rsidRPr="0051690F" w:rsidRDefault="00D736EC" w:rsidP="00D736EC">
            <w:pPr>
              <w:pStyle w:val="ListParagraph"/>
              <w:numPr>
                <w:ilvl w:val="1"/>
                <w:numId w:val="12"/>
              </w:numPr>
              <w:spacing w:before="0" w:line="240" w:lineRule="auto"/>
            </w:pPr>
            <w:r w:rsidRPr="0051690F">
              <w:t>Identify and specify features to facilitate more efficient (lower latency and overhead) DL/UL beam management to support higher intra- and L1/L2-centric inter-cell mobility and/or a larger number of configured TCI states:</w:t>
            </w:r>
          </w:p>
          <w:p w14:paraId="6EBBC65D" w14:textId="77777777" w:rsidR="00D736EC" w:rsidRPr="0051690F" w:rsidRDefault="00D736EC" w:rsidP="00D736EC">
            <w:pPr>
              <w:pStyle w:val="ListParagraph"/>
              <w:numPr>
                <w:ilvl w:val="2"/>
                <w:numId w:val="12"/>
              </w:numPr>
              <w:spacing w:before="0" w:line="240" w:lineRule="auto"/>
            </w:pPr>
            <w:r>
              <w:t>C</w:t>
            </w:r>
            <w:r w:rsidRPr="0051690F">
              <w:t>ommon beam for data and control transmission/reception for DL and UL, especially for intra-band CA</w:t>
            </w:r>
          </w:p>
          <w:p w14:paraId="34B5C2F0" w14:textId="77777777" w:rsidR="00D736EC" w:rsidRPr="0051690F" w:rsidRDefault="00D736EC" w:rsidP="00D736EC">
            <w:pPr>
              <w:pStyle w:val="ListParagraph"/>
              <w:numPr>
                <w:ilvl w:val="2"/>
                <w:numId w:val="12"/>
              </w:numPr>
              <w:spacing w:before="0" w:line="240" w:lineRule="auto"/>
            </w:pPr>
            <w:r w:rsidRPr="0051690F">
              <w:t>Unified TCI framework for DL</w:t>
            </w:r>
            <w:r>
              <w:t xml:space="preserve"> and </w:t>
            </w:r>
            <w:r w:rsidRPr="0051690F">
              <w:t>UL beam indication</w:t>
            </w:r>
          </w:p>
          <w:p w14:paraId="3C04536B" w14:textId="77777777" w:rsidR="00D736EC" w:rsidRPr="0051690F" w:rsidRDefault="00D736EC" w:rsidP="00D736EC">
            <w:pPr>
              <w:pStyle w:val="ListParagraph"/>
              <w:numPr>
                <w:ilvl w:val="2"/>
                <w:numId w:val="12"/>
              </w:numPr>
              <w:spacing w:before="0" w:line="240" w:lineRule="auto"/>
            </w:pPr>
            <w:r w:rsidRPr="0051690F">
              <w:t>Enhancement on signaling mechanisms for the above features to improve latency and efficiency</w:t>
            </w:r>
            <w:r>
              <w:t xml:space="preserve"> with</w:t>
            </w:r>
            <w:r w:rsidRPr="0051690F">
              <w:t xml:space="preserve"> more usage of </w:t>
            </w:r>
            <w:r>
              <w:t xml:space="preserve">dynamic </w:t>
            </w:r>
            <w:r w:rsidRPr="0051690F">
              <w:t>control signaling (as opposed to RRC)</w:t>
            </w:r>
          </w:p>
          <w:p w14:paraId="4C4CB763" w14:textId="4803C794" w:rsidR="00E654BD" w:rsidRPr="00712B4E" w:rsidRDefault="00D736EC" w:rsidP="00D736EC">
            <w:pPr>
              <w:pStyle w:val="ListParagraph"/>
              <w:numPr>
                <w:ilvl w:val="1"/>
                <w:numId w:val="12"/>
              </w:numPr>
              <w:spacing w:before="0" w:line="240" w:lineRule="auto"/>
            </w:pPr>
            <w:r w:rsidRPr="00011D22">
              <w:t>Identify and specify features to facilitate UL beam selection for UEs equipped with multiple panels</w:t>
            </w:r>
            <w:r>
              <w:t>, considering UL coverage loss mitigation due to MPE,</w:t>
            </w:r>
            <w:r w:rsidRPr="0031036A">
              <w:t xml:space="preserve"> based on UL beam indication </w:t>
            </w:r>
            <w:r>
              <w:t xml:space="preserve">with </w:t>
            </w:r>
            <w:r w:rsidRPr="0031036A">
              <w:t>the unified TCI framework</w:t>
            </w:r>
            <w:r>
              <w:t xml:space="preserve"> for UL f</w:t>
            </w:r>
            <w:r w:rsidRPr="0051690F">
              <w:t xml:space="preserve">ast panel selection </w:t>
            </w:r>
          </w:p>
        </w:tc>
      </w:tr>
    </w:tbl>
    <w:p w14:paraId="76C70D2E" w14:textId="67CC1B8D" w:rsidR="00C70E00" w:rsidRDefault="00B65E0E" w:rsidP="00C70E00">
      <w:pPr>
        <w:pStyle w:val="Heading1"/>
      </w:pPr>
      <w:r>
        <w:t>Discussion</w:t>
      </w:r>
    </w:p>
    <w:p w14:paraId="60D255E5" w14:textId="02EA21FC" w:rsidR="00313AC7" w:rsidRDefault="002D3345" w:rsidP="00313AC7">
      <w:pPr>
        <w:pStyle w:val="Heading2"/>
        <w:spacing w:before="0"/>
      </w:pPr>
      <w:r>
        <w:t xml:space="preserve">2.1 </w:t>
      </w:r>
      <w:r w:rsidR="0016320C">
        <w:t>Unified TCI and Common Beam Operation</w:t>
      </w:r>
    </w:p>
    <w:p w14:paraId="7E8F4F6E" w14:textId="461819FD" w:rsidR="001163BA" w:rsidRDefault="001163BA" w:rsidP="001163BA">
      <w:pPr>
        <w:rPr>
          <w:rFonts w:eastAsia="Batang"/>
          <w:lang w:val="en-US" w:eastAsia="ko-KR"/>
        </w:rPr>
      </w:pPr>
      <w:r>
        <w:rPr>
          <w:rFonts w:eastAsia="Batang"/>
          <w:lang w:val="en-US" w:eastAsia="ko-KR"/>
        </w:rPr>
        <w:t>In RAN1#10</w:t>
      </w:r>
      <w:r w:rsidR="008C2132">
        <w:rPr>
          <w:rFonts w:eastAsia="Batang"/>
          <w:lang w:val="en-US" w:eastAsia="ko-KR"/>
        </w:rPr>
        <w:t>5</w:t>
      </w:r>
      <w:r>
        <w:rPr>
          <w:rFonts w:eastAsia="Batang"/>
          <w:lang w:val="en-US" w:eastAsia="ko-KR"/>
        </w:rPr>
        <w:t>-e, the following was agreed.</w:t>
      </w:r>
    </w:p>
    <w:tbl>
      <w:tblPr>
        <w:tblStyle w:val="TableGrid"/>
        <w:tblW w:w="0" w:type="auto"/>
        <w:tblLook w:val="04A0" w:firstRow="1" w:lastRow="0" w:firstColumn="1" w:lastColumn="0" w:noHBand="0" w:noVBand="1"/>
      </w:tblPr>
      <w:tblGrid>
        <w:gridCol w:w="9855"/>
      </w:tblGrid>
      <w:tr w:rsidR="001163BA" w14:paraId="2D5FB8F3" w14:textId="77777777" w:rsidTr="001163BA">
        <w:tc>
          <w:tcPr>
            <w:tcW w:w="9855" w:type="dxa"/>
          </w:tcPr>
          <w:p w14:paraId="44C83D5A" w14:textId="77777777" w:rsidR="008C2132" w:rsidRPr="006E574D" w:rsidRDefault="008C2132" w:rsidP="008C2132">
            <w:pPr>
              <w:snapToGrid w:val="0"/>
            </w:pPr>
            <w:r w:rsidRPr="006E574D">
              <w:rPr>
                <w:b/>
                <w:bCs/>
                <w:highlight w:val="green"/>
              </w:rPr>
              <w:t>Agreement</w:t>
            </w:r>
          </w:p>
          <w:p w14:paraId="50E66DC7" w14:textId="77777777" w:rsidR="008C2132" w:rsidRPr="00077429" w:rsidRDefault="008C2132" w:rsidP="008C2132">
            <w:pPr>
              <w:snapToGrid w:val="0"/>
            </w:pPr>
            <w:r w:rsidRPr="00077429">
              <w:t>On Rel.17 unified TCI framework, discuss and decide by RAN1#106-e (August 2021)</w:t>
            </w:r>
          </w:p>
          <w:p w14:paraId="330E3B18" w14:textId="77777777" w:rsidR="008C2132" w:rsidRPr="008C2132" w:rsidRDefault="008C2132" w:rsidP="008C2132">
            <w:pPr>
              <w:pStyle w:val="ListParagraph"/>
              <w:numPr>
                <w:ilvl w:val="0"/>
                <w:numId w:val="23"/>
              </w:numPr>
              <w:autoSpaceDN w:val="0"/>
              <w:snapToGrid w:val="0"/>
              <w:spacing w:before="0" w:line="240" w:lineRule="auto"/>
              <w:rPr>
                <w:lang w:eastAsia="en-US"/>
              </w:rPr>
            </w:pPr>
            <w:r w:rsidRPr="00077429">
              <w:t xml:space="preserve">Whether each of the following </w:t>
            </w:r>
            <w:r w:rsidRPr="008C2132">
              <w:t xml:space="preserve">DL RSs </w:t>
            </w:r>
            <w:r w:rsidRPr="00FB0C25">
              <w:t>can share</w:t>
            </w:r>
            <w:r w:rsidRPr="008C2132">
              <w:t xml:space="preserve"> the same indicated Rel-17 TCI state as UE-dedicated reception on PDSCH and for UE-dedicated reception on all or subset of CORESETs in a CC</w:t>
            </w:r>
          </w:p>
          <w:p w14:paraId="43FDCC5A" w14:textId="77777777" w:rsidR="008C2132" w:rsidRPr="008C2132" w:rsidRDefault="008C2132" w:rsidP="008C2132">
            <w:pPr>
              <w:pStyle w:val="ListParagraph"/>
              <w:numPr>
                <w:ilvl w:val="1"/>
                <w:numId w:val="23"/>
              </w:numPr>
              <w:autoSpaceDN w:val="0"/>
              <w:snapToGrid w:val="0"/>
              <w:spacing w:before="0" w:line="240" w:lineRule="auto"/>
            </w:pPr>
            <w:r w:rsidRPr="008C2132">
              <w:t>CSI-RS resources for CSI</w:t>
            </w:r>
          </w:p>
          <w:p w14:paraId="7A958138" w14:textId="77777777" w:rsidR="008C2132" w:rsidRPr="008C2132" w:rsidRDefault="008C2132" w:rsidP="008C2132">
            <w:pPr>
              <w:pStyle w:val="ListParagraph"/>
              <w:numPr>
                <w:ilvl w:val="1"/>
                <w:numId w:val="23"/>
              </w:numPr>
              <w:autoSpaceDN w:val="0"/>
              <w:snapToGrid w:val="0"/>
              <w:spacing w:before="0" w:line="240" w:lineRule="auto"/>
              <w:rPr>
                <w:lang w:eastAsia="en-US"/>
              </w:rPr>
            </w:pPr>
            <w:r w:rsidRPr="008C2132">
              <w:t>Some CSI-RS resources for BM, if so, which ones (e.g. aperiodic, repetition ‘ON’)</w:t>
            </w:r>
          </w:p>
          <w:p w14:paraId="548B2A18" w14:textId="77777777" w:rsidR="008C2132" w:rsidRPr="008C2132" w:rsidRDefault="008C2132" w:rsidP="008C2132">
            <w:pPr>
              <w:pStyle w:val="ListParagraph"/>
              <w:numPr>
                <w:ilvl w:val="1"/>
                <w:numId w:val="23"/>
              </w:numPr>
              <w:autoSpaceDN w:val="0"/>
              <w:snapToGrid w:val="0"/>
              <w:spacing w:before="0" w:line="240" w:lineRule="auto"/>
            </w:pPr>
            <w:r w:rsidRPr="008C2132">
              <w:t>CSI-RS for tracking</w:t>
            </w:r>
          </w:p>
          <w:p w14:paraId="79DAB228" w14:textId="77777777" w:rsidR="008C2132" w:rsidRPr="008C2132" w:rsidRDefault="008C2132" w:rsidP="008C2132">
            <w:pPr>
              <w:pStyle w:val="ListParagraph"/>
              <w:numPr>
                <w:ilvl w:val="1"/>
                <w:numId w:val="23"/>
              </w:numPr>
              <w:autoSpaceDN w:val="0"/>
              <w:snapToGrid w:val="0"/>
              <w:spacing w:before="0" w:line="240" w:lineRule="auto"/>
            </w:pPr>
            <w:r w:rsidRPr="008C2132">
              <w:t>DMRS(s) associated with non-UE-dedicated reception on PDSCH and all/subset of CORESETs</w:t>
            </w:r>
          </w:p>
          <w:p w14:paraId="55F1A7C2" w14:textId="77777777" w:rsidR="008C2132" w:rsidRPr="00077429" w:rsidRDefault="008C2132" w:rsidP="008C2132">
            <w:pPr>
              <w:pStyle w:val="ListParagraph"/>
              <w:numPr>
                <w:ilvl w:val="0"/>
                <w:numId w:val="23"/>
              </w:numPr>
              <w:autoSpaceDN w:val="0"/>
              <w:snapToGrid w:val="0"/>
              <w:spacing w:before="0" w:line="240" w:lineRule="auto"/>
            </w:pPr>
            <w:r w:rsidRPr="008C2132">
              <w:t xml:space="preserve">Whether some SRS resources or resource sets for BM </w:t>
            </w:r>
            <w:r w:rsidRPr="00FB0C25">
              <w:t>can share</w:t>
            </w:r>
            <w:r w:rsidRPr="008C2132">
              <w:t xml:space="preserve"> the same indicated Rel-17 TCI state as dynamic-grant/configured-grant based PUSCH, all or subset of dedicated PUCCH resources</w:t>
            </w:r>
            <w:r w:rsidRPr="00077429">
              <w:t xml:space="preserve"> in a CC</w:t>
            </w:r>
          </w:p>
          <w:p w14:paraId="487CF521" w14:textId="77777777" w:rsidR="001163BA" w:rsidRDefault="001163BA" w:rsidP="00313AC7">
            <w:pPr>
              <w:rPr>
                <w:rFonts w:eastAsia="Batang"/>
                <w:lang w:val="en-US" w:eastAsia="ko-KR"/>
              </w:rPr>
            </w:pPr>
          </w:p>
          <w:p w14:paraId="30C9C554" w14:textId="77777777" w:rsidR="00787B7D" w:rsidRPr="006E574D" w:rsidRDefault="00787B7D" w:rsidP="00787B7D">
            <w:pPr>
              <w:snapToGrid w:val="0"/>
              <w:rPr>
                <w:szCs w:val="22"/>
                <w:lang w:val="en-US" w:eastAsia="ko-KR"/>
              </w:rPr>
            </w:pPr>
            <w:r w:rsidRPr="006E574D">
              <w:rPr>
                <w:b/>
                <w:bCs/>
                <w:highlight w:val="green"/>
              </w:rPr>
              <w:t>Agreement</w:t>
            </w:r>
          </w:p>
          <w:p w14:paraId="47A3FC8F" w14:textId="77777777" w:rsidR="00787B7D" w:rsidRPr="00077429" w:rsidRDefault="00787B7D" w:rsidP="00787B7D">
            <w:pPr>
              <w:snapToGrid w:val="0"/>
            </w:pPr>
            <w:r w:rsidRPr="00077429">
              <w:t xml:space="preserve">On Rel.17 unified TCI framework, </w:t>
            </w:r>
          </w:p>
          <w:p w14:paraId="791CDA01" w14:textId="77777777" w:rsidR="00787B7D" w:rsidRPr="00245124" w:rsidRDefault="00787B7D" w:rsidP="00787B7D">
            <w:pPr>
              <w:pStyle w:val="ListParagraph"/>
              <w:numPr>
                <w:ilvl w:val="0"/>
                <w:numId w:val="36"/>
              </w:numPr>
              <w:snapToGrid w:val="0"/>
              <w:spacing w:before="0" w:line="240" w:lineRule="auto"/>
              <w:jc w:val="left"/>
              <w:rPr>
                <w:lang w:eastAsia="en-US"/>
              </w:rPr>
            </w:pPr>
            <w:r w:rsidRPr="00077429">
              <w:t xml:space="preserve">Any DL RS that is a valid target DL RS of a Rel-15/16 TCI state based on the Rel-15/16 QCL </w:t>
            </w:r>
            <w:r w:rsidRPr="00245124">
              <w:t xml:space="preserve">rules </w:t>
            </w:r>
            <w:r w:rsidRPr="00FB0C25">
              <w:t>can be</w:t>
            </w:r>
            <w:r w:rsidRPr="00245124">
              <w:t xml:space="preserve"> configured as a target DL RS of Rel-17 DL TCI (hence the Rel-17 DL TCI state pool)</w:t>
            </w:r>
          </w:p>
          <w:p w14:paraId="62E45352" w14:textId="77777777" w:rsidR="00787B7D" w:rsidRPr="00077429" w:rsidRDefault="00787B7D" w:rsidP="00787B7D">
            <w:pPr>
              <w:pStyle w:val="ListParagraph"/>
              <w:numPr>
                <w:ilvl w:val="1"/>
                <w:numId w:val="36"/>
              </w:numPr>
              <w:snapToGrid w:val="0"/>
              <w:spacing w:before="0" w:line="240" w:lineRule="auto"/>
              <w:jc w:val="left"/>
            </w:pPr>
            <w:r w:rsidRPr="00077429">
              <w:t>Note: This does not imply that all such DL RSs necessarily share a same TCI state</w:t>
            </w:r>
          </w:p>
          <w:p w14:paraId="6C5D4D79" w14:textId="77777777" w:rsidR="00787B7D" w:rsidRPr="00077429" w:rsidRDefault="00787B7D" w:rsidP="00787B7D">
            <w:pPr>
              <w:pStyle w:val="ListParagraph"/>
              <w:numPr>
                <w:ilvl w:val="1"/>
                <w:numId w:val="36"/>
              </w:numPr>
              <w:snapToGrid w:val="0"/>
              <w:spacing w:before="0" w:line="240" w:lineRule="auto"/>
              <w:jc w:val="left"/>
              <w:rPr>
                <w:lang w:eastAsia="en-US"/>
              </w:rPr>
            </w:pPr>
            <w:r w:rsidRPr="00077429">
              <w:t>The DL RS includes CSI-RS and DMRS for PDSCH or PDCCH</w:t>
            </w:r>
          </w:p>
          <w:p w14:paraId="52720F3F" w14:textId="77777777" w:rsidR="00787B7D" w:rsidRPr="00077429" w:rsidRDefault="00787B7D" w:rsidP="00787B7D">
            <w:pPr>
              <w:pStyle w:val="ListParagraph"/>
              <w:numPr>
                <w:ilvl w:val="0"/>
                <w:numId w:val="36"/>
              </w:numPr>
              <w:snapToGrid w:val="0"/>
              <w:spacing w:before="0" w:line="240" w:lineRule="auto"/>
              <w:jc w:val="left"/>
            </w:pPr>
            <w:r w:rsidRPr="00077429">
              <w:t>FFS: Whether some SRS resources or resource sets for BM can be configured as a target signal/channel of a Rel-17 UL TCI (hence the Rel-17 UL TCI state pool)</w:t>
            </w:r>
          </w:p>
          <w:p w14:paraId="7CBFBA20" w14:textId="77777777" w:rsidR="00787B7D" w:rsidRPr="00077429" w:rsidRDefault="00787B7D" w:rsidP="00787B7D">
            <w:pPr>
              <w:pStyle w:val="ListParagraph"/>
              <w:numPr>
                <w:ilvl w:val="0"/>
                <w:numId w:val="36"/>
              </w:numPr>
              <w:snapToGrid w:val="0"/>
              <w:spacing w:before="0" w:line="240" w:lineRule="auto"/>
              <w:jc w:val="left"/>
            </w:pPr>
            <w:r w:rsidRPr="00077429">
              <w:t>Note: This does not imply that DL and UL TCI state pools are separate or shared for separate DL/UL TCI (this issue is still TBD)</w:t>
            </w:r>
          </w:p>
          <w:p w14:paraId="28C5A67F" w14:textId="77777777" w:rsidR="00787B7D" w:rsidRPr="006E574D" w:rsidRDefault="00787B7D" w:rsidP="00787B7D">
            <w:pPr>
              <w:snapToGrid w:val="0"/>
            </w:pPr>
            <w:r w:rsidRPr="006E574D">
              <w:rPr>
                <w:b/>
                <w:bCs/>
                <w:highlight w:val="green"/>
              </w:rPr>
              <w:t>Agreement</w:t>
            </w:r>
          </w:p>
          <w:p w14:paraId="419113B1" w14:textId="77777777" w:rsidR="00787B7D" w:rsidRPr="00787B7D" w:rsidRDefault="00787B7D" w:rsidP="00787B7D">
            <w:pPr>
              <w:snapToGrid w:val="0"/>
            </w:pPr>
            <w:r w:rsidRPr="00787B7D">
              <w:lastRenderedPageBreak/>
              <w:t xml:space="preserve">On Rel.17 unified TCI framework, </w:t>
            </w:r>
            <w:r w:rsidRPr="00FB0C25">
              <w:t>for any DL RS that does not share</w:t>
            </w:r>
            <w:r w:rsidRPr="00787B7D">
              <w:t xml:space="preserve"> the same indicated Rel-17 TCI state(s) as UE-dedicated reception on PDSCH and for UE-dedicated reception on all or subset of CORESETs in a CC, but can be configured as a target DL RS of a Rel-17 DL TCI (hence the Rel-17 DL TCI state pool), discuss and down-select by RAN1#106-e (August 2021) between the following two alternatives:</w:t>
            </w:r>
          </w:p>
          <w:p w14:paraId="75AD3C4F" w14:textId="77777777" w:rsidR="00787B7D" w:rsidRPr="00787B7D" w:rsidRDefault="00787B7D" w:rsidP="00787B7D">
            <w:pPr>
              <w:pStyle w:val="ListParagraph"/>
              <w:numPr>
                <w:ilvl w:val="0"/>
                <w:numId w:val="35"/>
              </w:numPr>
              <w:snapToGrid w:val="0"/>
              <w:spacing w:before="0" w:line="240" w:lineRule="auto"/>
            </w:pPr>
            <w:r w:rsidRPr="00FB0C25">
              <w:t>Alt1</w:t>
            </w:r>
            <w:r w:rsidRPr="00787B7D">
              <w:t xml:space="preserve">. </w:t>
            </w:r>
            <w:r w:rsidRPr="00FB0C25">
              <w:t>Rel-15/16</w:t>
            </w:r>
            <w:r w:rsidRPr="00787B7D">
              <w:t xml:space="preserve"> TCI state update signaling/configuration </w:t>
            </w:r>
            <w:r w:rsidRPr="00FB0C25">
              <w:t>mechanism(s)</w:t>
            </w:r>
            <w:r w:rsidRPr="00787B7D">
              <w:t xml:space="preserve"> are reused to update/configure the Rel-17 TCI state </w:t>
            </w:r>
          </w:p>
          <w:p w14:paraId="11EFA47A" w14:textId="77777777" w:rsidR="00787B7D" w:rsidRPr="00787B7D" w:rsidRDefault="00787B7D" w:rsidP="00787B7D">
            <w:pPr>
              <w:pStyle w:val="ListParagraph"/>
              <w:numPr>
                <w:ilvl w:val="0"/>
                <w:numId w:val="35"/>
              </w:numPr>
              <w:snapToGrid w:val="0"/>
              <w:spacing w:before="0" w:line="240" w:lineRule="auto"/>
            </w:pPr>
            <w:r w:rsidRPr="00FB0C25">
              <w:t>Alt2</w:t>
            </w:r>
            <w:r w:rsidRPr="00787B7D">
              <w:t xml:space="preserve">. </w:t>
            </w:r>
            <w:r w:rsidRPr="00FB0C25">
              <w:t>Rel-17</w:t>
            </w:r>
            <w:r w:rsidRPr="00787B7D">
              <w:t xml:space="preserve"> TCI state update signaling/configuration </w:t>
            </w:r>
            <w:r w:rsidRPr="00FB0C25">
              <w:t>mechanism(s)</w:t>
            </w:r>
            <w:r w:rsidRPr="00787B7D">
              <w:t xml:space="preserve"> are used, e.g. with Rel-17 MAC-CE/DCI-based beam indication for Rel-17 joint/separate TCI</w:t>
            </w:r>
          </w:p>
          <w:p w14:paraId="3185A6E0" w14:textId="77777777" w:rsidR="00787B7D" w:rsidRPr="00077429" w:rsidRDefault="00787B7D" w:rsidP="00787B7D">
            <w:pPr>
              <w:snapToGrid w:val="0"/>
            </w:pPr>
            <w:r w:rsidRPr="00787B7D">
              <w:t>Note: The DL RS includes CSI-RS and DMRS for PDSCH or PDCCH</w:t>
            </w:r>
          </w:p>
          <w:p w14:paraId="6F5FAEF2" w14:textId="77777777" w:rsidR="00787B7D" w:rsidRDefault="00787B7D" w:rsidP="00787B7D">
            <w:pPr>
              <w:snapToGrid w:val="0"/>
            </w:pPr>
            <w:r>
              <w:t>No</w:t>
            </w:r>
            <w:r w:rsidRPr="00077429">
              <w:t>te: For some channels/signals, only one of the above two alternatives may apply (to be discussed).</w:t>
            </w:r>
          </w:p>
          <w:p w14:paraId="7EB6296A" w14:textId="5D4106FD" w:rsidR="00787B7D" w:rsidRDefault="00787B7D" w:rsidP="00FB0C25">
            <w:pPr>
              <w:autoSpaceDE w:val="0"/>
              <w:autoSpaceDN w:val="0"/>
              <w:snapToGrid w:val="0"/>
              <w:rPr>
                <w:rFonts w:eastAsia="Batang"/>
              </w:rPr>
            </w:pPr>
          </w:p>
        </w:tc>
      </w:tr>
    </w:tbl>
    <w:p w14:paraId="15E23567" w14:textId="1733071C" w:rsidR="00145D40" w:rsidRDefault="00B50D27" w:rsidP="00313AC7">
      <w:pPr>
        <w:rPr>
          <w:rFonts w:eastAsia="Batang"/>
          <w:lang w:val="en-US" w:eastAsia="ko-KR"/>
        </w:rPr>
      </w:pPr>
      <w:r>
        <w:rPr>
          <w:rFonts w:eastAsia="Batang"/>
          <w:lang w:val="en-US" w:eastAsia="ko-KR"/>
        </w:rPr>
        <w:lastRenderedPageBreak/>
        <w:t xml:space="preserve">The main use case for common beam operation is when the same beam is used for UE-specific </w:t>
      </w:r>
      <w:r w:rsidR="00EA0F49">
        <w:rPr>
          <w:rFonts w:eastAsia="Batang"/>
          <w:lang w:val="en-US" w:eastAsia="ko-KR"/>
        </w:rPr>
        <w:t>control</w:t>
      </w:r>
      <w:r>
        <w:rPr>
          <w:rFonts w:eastAsia="Batang"/>
          <w:lang w:val="en-US" w:eastAsia="ko-KR"/>
        </w:rPr>
        <w:t xml:space="preserve"> and </w:t>
      </w:r>
      <w:r w:rsidR="00EA0F49">
        <w:rPr>
          <w:rFonts w:eastAsia="Batang"/>
          <w:lang w:val="en-US" w:eastAsia="ko-KR"/>
        </w:rPr>
        <w:t>data channels</w:t>
      </w:r>
      <w:r>
        <w:rPr>
          <w:rFonts w:eastAsia="Batang"/>
          <w:lang w:val="en-US" w:eastAsia="ko-KR"/>
        </w:rPr>
        <w:t xml:space="preserve">. Overhead and latency can be reduced if a single TCI state activation command can be </w:t>
      </w:r>
      <w:r w:rsidR="00907EBD">
        <w:rPr>
          <w:rFonts w:eastAsia="Batang"/>
          <w:lang w:val="en-US" w:eastAsia="ko-KR"/>
        </w:rPr>
        <w:t xml:space="preserve">used to </w:t>
      </w:r>
      <w:r>
        <w:rPr>
          <w:rFonts w:eastAsia="Batang"/>
          <w:lang w:val="en-US" w:eastAsia="ko-KR"/>
        </w:rPr>
        <w:t xml:space="preserve">update the beam for the channels/signals using the common beam, instead of one TCI state activation per CORESET and PDSCH. </w:t>
      </w:r>
    </w:p>
    <w:p w14:paraId="696A93D0" w14:textId="2FB5ED25" w:rsidR="00145D40" w:rsidRDefault="00145D40" w:rsidP="00313AC7">
      <w:pPr>
        <w:rPr>
          <w:rFonts w:eastAsia="Batang"/>
          <w:lang w:val="en-US" w:eastAsia="ko-KR"/>
        </w:rPr>
      </w:pPr>
      <w:r>
        <w:rPr>
          <w:rFonts w:eastAsia="Batang"/>
          <w:lang w:val="en-US" w:eastAsia="ko-KR"/>
        </w:rPr>
        <w:t xml:space="preserve">In typical operation, the CSI-RS resource for CSI should use the same beam that would subsequently be used for PDSCH, in order to guarantee accurate CSI reports. Therefore, as the TCI state for PDSCH is updated based on common beam, it is natural to also update the CSI-RS resource for CSI. </w:t>
      </w:r>
      <w:r w:rsidR="00DB4180">
        <w:rPr>
          <w:rFonts w:eastAsia="Batang"/>
          <w:lang w:val="en-US" w:eastAsia="ko-KR"/>
        </w:rPr>
        <w:t>It can be noted that (UL) common beam operation is supported for SRS for antenna switching, which is also used for DL CSI.</w:t>
      </w:r>
    </w:p>
    <w:p w14:paraId="6731A7AC" w14:textId="27FB2F3E" w:rsidR="000D496B" w:rsidRDefault="000D496B" w:rsidP="00313AC7">
      <w:pPr>
        <w:rPr>
          <w:rFonts w:eastAsia="Batang"/>
          <w:lang w:val="en-US" w:eastAsia="ko-KR"/>
        </w:rPr>
      </w:pPr>
      <w:r>
        <w:rPr>
          <w:rFonts w:eastAsia="Batang"/>
          <w:lang w:val="en-US" w:eastAsia="ko-KR"/>
        </w:rPr>
        <w:t xml:space="preserve">CSI-RS resources for BM </w:t>
      </w:r>
      <w:r w:rsidR="00787B7D">
        <w:rPr>
          <w:rFonts w:eastAsia="Batang"/>
          <w:lang w:val="en-US" w:eastAsia="ko-KR"/>
        </w:rPr>
        <w:t>may be</w:t>
      </w:r>
      <w:r>
        <w:rPr>
          <w:rFonts w:eastAsia="Batang"/>
          <w:lang w:val="en-US" w:eastAsia="ko-KR"/>
        </w:rPr>
        <w:t xml:space="preserve"> transmitted on different beams than the beam used for PDCCH/PDSCH, perhaps except the CSI-RS resource for BM that is currently used as a serving beam, i.e. used for PDCCH/PDSCH and as a BFD RS. Therefore, it is in general not suitable to apply common QCL information to CSI-RS resources for BM.</w:t>
      </w:r>
    </w:p>
    <w:p w14:paraId="0888F22F" w14:textId="6A502A9F" w:rsidR="00B05349" w:rsidRDefault="00B05349" w:rsidP="00E8584B">
      <w:pPr>
        <w:ind w:left="990" w:hanging="990"/>
        <w:rPr>
          <w:rFonts w:eastAsia="Batang"/>
          <w:b/>
          <w:szCs w:val="22"/>
          <w:lang w:val="en-US" w:eastAsia="ko-KR"/>
        </w:rPr>
      </w:pPr>
      <w:r w:rsidRPr="00C826B7">
        <w:rPr>
          <w:rFonts w:eastAsia="Batang"/>
          <w:b/>
          <w:i/>
          <w:szCs w:val="22"/>
          <w:lang w:val="en-US" w:eastAsia="ko-KR"/>
        </w:rPr>
        <w:t xml:space="preserve">Proposal </w:t>
      </w:r>
      <w:r w:rsidR="00E8584B">
        <w:rPr>
          <w:rFonts w:eastAsia="Batang"/>
          <w:b/>
          <w:i/>
          <w:szCs w:val="22"/>
          <w:lang w:val="en-US" w:eastAsia="ko-KR"/>
        </w:rPr>
        <w:t>1</w:t>
      </w:r>
      <w:r w:rsidRPr="00C826B7">
        <w:rPr>
          <w:rFonts w:eastAsia="Batang"/>
          <w:b/>
          <w:i/>
          <w:szCs w:val="22"/>
          <w:lang w:val="en-US" w:eastAsia="ko-KR"/>
        </w:rPr>
        <w:t xml:space="preserve">: </w:t>
      </w:r>
      <w:r w:rsidR="0013405D" w:rsidRPr="0013405D">
        <w:rPr>
          <w:rFonts w:eastAsia="Batang"/>
          <w:b/>
          <w:szCs w:val="22"/>
          <w:lang w:val="en-US" w:eastAsia="ko-KR"/>
        </w:rPr>
        <w:t>CSI-RS resource for CSI</w:t>
      </w:r>
      <w:r w:rsidR="00787B7D">
        <w:rPr>
          <w:rFonts w:eastAsia="Batang"/>
          <w:b/>
          <w:szCs w:val="22"/>
          <w:lang w:val="en-US" w:eastAsia="ko-KR"/>
        </w:rPr>
        <w:t xml:space="preserve"> </w:t>
      </w:r>
      <w:r w:rsidR="00787B7D" w:rsidRPr="00787B7D">
        <w:rPr>
          <w:rFonts w:eastAsia="Batang"/>
          <w:b/>
          <w:szCs w:val="22"/>
          <w:lang w:val="en-US" w:eastAsia="ko-KR"/>
        </w:rPr>
        <w:t>can share the same indicated Rel-17 TCI state as UE-dedicated reception on PDSCH and for UE-dedicated reception on all or subset of CORESETs in a CC</w:t>
      </w:r>
      <w:r w:rsidR="0013405D">
        <w:rPr>
          <w:rFonts w:eastAsia="Batang"/>
          <w:b/>
          <w:szCs w:val="22"/>
          <w:lang w:val="en-US" w:eastAsia="ko-KR"/>
        </w:rPr>
        <w:t>.</w:t>
      </w:r>
    </w:p>
    <w:p w14:paraId="25BDCA5E" w14:textId="35187A37" w:rsidR="00787B7D" w:rsidRDefault="00245124" w:rsidP="008832BB">
      <w:r>
        <w:rPr>
          <w:rFonts w:eastAsia="Batang"/>
          <w:lang w:val="en-US" w:eastAsia="ko-KR"/>
        </w:rPr>
        <w:t>It was agreed that</w:t>
      </w:r>
      <w:r w:rsidR="00787B7D">
        <w:rPr>
          <w:rFonts w:eastAsia="Batang"/>
          <w:lang w:val="en-US" w:eastAsia="ko-KR"/>
        </w:rPr>
        <w:t xml:space="preserve"> D</w:t>
      </w:r>
      <w:r w:rsidR="00666074">
        <w:rPr>
          <w:rFonts w:eastAsia="Batang"/>
          <w:lang w:val="en-US" w:eastAsia="ko-KR"/>
        </w:rPr>
        <w:t>L</w:t>
      </w:r>
      <w:r w:rsidR="00787B7D">
        <w:rPr>
          <w:rFonts w:eastAsia="Batang"/>
          <w:lang w:val="en-US" w:eastAsia="ko-KR"/>
        </w:rPr>
        <w:t xml:space="preserve"> RS that do not share the same </w:t>
      </w:r>
      <w:r w:rsidR="00787B7D" w:rsidRPr="00455029">
        <w:t>Rel-17 TCI state(s) as UE-dedicated reception on PDSCH and for UE-dedicated reception on all or subset of CORESETs in a CC</w:t>
      </w:r>
      <w:r w:rsidR="00787B7D">
        <w:t>,</w:t>
      </w:r>
      <w:r>
        <w:t xml:space="preserve"> can still be configured as a target DL RS of the Rel-17 unified TCI state pool. This avoids the need to configure multiple TCI state pools. By reusing the legacy TCI state ID for the unified TCI states, the Rel-15/16 TCI state update signaling/configuration mechanism can be reused. This seems to have less specification impact than further enhancing the Rel-17 TCI state </w:t>
      </w:r>
      <w:r w:rsidRPr="00455029">
        <w:t>update signaling/configuration mechanism(s)</w:t>
      </w:r>
      <w:r w:rsidR="004E7450">
        <w:t>.</w:t>
      </w:r>
    </w:p>
    <w:p w14:paraId="4D94BEFE" w14:textId="341B5B04" w:rsidR="00245124" w:rsidRDefault="00245124" w:rsidP="008832BB">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Support Alt1</w:t>
      </w:r>
      <w:r w:rsidR="004E7450">
        <w:rPr>
          <w:rFonts w:eastAsia="Batang"/>
          <w:b/>
          <w:szCs w:val="22"/>
          <w:lang w:val="en-US" w:eastAsia="ko-KR"/>
        </w:rPr>
        <w:t>:</w:t>
      </w:r>
      <w:r>
        <w:rPr>
          <w:rFonts w:eastAsia="Batang"/>
          <w:b/>
          <w:szCs w:val="22"/>
          <w:lang w:val="en-US" w:eastAsia="ko-KR"/>
        </w:rPr>
        <w:t xml:space="preserve"> </w:t>
      </w:r>
      <w:r w:rsidR="00C26390" w:rsidRPr="00C26390">
        <w:rPr>
          <w:rFonts w:eastAsia="Batang"/>
          <w:b/>
          <w:szCs w:val="22"/>
          <w:lang w:val="en-US" w:eastAsia="ko-KR"/>
        </w:rPr>
        <w:t>Rel-15/16 TCI state update signaling/configuration mechanism(s) are reused to update/configure the Rel-17 TCI state</w:t>
      </w:r>
      <w:r w:rsidR="00C26390">
        <w:rPr>
          <w:rFonts w:eastAsia="Batang"/>
          <w:b/>
          <w:szCs w:val="22"/>
          <w:lang w:val="en-US" w:eastAsia="ko-KR"/>
        </w:rPr>
        <w:t>.</w:t>
      </w:r>
    </w:p>
    <w:p w14:paraId="130A0BC7" w14:textId="77777777" w:rsidR="009476AE" w:rsidRDefault="009476AE" w:rsidP="009476AE">
      <w:pPr>
        <w:rPr>
          <w:rFonts w:eastAsia="Batang"/>
          <w:lang w:val="en-US" w:eastAsia="ko-KR"/>
        </w:rPr>
      </w:pPr>
      <w:r>
        <w:rPr>
          <w:rFonts w:eastAsia="Batang"/>
          <w:lang w:val="en-US" w:eastAsia="ko-KR"/>
        </w:rPr>
        <w:t>In RAN1#105-e, the following was agreed.</w:t>
      </w:r>
    </w:p>
    <w:tbl>
      <w:tblPr>
        <w:tblStyle w:val="TableGrid"/>
        <w:tblW w:w="0" w:type="auto"/>
        <w:tblLook w:val="04A0" w:firstRow="1" w:lastRow="0" w:firstColumn="1" w:lastColumn="0" w:noHBand="0" w:noVBand="1"/>
      </w:tblPr>
      <w:tblGrid>
        <w:gridCol w:w="9855"/>
      </w:tblGrid>
      <w:tr w:rsidR="009476AE" w14:paraId="2CFAC275" w14:textId="77777777" w:rsidTr="009476AE">
        <w:tc>
          <w:tcPr>
            <w:tcW w:w="9855" w:type="dxa"/>
          </w:tcPr>
          <w:p w14:paraId="746DFF80" w14:textId="77777777" w:rsidR="005B0D14" w:rsidRPr="006527D8" w:rsidRDefault="005B0D14" w:rsidP="005B0D14">
            <w:pPr>
              <w:rPr>
                <w:rFonts w:cs="Times"/>
                <w:szCs w:val="22"/>
                <w:lang w:val="en-US" w:eastAsia="zh-CN"/>
              </w:rPr>
            </w:pPr>
            <w:r w:rsidRPr="006527D8">
              <w:rPr>
                <w:rStyle w:val="Strong"/>
                <w:rFonts w:cs="Times"/>
                <w:color w:val="000000"/>
                <w:szCs w:val="22"/>
                <w:highlight w:val="green"/>
              </w:rPr>
              <w:t>Agreement</w:t>
            </w:r>
          </w:p>
          <w:p w14:paraId="3AEFC87D" w14:textId="77777777" w:rsidR="005B0D14" w:rsidRPr="006527D8" w:rsidRDefault="005B0D14" w:rsidP="005B0D14">
            <w:pPr>
              <w:rPr>
                <w:rFonts w:cs="Times"/>
                <w:szCs w:val="22"/>
              </w:rPr>
            </w:pPr>
            <w:r w:rsidRPr="006527D8">
              <w:rPr>
                <w:rFonts w:cs="Times"/>
                <w:szCs w:val="22"/>
              </w:rPr>
              <w:t>On Rel-17 unified TCI,</w:t>
            </w:r>
            <w:r w:rsidRPr="006527D8">
              <w:rPr>
                <w:rStyle w:val="apple-converted-space"/>
                <w:rFonts w:cs="Times"/>
                <w:szCs w:val="22"/>
              </w:rPr>
              <w:t> </w:t>
            </w:r>
            <w:r w:rsidRPr="006527D8">
              <w:rPr>
                <w:rFonts w:cs="Times"/>
                <w:szCs w:val="22"/>
              </w:rPr>
              <w:t>in RAN1#106-e, for M&gt;1 and/or N&gt;1:</w:t>
            </w:r>
          </w:p>
          <w:p w14:paraId="1BEB27F9" w14:textId="77777777" w:rsidR="005B0D14" w:rsidRPr="005B0D14" w:rsidRDefault="005B0D14" w:rsidP="005B0D14">
            <w:pPr>
              <w:numPr>
                <w:ilvl w:val="0"/>
                <w:numId w:val="37"/>
              </w:numPr>
              <w:jc w:val="left"/>
              <w:rPr>
                <w:rFonts w:cs="Times"/>
                <w:szCs w:val="22"/>
              </w:rPr>
            </w:pPr>
            <w:r w:rsidRPr="005B0D14">
              <w:rPr>
                <w:rFonts w:cs="Times"/>
                <w:szCs w:val="22"/>
              </w:rPr>
              <w:t xml:space="preserve">Identify and agree on </w:t>
            </w:r>
            <w:r w:rsidRPr="00FB0C25">
              <w:rPr>
                <w:rFonts w:cs="Times"/>
                <w:szCs w:val="22"/>
              </w:rPr>
              <w:t>use cases</w:t>
            </w:r>
            <w:r w:rsidRPr="005B0D14">
              <w:rPr>
                <w:rFonts w:cs="Times"/>
                <w:szCs w:val="22"/>
              </w:rPr>
              <w:t> </w:t>
            </w:r>
          </w:p>
          <w:p w14:paraId="276936A7" w14:textId="77777777" w:rsidR="005B0D14" w:rsidRPr="006527D8" w:rsidRDefault="005B0D14" w:rsidP="005B0D14">
            <w:pPr>
              <w:numPr>
                <w:ilvl w:val="0"/>
                <w:numId w:val="37"/>
              </w:numPr>
              <w:jc w:val="left"/>
              <w:rPr>
                <w:rFonts w:cs="Times"/>
                <w:szCs w:val="22"/>
              </w:rPr>
            </w:pPr>
            <w:r w:rsidRPr="00FB0C25">
              <w:rPr>
                <w:rFonts w:cs="Times"/>
                <w:szCs w:val="22"/>
              </w:rPr>
              <w:t>Decide whether to support M&gt;1 and/or N&gt;1</w:t>
            </w:r>
            <w:r w:rsidRPr="005B0D14">
              <w:rPr>
                <w:rFonts w:cs="Times"/>
                <w:szCs w:val="22"/>
              </w:rPr>
              <w:t>, and if so, the</w:t>
            </w:r>
            <w:r w:rsidRPr="006527D8">
              <w:rPr>
                <w:rFonts w:cs="Times"/>
                <w:szCs w:val="22"/>
              </w:rPr>
              <w:t xml:space="preserve"> maximum value of M and/or N</w:t>
            </w:r>
          </w:p>
          <w:p w14:paraId="0A626B2E" w14:textId="77777777" w:rsidR="005B0D14" w:rsidRPr="006527D8" w:rsidRDefault="005B0D14" w:rsidP="005B0D14">
            <w:pPr>
              <w:numPr>
                <w:ilvl w:val="0"/>
                <w:numId w:val="37"/>
              </w:numPr>
              <w:jc w:val="left"/>
              <w:rPr>
                <w:rFonts w:cs="Times"/>
                <w:szCs w:val="22"/>
              </w:rPr>
            </w:pPr>
            <w:r w:rsidRPr="006527D8">
              <w:rPr>
                <w:rFonts w:cs="Times"/>
                <w:szCs w:val="22"/>
              </w:rPr>
              <w:t>If supported, identify feasible candidate schemes for beam indication signaling mechanism (including TCI state activation)</w:t>
            </w:r>
          </w:p>
          <w:p w14:paraId="7CB67443" w14:textId="77777777" w:rsidR="005B0D14" w:rsidRPr="006527D8" w:rsidRDefault="005B0D14" w:rsidP="005B0D14">
            <w:pPr>
              <w:rPr>
                <w:rFonts w:cs="Times"/>
                <w:szCs w:val="22"/>
              </w:rPr>
            </w:pPr>
            <w:r w:rsidRPr="006527D8">
              <w:rPr>
                <w:rFonts w:cs="Times"/>
                <w:szCs w:val="22"/>
              </w:rPr>
              <w:t>Note:</w:t>
            </w:r>
          </w:p>
          <w:p w14:paraId="7E972326" w14:textId="77777777" w:rsidR="005B0D14" w:rsidRPr="006527D8" w:rsidRDefault="005B0D14" w:rsidP="005B0D14">
            <w:pPr>
              <w:numPr>
                <w:ilvl w:val="0"/>
                <w:numId w:val="38"/>
              </w:numPr>
              <w:jc w:val="left"/>
              <w:rPr>
                <w:rFonts w:cs="Times"/>
                <w:szCs w:val="22"/>
              </w:rPr>
            </w:pPr>
            <w:r w:rsidRPr="006527D8">
              <w:rPr>
                <w:rFonts w:cs="Times"/>
                <w:szCs w:val="22"/>
              </w:rPr>
              <w:t>Previous agreement in RAN1#104b-e that remaining unused DCI fields and codepoints are reserved in R17 are not to be reverted.</w:t>
            </w:r>
          </w:p>
          <w:p w14:paraId="3E99CA82" w14:textId="35B6C102" w:rsidR="009476AE" w:rsidRPr="00FB0C25" w:rsidRDefault="005B0D14" w:rsidP="00FB0C25">
            <w:pPr>
              <w:numPr>
                <w:ilvl w:val="0"/>
                <w:numId w:val="38"/>
              </w:numPr>
              <w:jc w:val="left"/>
              <w:rPr>
                <w:rFonts w:cs="Times"/>
                <w:szCs w:val="22"/>
              </w:rPr>
            </w:pPr>
            <w:r w:rsidRPr="006527D8">
              <w:rPr>
                <w:rFonts w:cs="Times"/>
                <w:szCs w:val="22"/>
              </w:rPr>
              <w:t>The use case of simultaneous UL transmission from multiple UE panels are not to be considered in Rel-17 as it is out of scope</w:t>
            </w:r>
          </w:p>
        </w:tc>
      </w:tr>
    </w:tbl>
    <w:p w14:paraId="43495838" w14:textId="7D09336A" w:rsidR="00D215D2" w:rsidRDefault="00D215D2" w:rsidP="008832BB">
      <w:pPr>
        <w:rPr>
          <w:rFonts w:eastAsia="Batang"/>
          <w:lang w:val="en-US" w:eastAsia="ko-KR"/>
        </w:rPr>
      </w:pPr>
      <w:r>
        <w:rPr>
          <w:rFonts w:eastAsia="Batang"/>
          <w:lang w:val="en-US" w:eastAsia="ko-KR"/>
        </w:rPr>
        <w:t>Common beam operation is meant to support very efficient operation when all control</w:t>
      </w:r>
      <w:r w:rsidR="000F2BAC">
        <w:rPr>
          <w:rFonts w:eastAsia="Batang"/>
          <w:lang w:val="en-US" w:eastAsia="ko-KR"/>
        </w:rPr>
        <w:t xml:space="preserve"> and</w:t>
      </w:r>
      <w:r>
        <w:rPr>
          <w:rFonts w:eastAsia="Batang"/>
          <w:lang w:val="en-US" w:eastAsia="ko-KR"/>
        </w:rPr>
        <w:t xml:space="preserve"> data </w:t>
      </w:r>
      <w:r w:rsidR="000F2BAC">
        <w:rPr>
          <w:rFonts w:eastAsia="Batang"/>
          <w:lang w:val="en-US" w:eastAsia="ko-KR"/>
        </w:rPr>
        <w:t>channels as well as</w:t>
      </w:r>
      <w:r>
        <w:rPr>
          <w:rFonts w:eastAsia="Batang"/>
          <w:lang w:val="en-US" w:eastAsia="ko-KR"/>
        </w:rPr>
        <w:t xml:space="preserve">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use the same beam, i.e. M=1. </w:t>
      </w:r>
    </w:p>
    <w:p w14:paraId="27EBF338" w14:textId="14BE5215" w:rsidR="008832BB" w:rsidRDefault="00D215D2" w:rsidP="008832BB">
      <w:pPr>
        <w:rPr>
          <w:rFonts w:eastAsia="Batang"/>
          <w:lang w:val="en-US" w:eastAsia="ko-KR"/>
        </w:rPr>
      </w:pPr>
      <w:r>
        <w:rPr>
          <w:rFonts w:eastAsia="Batang"/>
          <w:lang w:val="en-US" w:eastAsia="ko-KR"/>
        </w:rPr>
        <w:t>If M&gt;1</w:t>
      </w:r>
      <w:r>
        <w:rPr>
          <w:rFonts w:eastAsia="Batang"/>
          <w:lang w:val="sv-SE" w:eastAsia="ko-KR"/>
        </w:rPr>
        <w:t>, multiple TCI states, e.g. multiple common beams, are activated, which is already supported by Rel-15/16 operation. For multi-TRP operation, it might be motivated to support M=2, for example to maintain a TCI state per CORESET pool.</w:t>
      </w:r>
      <w:r>
        <w:rPr>
          <w:rFonts w:eastAsia="Batang"/>
          <w:lang w:val="en-US" w:eastAsia="ko-KR"/>
        </w:rPr>
        <w:t xml:space="preserve"> However</w:t>
      </w:r>
      <w:r w:rsidR="005B0D14">
        <w:rPr>
          <w:rFonts w:eastAsia="Batang"/>
          <w:lang w:val="en-US" w:eastAsia="ko-KR"/>
        </w:rPr>
        <w:t xml:space="preserve">, given all the </w:t>
      </w:r>
      <w:r w:rsidR="00972AFB">
        <w:rPr>
          <w:rFonts w:eastAsia="Batang"/>
          <w:lang w:val="en-US" w:eastAsia="ko-KR"/>
        </w:rPr>
        <w:t xml:space="preserve">remaining </w:t>
      </w:r>
      <w:r w:rsidR="005B0D14">
        <w:rPr>
          <w:rFonts w:eastAsia="Batang"/>
          <w:lang w:val="en-US" w:eastAsia="ko-KR"/>
        </w:rPr>
        <w:t>open multi-beam issues</w:t>
      </w:r>
      <w:r>
        <w:rPr>
          <w:rFonts w:eastAsia="Batang"/>
          <w:lang w:val="en-US" w:eastAsia="ko-KR"/>
        </w:rPr>
        <w:t xml:space="preserve">, we propose to support M=1 </w:t>
      </w:r>
      <w:r w:rsidR="005B0D14">
        <w:rPr>
          <w:rFonts w:eastAsia="Batang"/>
          <w:lang w:val="en-US" w:eastAsia="ko-KR"/>
        </w:rPr>
        <w:t>in Rel-17</w:t>
      </w:r>
      <w:r>
        <w:rPr>
          <w:rFonts w:eastAsia="Batang"/>
          <w:lang w:val="en-US" w:eastAsia="ko-KR"/>
        </w:rPr>
        <w:t>, and further discuss the support for M</w:t>
      </w:r>
      <w:r w:rsidR="005B0D14">
        <w:rPr>
          <w:rFonts w:eastAsia="Batang"/>
          <w:lang w:val="en-US" w:eastAsia="ko-KR"/>
        </w:rPr>
        <w:t>&gt;</w:t>
      </w:r>
      <w:r w:rsidR="00AC32C3">
        <w:rPr>
          <w:rFonts w:eastAsia="Batang"/>
          <w:lang w:val="en-US" w:eastAsia="ko-KR"/>
        </w:rPr>
        <w:t>1</w:t>
      </w:r>
      <w:r>
        <w:rPr>
          <w:rFonts w:eastAsia="Batang"/>
          <w:lang w:val="en-US" w:eastAsia="ko-KR"/>
        </w:rPr>
        <w:t xml:space="preserve"> </w:t>
      </w:r>
      <w:r w:rsidR="00EA0F49">
        <w:rPr>
          <w:rFonts w:eastAsia="Batang"/>
          <w:lang w:val="en-US" w:eastAsia="ko-KR"/>
        </w:rPr>
        <w:t>in a later release</w:t>
      </w:r>
      <w:r>
        <w:rPr>
          <w:rFonts w:eastAsia="Batang"/>
          <w:lang w:val="en-US" w:eastAsia="ko-KR"/>
        </w:rPr>
        <w:t>.</w:t>
      </w:r>
      <w:r w:rsidR="005B0D14">
        <w:rPr>
          <w:rFonts w:eastAsia="Batang"/>
          <w:lang w:val="en-US" w:eastAsia="ko-KR"/>
        </w:rPr>
        <w:t xml:space="preserve"> </w:t>
      </w:r>
      <w:r w:rsidR="005B0D14" w:rsidRPr="0002575E">
        <w:rPr>
          <w:rFonts w:eastAsia="Batang"/>
          <w:lang w:val="sv-SE" w:eastAsia="ko-KR"/>
        </w:rPr>
        <w:t>Similarly as for the downlink, the most important case</w:t>
      </w:r>
      <w:r w:rsidR="00666074">
        <w:rPr>
          <w:rFonts w:eastAsia="Batang"/>
          <w:lang w:val="sv-SE" w:eastAsia="ko-KR"/>
        </w:rPr>
        <w:t xml:space="preserve"> for uplink</w:t>
      </w:r>
      <w:r w:rsidR="005B0D14" w:rsidRPr="0002575E">
        <w:rPr>
          <w:rFonts w:eastAsia="Batang"/>
          <w:lang w:val="sv-SE" w:eastAsia="ko-KR"/>
        </w:rPr>
        <w:t xml:space="preserve"> is single common beam operation, i.e. N=1. We propose to proceed with N=1 and come back to N</w:t>
      </w:r>
      <w:r w:rsidR="005B0D14">
        <w:rPr>
          <w:rFonts w:eastAsia="Batang"/>
          <w:lang w:val="en-US" w:eastAsia="ko-KR"/>
        </w:rPr>
        <w:t>&gt;</w:t>
      </w:r>
      <w:r w:rsidR="00AC32C3">
        <w:rPr>
          <w:rFonts w:eastAsia="Batang"/>
          <w:lang w:val="en-US" w:eastAsia="ko-KR"/>
        </w:rPr>
        <w:t>1</w:t>
      </w:r>
      <w:r w:rsidR="005B0D14" w:rsidRPr="0002575E">
        <w:rPr>
          <w:rFonts w:eastAsia="Batang"/>
          <w:lang w:val="sv-SE" w:eastAsia="ko-KR"/>
        </w:rPr>
        <w:t xml:space="preserve"> in a later release.</w:t>
      </w:r>
    </w:p>
    <w:p w14:paraId="76970221" w14:textId="4917BBDD" w:rsidR="008832BB" w:rsidRDefault="008832BB" w:rsidP="008832BB">
      <w:pPr>
        <w:ind w:left="990" w:hanging="990"/>
        <w:rPr>
          <w:rFonts w:eastAsia="Batang"/>
          <w:b/>
          <w:szCs w:val="22"/>
          <w:lang w:val="en-US" w:eastAsia="ko-KR"/>
        </w:rPr>
      </w:pPr>
      <w:r w:rsidRPr="00C826B7">
        <w:rPr>
          <w:rFonts w:eastAsia="Batang"/>
          <w:b/>
          <w:i/>
          <w:szCs w:val="22"/>
          <w:lang w:val="en-US" w:eastAsia="ko-KR"/>
        </w:rPr>
        <w:t xml:space="preserve">Proposal </w:t>
      </w:r>
      <w:r w:rsidR="0081050D">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Support M=1</w:t>
      </w:r>
      <w:r w:rsidR="005B0D14">
        <w:rPr>
          <w:rFonts w:eastAsia="Batang"/>
          <w:b/>
          <w:szCs w:val="22"/>
          <w:lang w:val="en-US" w:eastAsia="ko-KR"/>
        </w:rPr>
        <w:t xml:space="preserve"> and N=1 in Rel-17</w:t>
      </w:r>
      <w:r>
        <w:rPr>
          <w:rFonts w:eastAsia="Batang"/>
          <w:b/>
          <w:szCs w:val="22"/>
          <w:lang w:val="en-US" w:eastAsia="ko-KR"/>
        </w:rPr>
        <w:t>.</w:t>
      </w:r>
    </w:p>
    <w:p w14:paraId="57420C9E" w14:textId="50B3364C" w:rsidR="005F216B" w:rsidRDefault="009E0CF4" w:rsidP="008832BB">
      <w:pPr>
        <w:rPr>
          <w:rFonts w:eastAsia="Batang"/>
          <w:lang w:val="en-US" w:eastAsia="ko-KR"/>
        </w:rPr>
      </w:pPr>
      <w:r>
        <w:rPr>
          <w:rFonts w:eastAsia="Batang"/>
          <w:lang w:val="en-US" w:eastAsia="ko-KR"/>
        </w:rPr>
        <w:t>The most attractive</w:t>
      </w:r>
      <w:r w:rsidR="00466EF0">
        <w:rPr>
          <w:rFonts w:eastAsia="Batang"/>
          <w:lang w:val="en-US" w:eastAsia="ko-KR"/>
        </w:rPr>
        <w:t xml:space="preserve"> (efficient)</w:t>
      </w:r>
      <w:r>
        <w:rPr>
          <w:rFonts w:eastAsia="Batang"/>
          <w:lang w:val="en-US" w:eastAsia="ko-KR"/>
        </w:rPr>
        <w:t xml:space="preserve"> mode of common beam operation is the </w:t>
      </w:r>
      <w:r w:rsidR="00994C8F">
        <w:rPr>
          <w:rFonts w:eastAsia="Batang"/>
          <w:lang w:val="en-US" w:eastAsia="ko-KR"/>
        </w:rPr>
        <w:t xml:space="preserve">use of the same </w:t>
      </w:r>
      <w:r w:rsidR="008265BA">
        <w:rPr>
          <w:rFonts w:eastAsia="Batang"/>
          <w:lang w:val="en-US" w:eastAsia="ko-KR"/>
        </w:rPr>
        <w:t>common</w:t>
      </w:r>
      <w:r>
        <w:rPr>
          <w:rFonts w:eastAsia="Batang"/>
          <w:lang w:val="en-US" w:eastAsia="ko-KR"/>
        </w:rPr>
        <w:t xml:space="preserve"> beam for </w:t>
      </w:r>
      <w:r w:rsidR="008265BA">
        <w:rPr>
          <w:rFonts w:eastAsia="Batang"/>
          <w:lang w:val="en-US" w:eastAsia="ko-KR"/>
        </w:rPr>
        <w:t xml:space="preserve">both </w:t>
      </w:r>
      <w:r>
        <w:rPr>
          <w:rFonts w:eastAsia="Batang"/>
          <w:lang w:val="en-US" w:eastAsia="ko-KR"/>
        </w:rPr>
        <w:t>DL and UL. For example, DL control</w:t>
      </w:r>
      <w:r w:rsidR="000F2BAC">
        <w:rPr>
          <w:rFonts w:eastAsia="Batang"/>
          <w:lang w:val="en-US" w:eastAsia="ko-KR"/>
        </w:rPr>
        <w:t xml:space="preserve"> and</w:t>
      </w:r>
      <w:r>
        <w:rPr>
          <w:rFonts w:eastAsia="Batang"/>
          <w:lang w:val="en-US" w:eastAsia="ko-KR"/>
        </w:rPr>
        <w:t xml:space="preserve"> data </w:t>
      </w:r>
      <w:r w:rsidR="000F2BAC">
        <w:rPr>
          <w:rFonts w:eastAsia="Batang"/>
          <w:lang w:val="en-US" w:eastAsia="ko-KR"/>
        </w:rPr>
        <w:t xml:space="preserve">channels </w:t>
      </w:r>
      <w:r>
        <w:rPr>
          <w:rFonts w:eastAsia="Batang"/>
          <w:lang w:val="en-US" w:eastAsia="ko-KR"/>
        </w:rPr>
        <w:t xml:space="preserve">and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as well as UL control and data </w:t>
      </w:r>
      <w:r w:rsidR="000F2BAC">
        <w:rPr>
          <w:rFonts w:eastAsia="Batang"/>
          <w:lang w:val="en-US" w:eastAsia="ko-KR"/>
        </w:rPr>
        <w:t xml:space="preserve">channels </w:t>
      </w:r>
      <w:r>
        <w:rPr>
          <w:rFonts w:eastAsia="Batang"/>
          <w:lang w:val="en-US" w:eastAsia="ko-KR"/>
        </w:rPr>
        <w:t xml:space="preserve">and </w:t>
      </w:r>
      <w:r w:rsidR="000F2BAC">
        <w:rPr>
          <w:rFonts w:eastAsia="Batang"/>
          <w:lang w:val="en-US" w:eastAsia="ko-KR"/>
        </w:rPr>
        <w:t xml:space="preserve">their </w:t>
      </w:r>
      <w:r>
        <w:rPr>
          <w:rFonts w:eastAsia="Batang"/>
          <w:lang w:val="en-US" w:eastAsia="ko-KR"/>
        </w:rPr>
        <w:t xml:space="preserve">associated </w:t>
      </w:r>
      <w:r w:rsidR="00C113F6">
        <w:rPr>
          <w:rFonts w:eastAsia="Batang"/>
          <w:lang w:val="en-US" w:eastAsia="ko-KR"/>
        </w:rPr>
        <w:t xml:space="preserve">reference </w:t>
      </w:r>
      <w:r>
        <w:rPr>
          <w:rFonts w:eastAsia="Batang"/>
          <w:lang w:val="en-US" w:eastAsia="ko-KR"/>
        </w:rPr>
        <w:t xml:space="preserve">signals use the same CSI-RS resource for BM as spatial source/reference. A beam switch of all those DL/UL channels/signals could potentially be achieved with a single TCI state </w:t>
      </w:r>
      <w:r w:rsidR="002C554E">
        <w:rPr>
          <w:rFonts w:eastAsia="Batang"/>
          <w:lang w:val="en-US" w:eastAsia="ko-KR"/>
        </w:rPr>
        <w:t>update</w:t>
      </w:r>
      <w:r w:rsidR="008265BA">
        <w:rPr>
          <w:rFonts w:eastAsia="Batang"/>
          <w:lang w:val="en-US" w:eastAsia="ko-KR"/>
        </w:rPr>
        <w:t>, with low latency and overhead.</w:t>
      </w:r>
    </w:p>
    <w:p w14:paraId="0F848D3F" w14:textId="77777777" w:rsidR="002C554E" w:rsidRDefault="00994C8F" w:rsidP="008832BB">
      <w:pPr>
        <w:rPr>
          <w:rFonts w:eastAsia="Batang"/>
          <w:lang w:val="en-US" w:eastAsia="ko-KR"/>
        </w:rPr>
      </w:pPr>
      <w:r>
        <w:rPr>
          <w:rFonts w:eastAsia="Batang"/>
          <w:lang w:val="en-US" w:eastAsia="ko-KR"/>
        </w:rPr>
        <w:lastRenderedPageBreak/>
        <w:t>On the other hand, i</w:t>
      </w:r>
      <w:r w:rsidR="00004BBC">
        <w:rPr>
          <w:rFonts w:eastAsia="Batang"/>
          <w:lang w:val="en-US" w:eastAsia="ko-KR"/>
        </w:rPr>
        <w:t xml:space="preserve">t should also be possible to activate different TCI states for UL and DL, which </w:t>
      </w:r>
      <w:r>
        <w:rPr>
          <w:rFonts w:eastAsia="Batang"/>
          <w:lang w:val="en-US" w:eastAsia="ko-KR"/>
        </w:rPr>
        <w:t xml:space="preserve">for instance </w:t>
      </w:r>
      <w:r w:rsidR="00004BBC">
        <w:rPr>
          <w:rFonts w:eastAsia="Batang"/>
          <w:lang w:val="en-US" w:eastAsia="ko-KR"/>
        </w:rPr>
        <w:t xml:space="preserve">may be useful in heterogeneous networks and during MPE events. </w:t>
      </w:r>
      <w:r w:rsidR="002C554E">
        <w:rPr>
          <w:rFonts w:eastAsia="Batang"/>
          <w:lang w:val="en-US" w:eastAsia="ko-KR"/>
        </w:rPr>
        <w:t xml:space="preserve">However, such operation with different TCI states for UL and DL is the exception, while common beam operation for UL and DL is the more common situation. Enhancements should therefore be optimized for joint UL/DL beam indication, while still supporting separate indications. </w:t>
      </w:r>
    </w:p>
    <w:p w14:paraId="0993280E" w14:textId="49F2A7A3" w:rsidR="0064198D" w:rsidRDefault="002C554E" w:rsidP="008832BB">
      <w:pPr>
        <w:rPr>
          <w:rFonts w:eastAsia="Batang"/>
          <w:lang w:val="en-US" w:eastAsia="ko-KR"/>
        </w:rPr>
      </w:pPr>
      <w:r>
        <w:rPr>
          <w:rFonts w:eastAsia="Batang"/>
          <w:lang w:val="en-US" w:eastAsia="ko-KR"/>
        </w:rPr>
        <w:t>Note that separate UL/DL beam indication could be used by the network during a time period, e.g. during an MPE event, and joint UL/DL beam indication could be used during other periods. F</w:t>
      </w:r>
      <w:r w:rsidR="00004BBC">
        <w:rPr>
          <w:rFonts w:eastAsia="Batang"/>
          <w:lang w:val="en-US" w:eastAsia="ko-KR"/>
        </w:rPr>
        <w:t>rom a configuration overhead perspective</w:t>
      </w:r>
      <w:r>
        <w:rPr>
          <w:rFonts w:eastAsia="Batang"/>
          <w:lang w:val="en-US" w:eastAsia="ko-KR"/>
        </w:rPr>
        <w:t>, it is most efficient</w:t>
      </w:r>
      <w:r w:rsidR="00004BBC">
        <w:rPr>
          <w:rFonts w:eastAsia="Batang"/>
          <w:lang w:val="en-US" w:eastAsia="ko-KR"/>
        </w:rPr>
        <w:t xml:space="preserve"> to use the same TCI </w:t>
      </w:r>
      <w:r w:rsidR="00703E09">
        <w:rPr>
          <w:rFonts w:eastAsia="Batang"/>
          <w:lang w:val="en-US" w:eastAsia="ko-KR"/>
        </w:rPr>
        <w:t xml:space="preserve">state </w:t>
      </w:r>
      <w:r w:rsidR="00004BBC">
        <w:rPr>
          <w:rFonts w:eastAsia="Batang"/>
          <w:lang w:val="en-US" w:eastAsia="ko-KR"/>
        </w:rPr>
        <w:t xml:space="preserve">pool for joint and separate UL/DL beam indication. </w:t>
      </w:r>
    </w:p>
    <w:p w14:paraId="3F7175C8" w14:textId="0B1AF586" w:rsidR="00D7655F" w:rsidRDefault="001208C7" w:rsidP="008832BB">
      <w:pPr>
        <w:rPr>
          <w:rFonts w:eastAsia="Batang"/>
          <w:lang w:val="en-US" w:eastAsia="ko-KR"/>
        </w:rPr>
      </w:pPr>
      <w:r>
        <w:rPr>
          <w:rFonts w:eastAsia="Batang"/>
          <w:lang w:val="en-US" w:eastAsia="ko-KR"/>
        </w:rPr>
        <w:t>It was agreed that at least for joint DL/UL TCI, t</w:t>
      </w:r>
      <w:r w:rsidR="002360E3">
        <w:rPr>
          <w:rFonts w:eastAsia="Batang"/>
          <w:lang w:val="en-US" w:eastAsia="ko-KR"/>
        </w:rPr>
        <w:t xml:space="preserve">he UL </w:t>
      </w:r>
      <w:r w:rsidR="00F92BF4">
        <w:rPr>
          <w:rFonts w:eastAsia="Batang"/>
          <w:lang w:val="en-US" w:eastAsia="ko-KR"/>
        </w:rPr>
        <w:t xml:space="preserve">TX </w:t>
      </w:r>
      <w:r w:rsidR="002360E3">
        <w:rPr>
          <w:rFonts w:eastAsia="Batang"/>
          <w:lang w:val="en-US" w:eastAsia="ko-KR"/>
        </w:rPr>
        <w:t>beam c</w:t>
      </w:r>
      <w:r w:rsidR="00703E09">
        <w:rPr>
          <w:rFonts w:eastAsia="Batang"/>
          <w:lang w:val="en-US" w:eastAsia="ko-KR"/>
        </w:rPr>
        <w:t>ould</w:t>
      </w:r>
      <w:r w:rsidR="002360E3">
        <w:rPr>
          <w:rFonts w:eastAsia="Batang"/>
          <w:lang w:val="en-US" w:eastAsia="ko-KR"/>
        </w:rPr>
        <w:t xml:space="preserve"> be determined from the source RS with QCL-TypeD in the TCI state.</w:t>
      </w:r>
      <w:r>
        <w:rPr>
          <w:rFonts w:eastAsia="Batang"/>
          <w:lang w:val="en-US" w:eastAsia="ko-KR"/>
        </w:rPr>
        <w:t xml:space="preserve"> </w:t>
      </w:r>
      <w:r w:rsidR="002C2489">
        <w:rPr>
          <w:rFonts w:eastAsia="Batang"/>
          <w:lang w:val="en-US" w:eastAsia="ko-KR"/>
        </w:rPr>
        <w:t>Since both DL and UL TCI can be determined from the same TCI state in the case of joint DL/UL TCI, it seems feasible to also determine a separate UL TCI from a TCI state in the same pool.</w:t>
      </w:r>
    </w:p>
    <w:p w14:paraId="05B47CDD" w14:textId="78BE765E" w:rsidR="00213E51" w:rsidRPr="00004BBC" w:rsidRDefault="005F55FE" w:rsidP="00004BBC">
      <w:pPr>
        <w:ind w:left="990" w:hanging="990"/>
        <w:rPr>
          <w:rFonts w:eastAsia="Batang"/>
          <w:b/>
          <w:szCs w:val="22"/>
          <w:lang w:val="en-US" w:eastAsia="ko-KR"/>
        </w:rPr>
      </w:pPr>
      <w:r w:rsidRPr="00C826B7">
        <w:rPr>
          <w:rFonts w:eastAsia="Batang"/>
          <w:b/>
          <w:i/>
          <w:szCs w:val="22"/>
          <w:lang w:val="en-US" w:eastAsia="ko-KR"/>
        </w:rPr>
        <w:t xml:space="preserve">Proposal </w:t>
      </w:r>
      <w:r w:rsidR="0064198D">
        <w:rPr>
          <w:rFonts w:eastAsia="Batang"/>
          <w:b/>
          <w:i/>
          <w:szCs w:val="22"/>
          <w:lang w:val="en-US" w:eastAsia="ko-KR"/>
        </w:rPr>
        <w:t>4</w:t>
      </w:r>
      <w:r w:rsidRPr="00C826B7">
        <w:rPr>
          <w:rFonts w:eastAsia="Batang"/>
          <w:b/>
          <w:i/>
          <w:szCs w:val="22"/>
          <w:lang w:val="en-US" w:eastAsia="ko-KR"/>
        </w:rPr>
        <w:t xml:space="preserve">: </w:t>
      </w:r>
      <w:r w:rsidR="0033471F">
        <w:rPr>
          <w:rFonts w:eastAsia="Batang"/>
          <w:b/>
          <w:iCs/>
          <w:szCs w:val="22"/>
          <w:lang w:val="en-US" w:eastAsia="ko-KR"/>
        </w:rPr>
        <w:t xml:space="preserve">For the case of </w:t>
      </w:r>
      <w:r w:rsidR="0033471F" w:rsidRPr="0033471F">
        <w:rPr>
          <w:rFonts w:eastAsia="Batang"/>
          <w:b/>
          <w:iCs/>
          <w:szCs w:val="22"/>
          <w:lang w:val="en-US" w:eastAsia="ko-KR"/>
        </w:rPr>
        <w:t>separate DL and UL TCI state update</w:t>
      </w:r>
      <w:r w:rsidR="0033471F">
        <w:rPr>
          <w:rFonts w:eastAsia="Batang"/>
          <w:b/>
          <w:iCs/>
          <w:szCs w:val="22"/>
          <w:lang w:val="en-US" w:eastAsia="ko-KR"/>
        </w:rPr>
        <w:t xml:space="preserve">, </w:t>
      </w:r>
      <w:r w:rsidR="0033471F" w:rsidRPr="0002575E">
        <w:rPr>
          <w:rFonts w:eastAsia="Batang"/>
          <w:b/>
          <w:iCs/>
          <w:szCs w:val="22"/>
          <w:lang w:val="en-US" w:eastAsia="ko-KR"/>
        </w:rPr>
        <w:t xml:space="preserve">the UL TCI state is taken from </w:t>
      </w:r>
      <w:r w:rsidR="0033471F">
        <w:rPr>
          <w:rFonts w:eastAsia="Batang"/>
          <w:b/>
          <w:iCs/>
          <w:szCs w:val="22"/>
          <w:lang w:val="en-US" w:eastAsia="ko-KR"/>
        </w:rPr>
        <w:t xml:space="preserve">the </w:t>
      </w:r>
      <w:r w:rsidR="0033471F" w:rsidRPr="0002575E">
        <w:rPr>
          <w:rFonts w:eastAsia="Batang"/>
          <w:b/>
          <w:iCs/>
          <w:szCs w:val="22"/>
          <w:lang w:val="en-US" w:eastAsia="ko-KR"/>
        </w:rPr>
        <w:t xml:space="preserve">same TCI state pool </w:t>
      </w:r>
      <w:r w:rsidR="0033471F">
        <w:rPr>
          <w:rFonts w:eastAsia="Batang"/>
          <w:b/>
          <w:iCs/>
          <w:szCs w:val="22"/>
          <w:lang w:val="en-US" w:eastAsia="ko-KR"/>
        </w:rPr>
        <w:t xml:space="preserve">as the </w:t>
      </w:r>
      <w:r w:rsidR="0033471F" w:rsidRPr="0002575E">
        <w:rPr>
          <w:rFonts w:eastAsia="Batang"/>
          <w:b/>
          <w:iCs/>
          <w:szCs w:val="22"/>
          <w:lang w:val="en-US" w:eastAsia="ko-KR"/>
        </w:rPr>
        <w:t>DL TCI state</w:t>
      </w:r>
      <w:r w:rsidR="0033471F">
        <w:rPr>
          <w:rFonts w:eastAsia="Batang"/>
          <w:b/>
          <w:iCs/>
          <w:szCs w:val="22"/>
          <w:lang w:val="en-US" w:eastAsia="ko-KR"/>
        </w:rPr>
        <w:t>.</w:t>
      </w:r>
      <w:r w:rsidR="00733FBD">
        <w:rPr>
          <w:rFonts w:eastAsia="Batang"/>
          <w:b/>
          <w:iCs/>
          <w:szCs w:val="22"/>
          <w:lang w:val="en-US" w:eastAsia="ko-KR"/>
        </w:rPr>
        <w:t xml:space="preserve"> If there are two RS in the DL TCI state, the RS with QCL typeD is used as UL spatial source RS.</w:t>
      </w:r>
    </w:p>
    <w:p w14:paraId="7EF95562" w14:textId="785AEDD5" w:rsidR="007E1F09" w:rsidRDefault="00D55D1F" w:rsidP="008832BB">
      <w:pPr>
        <w:rPr>
          <w:rFonts w:eastAsia="Batang"/>
          <w:lang w:val="en-US" w:eastAsia="ko-KR"/>
        </w:rPr>
      </w:pPr>
      <w:r>
        <w:rPr>
          <w:rFonts w:eastAsia="Batang"/>
          <w:lang w:val="en-US" w:eastAsia="ko-KR"/>
        </w:rPr>
        <w:t>In massive MIMO and multi-TRP deployments, a large number of CSI-RS</w:t>
      </w:r>
      <w:r w:rsidR="000F2BAC">
        <w:rPr>
          <w:rFonts w:eastAsia="Batang"/>
          <w:lang w:val="en-US" w:eastAsia="ko-KR"/>
        </w:rPr>
        <w:t>s</w:t>
      </w:r>
      <w:r>
        <w:rPr>
          <w:rFonts w:eastAsia="Batang"/>
          <w:lang w:val="en-US" w:eastAsia="ko-KR"/>
        </w:rPr>
        <w:t xml:space="preserve"> for BM is required to ensure that </w:t>
      </w:r>
      <w:r w:rsidR="00F030E6">
        <w:rPr>
          <w:rFonts w:eastAsia="Batang"/>
          <w:lang w:val="en-US" w:eastAsia="ko-KR"/>
        </w:rPr>
        <w:t>a</w:t>
      </w:r>
      <w:r>
        <w:rPr>
          <w:rFonts w:eastAsia="Batang"/>
          <w:lang w:val="en-US" w:eastAsia="ko-KR"/>
        </w:rPr>
        <w:t xml:space="preserve"> reported DL beam is close to the optimal DL beam. To some extent, this issue can be alleviated by the iterative beam refinement procedure, which </w:t>
      </w:r>
      <w:r w:rsidR="00F030E6">
        <w:rPr>
          <w:rFonts w:eastAsia="Batang"/>
          <w:lang w:val="en-US" w:eastAsia="ko-KR"/>
        </w:rPr>
        <w:t xml:space="preserve">however </w:t>
      </w:r>
      <w:r>
        <w:rPr>
          <w:rFonts w:eastAsia="Batang"/>
          <w:lang w:val="en-US" w:eastAsia="ko-KR"/>
        </w:rPr>
        <w:t xml:space="preserve">has the drawback of </w:t>
      </w:r>
      <w:r w:rsidR="00D2510D">
        <w:rPr>
          <w:rFonts w:eastAsia="Batang"/>
          <w:lang w:val="en-US" w:eastAsia="ko-KR"/>
        </w:rPr>
        <w:t>increased latency</w:t>
      </w:r>
      <w:r w:rsidR="000F2BAC">
        <w:rPr>
          <w:rFonts w:eastAsia="Batang"/>
          <w:lang w:val="en-US" w:eastAsia="ko-KR"/>
        </w:rPr>
        <w:t xml:space="preserve"> and complexity,</w:t>
      </w:r>
      <w:r w:rsidR="00D2510D">
        <w:rPr>
          <w:rFonts w:eastAsia="Batang"/>
          <w:lang w:val="en-US" w:eastAsia="ko-KR"/>
        </w:rPr>
        <w:t xml:space="preserve"> and potentially increased reconfiguration overhead.</w:t>
      </w:r>
    </w:p>
    <w:p w14:paraId="0DBDAF22" w14:textId="77777777" w:rsidR="00985F86" w:rsidRDefault="00D2510D" w:rsidP="008832BB">
      <w:pPr>
        <w:rPr>
          <w:rFonts w:eastAsia="Batang"/>
          <w:lang w:val="en-US" w:eastAsia="ko-KR"/>
        </w:rPr>
      </w:pPr>
      <w:r>
        <w:rPr>
          <w:rFonts w:eastAsia="Batang"/>
          <w:lang w:val="en-US" w:eastAsia="ko-KR"/>
        </w:rPr>
        <w:t>Using SRS for BM as a spatial source RS for DL could be beneficial in the context of massive MIMO and multi-TRP, since the amount of CSI-RS for BM and corresponding measurements and reporting can be reduced.</w:t>
      </w:r>
    </w:p>
    <w:p w14:paraId="4FDDA0C4" w14:textId="65F1212B" w:rsidR="00985F86" w:rsidRDefault="00D2510D" w:rsidP="008832BB">
      <w:pPr>
        <w:rPr>
          <w:rFonts w:eastAsia="Batang"/>
          <w:lang w:val="en-US" w:eastAsia="ko-KR"/>
        </w:rPr>
      </w:pPr>
      <w:r>
        <w:rPr>
          <w:rFonts w:eastAsia="Batang"/>
          <w:lang w:val="en-US" w:eastAsia="ko-KR"/>
        </w:rPr>
        <w:t xml:space="preserve">The beam management latency using CSI-RS involves </w:t>
      </w:r>
      <w:r w:rsidR="004C38CE">
        <w:rPr>
          <w:rFonts w:eastAsia="Batang"/>
          <w:lang w:val="en-US" w:eastAsia="ko-KR"/>
        </w:rPr>
        <w:t xml:space="preserve">CSI-RS transmission and </w:t>
      </w:r>
      <w:r>
        <w:rPr>
          <w:rFonts w:eastAsia="Batang"/>
          <w:lang w:val="en-US" w:eastAsia="ko-KR"/>
        </w:rPr>
        <w:t>UE RX beam adjustments, L1-RSRP/SINR measurement</w:t>
      </w:r>
      <w:r w:rsidR="004C38CE">
        <w:rPr>
          <w:rFonts w:eastAsia="Batang"/>
          <w:lang w:val="en-US" w:eastAsia="ko-KR"/>
        </w:rPr>
        <w:t>,</w:t>
      </w:r>
      <w:r>
        <w:rPr>
          <w:rFonts w:eastAsia="Batang"/>
          <w:lang w:val="en-US" w:eastAsia="ko-KR"/>
        </w:rPr>
        <w:t xml:space="preserve"> </w:t>
      </w:r>
      <w:r w:rsidR="00985F86">
        <w:rPr>
          <w:rFonts w:eastAsia="Batang"/>
          <w:lang w:val="en-US" w:eastAsia="ko-KR"/>
        </w:rPr>
        <w:t>CSI report encoding/transmission on PUCCH/PUSCH on the UE side</w:t>
      </w:r>
      <w:r w:rsidR="004C38CE">
        <w:rPr>
          <w:rFonts w:eastAsia="Batang"/>
          <w:lang w:val="en-US" w:eastAsia="ko-KR"/>
        </w:rPr>
        <w:t>,</w:t>
      </w:r>
      <w:r w:rsidR="00985F86">
        <w:rPr>
          <w:rFonts w:eastAsia="Batang"/>
          <w:lang w:val="en-US" w:eastAsia="ko-KR"/>
        </w:rPr>
        <w:t xml:space="preserve"> and decoding of CSI report on the gNB side.</w:t>
      </w:r>
    </w:p>
    <w:p w14:paraId="7694397B" w14:textId="09454456" w:rsidR="00D2510D" w:rsidRDefault="00985F86" w:rsidP="008832BB">
      <w:pPr>
        <w:rPr>
          <w:rFonts w:eastAsia="Batang"/>
          <w:lang w:val="en-US" w:eastAsia="ko-KR"/>
        </w:rPr>
      </w:pPr>
      <w:r>
        <w:rPr>
          <w:rFonts w:eastAsia="Batang"/>
          <w:lang w:val="en-US" w:eastAsia="ko-KR"/>
        </w:rPr>
        <w:t xml:space="preserve">The beam management latency using </w:t>
      </w:r>
      <w:r w:rsidR="00D2510D">
        <w:rPr>
          <w:rFonts w:eastAsia="Batang"/>
          <w:lang w:val="en-US" w:eastAsia="ko-KR"/>
        </w:rPr>
        <w:t xml:space="preserve">SRS for BM </w:t>
      </w:r>
      <w:r>
        <w:rPr>
          <w:rFonts w:eastAsia="Batang"/>
          <w:lang w:val="en-US" w:eastAsia="ko-KR"/>
        </w:rPr>
        <w:t>involves SRS transmission on the UE side and gNB RX beam adjustments and measurements on the gNB side.</w:t>
      </w:r>
    </w:p>
    <w:p w14:paraId="415B4A6B" w14:textId="748E2653" w:rsidR="00985F86" w:rsidRDefault="00985F86" w:rsidP="008832BB">
      <w:pPr>
        <w:rPr>
          <w:rFonts w:eastAsia="Batang"/>
          <w:lang w:val="en-US" w:eastAsia="ko-KR"/>
        </w:rPr>
      </w:pPr>
      <w:r>
        <w:rPr>
          <w:rFonts w:eastAsia="Batang"/>
          <w:lang w:val="en-US" w:eastAsia="ko-KR"/>
        </w:rPr>
        <w:t>Hence, beam management latency could be reduced by using SRS for BM as spatial source RS for DL.</w:t>
      </w:r>
    </w:p>
    <w:p w14:paraId="0C6146AD" w14:textId="7E4AC07C" w:rsidR="00985F86" w:rsidRDefault="00985F86" w:rsidP="008832BB">
      <w:pPr>
        <w:rPr>
          <w:rFonts w:eastAsia="Batang"/>
          <w:lang w:val="en-US" w:eastAsia="ko-KR"/>
        </w:rPr>
      </w:pPr>
      <w:r>
        <w:rPr>
          <w:rFonts w:eastAsia="Batang"/>
          <w:lang w:val="en-US" w:eastAsia="ko-KR"/>
        </w:rPr>
        <w:t xml:space="preserve">In terms of UE power consumption, </w:t>
      </w:r>
      <w:r w:rsidR="00CE5F34">
        <w:rPr>
          <w:rFonts w:eastAsia="Batang"/>
          <w:lang w:val="en-US" w:eastAsia="ko-KR"/>
        </w:rPr>
        <w:t>more</w:t>
      </w:r>
      <w:r w:rsidR="00D80C95">
        <w:rPr>
          <w:rFonts w:eastAsia="Batang"/>
          <w:lang w:val="en-US" w:eastAsia="ko-KR"/>
        </w:rPr>
        <w:t xml:space="preserve"> SRS transmission may be introduced, but this may be compensated by less CSI measurement and </w:t>
      </w:r>
      <w:r w:rsidR="00F030E6">
        <w:rPr>
          <w:rFonts w:eastAsia="Batang"/>
          <w:lang w:val="en-US" w:eastAsia="ko-KR"/>
        </w:rPr>
        <w:t xml:space="preserve">CSI </w:t>
      </w:r>
      <w:r w:rsidR="00D80C95">
        <w:rPr>
          <w:rFonts w:eastAsia="Batang"/>
          <w:lang w:val="en-US" w:eastAsia="ko-KR"/>
        </w:rPr>
        <w:t>reporting on PUCCH/PUSCH.</w:t>
      </w:r>
    </w:p>
    <w:p w14:paraId="1F6EC0AB" w14:textId="45DB9C1E" w:rsidR="008832BB" w:rsidRPr="008832BB" w:rsidRDefault="00556315" w:rsidP="0002575E">
      <w:pPr>
        <w:ind w:left="990" w:hanging="990"/>
        <w:rPr>
          <w:rFonts w:eastAsia="Batang"/>
          <w:lang w:val="en-US" w:eastAsia="ko-KR"/>
        </w:rPr>
      </w:pPr>
      <w:r w:rsidRPr="00C826B7">
        <w:rPr>
          <w:rFonts w:eastAsia="Batang"/>
          <w:b/>
          <w:i/>
          <w:szCs w:val="22"/>
          <w:lang w:val="en-US" w:eastAsia="ko-KR"/>
        </w:rPr>
        <w:t xml:space="preserve">Proposal </w:t>
      </w:r>
      <w:r w:rsidR="006F2698">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S</w:t>
      </w:r>
      <w:r w:rsidRPr="00556315">
        <w:rPr>
          <w:rFonts w:eastAsia="Batang"/>
          <w:b/>
          <w:szCs w:val="22"/>
          <w:lang w:val="en-US" w:eastAsia="ko-KR"/>
        </w:rPr>
        <w:t>RS for BM can be configured as a source RS to represent a DL RX spatial filter in the unified TCI framework</w:t>
      </w:r>
      <w:r>
        <w:rPr>
          <w:rFonts w:eastAsia="Batang"/>
          <w:b/>
          <w:szCs w:val="22"/>
          <w:lang w:val="en-US" w:eastAsia="ko-KR"/>
        </w:rPr>
        <w:t>.</w:t>
      </w:r>
    </w:p>
    <w:p w14:paraId="70797FBC" w14:textId="31153148" w:rsidR="002F50E7" w:rsidRDefault="002F50E7" w:rsidP="002F50E7">
      <w:pPr>
        <w:pStyle w:val="Heading2"/>
        <w:rPr>
          <w:rFonts w:eastAsia="Batang"/>
          <w:lang w:val="en-US" w:eastAsia="ko-KR"/>
        </w:rPr>
      </w:pPr>
      <w:r w:rsidDel="002F50E7">
        <w:t xml:space="preserve"> </w:t>
      </w:r>
      <w:r>
        <w:t>2.2 Dynamic TCI State Signaling</w:t>
      </w:r>
    </w:p>
    <w:p w14:paraId="6E7BFC1E" w14:textId="7D15EC0E" w:rsidR="001166E8" w:rsidRDefault="001166E8" w:rsidP="001166E8">
      <w:pPr>
        <w:rPr>
          <w:rFonts w:eastAsia="Batang"/>
          <w:lang w:val="en-US" w:eastAsia="ko-KR"/>
        </w:rPr>
      </w:pPr>
      <w:r>
        <w:rPr>
          <w:rFonts w:eastAsia="Batang"/>
          <w:lang w:val="en-US" w:eastAsia="ko-KR"/>
        </w:rPr>
        <w:t>The following was agreed in RAN1#10</w:t>
      </w:r>
      <w:r w:rsidR="0081050D">
        <w:rPr>
          <w:rFonts w:eastAsia="Batang"/>
          <w:lang w:val="en-US" w:eastAsia="ko-KR"/>
        </w:rPr>
        <w:t>5-</w:t>
      </w:r>
      <w:r>
        <w:rPr>
          <w:rFonts w:eastAsia="Batang"/>
          <w:lang w:val="en-US" w:eastAsia="ko-KR"/>
        </w:rPr>
        <w:t>e:</w:t>
      </w:r>
    </w:p>
    <w:tbl>
      <w:tblPr>
        <w:tblStyle w:val="TableGrid"/>
        <w:tblW w:w="0" w:type="auto"/>
        <w:tblLook w:val="04A0" w:firstRow="1" w:lastRow="0" w:firstColumn="1" w:lastColumn="0" w:noHBand="0" w:noVBand="1"/>
      </w:tblPr>
      <w:tblGrid>
        <w:gridCol w:w="9855"/>
      </w:tblGrid>
      <w:tr w:rsidR="001166E8" w14:paraId="0C3194D9" w14:textId="77777777" w:rsidTr="001166E8">
        <w:tc>
          <w:tcPr>
            <w:tcW w:w="9855" w:type="dxa"/>
          </w:tcPr>
          <w:p w14:paraId="47404473" w14:textId="77777777" w:rsidR="000F2537" w:rsidRPr="00C47ECA" w:rsidRDefault="000F2537" w:rsidP="000F2537">
            <w:pPr>
              <w:snapToGrid w:val="0"/>
              <w:rPr>
                <w:rFonts w:cs="Times"/>
                <w:highlight w:val="green"/>
              </w:rPr>
            </w:pPr>
            <w:r w:rsidRPr="00C47ECA">
              <w:rPr>
                <w:rFonts w:cs="Times"/>
                <w:b/>
                <w:highlight w:val="green"/>
              </w:rPr>
              <w:t>Agreement</w:t>
            </w:r>
          </w:p>
          <w:p w14:paraId="078ECE91" w14:textId="77777777" w:rsidR="000F2537" w:rsidRPr="000F2537" w:rsidRDefault="000F2537" w:rsidP="000F2537">
            <w:pPr>
              <w:snapToGrid w:val="0"/>
              <w:rPr>
                <w:rFonts w:cs="Times"/>
                <w:lang w:eastAsia="x-none"/>
              </w:rPr>
            </w:pPr>
            <w:r w:rsidRPr="00C47ECA">
              <w:rPr>
                <w:rFonts w:cs="Times"/>
              </w:rPr>
              <w:t xml:space="preserve">For </w:t>
            </w:r>
            <w:r w:rsidRPr="00C47ECA">
              <w:rPr>
                <w:rFonts w:cs="Times"/>
                <w:bCs/>
                <w:szCs w:val="18"/>
                <w:lang w:eastAsia="zh-CN"/>
              </w:rPr>
              <w:t>M=N=1, o</w:t>
            </w:r>
            <w:r w:rsidRPr="00C47ECA">
              <w:rPr>
                <w:rFonts w:cs="Times"/>
              </w:rPr>
              <w:t xml:space="preserve">n Rel-17 </w:t>
            </w:r>
            <w:r w:rsidRPr="000F2537">
              <w:rPr>
                <w:rFonts w:cs="Times"/>
              </w:rPr>
              <w:t xml:space="preserve">unified TCI, </w:t>
            </w:r>
            <w:r w:rsidRPr="00FB0C25">
              <w:rPr>
                <w:rFonts w:cs="Times"/>
              </w:rPr>
              <w:t>for separate DL/UL TCI</w:t>
            </w:r>
            <w:r w:rsidRPr="000F2537">
              <w:rPr>
                <w:rFonts w:cs="Times"/>
              </w:rPr>
              <w:t xml:space="preserve">, </w:t>
            </w:r>
            <w:r w:rsidRPr="000F2537">
              <w:rPr>
                <w:rFonts w:cs="Times"/>
                <w:lang w:eastAsia="x-none"/>
              </w:rPr>
              <w:t xml:space="preserve">one instance of beam indication using DCI formats 1_1/1_2 (with and without DL assignment) can be used as follows: </w:t>
            </w:r>
          </w:p>
          <w:p w14:paraId="0C974701" w14:textId="77777777" w:rsidR="000F2537" w:rsidRPr="000F2537" w:rsidRDefault="000F2537" w:rsidP="000F2537">
            <w:pPr>
              <w:pStyle w:val="ListParagraph"/>
              <w:numPr>
                <w:ilvl w:val="0"/>
                <w:numId w:val="39"/>
              </w:numPr>
              <w:snapToGrid w:val="0"/>
              <w:spacing w:before="0" w:line="240" w:lineRule="auto"/>
              <w:rPr>
                <w:rFonts w:cs="Times"/>
              </w:rPr>
            </w:pPr>
            <w:r w:rsidRPr="00FB0C25">
              <w:rPr>
                <w:rFonts w:cs="Times"/>
              </w:rPr>
              <w:t>One TCI field codepoint represents a pair of DL TCI state and UL TCI state</w:t>
            </w:r>
            <w:r w:rsidRPr="000F2537">
              <w:rPr>
                <w:rFonts w:cs="Times"/>
              </w:rPr>
              <w:t xml:space="preserve">. If the DCI indicates such a TCI field codepoint, the </w:t>
            </w:r>
            <w:r w:rsidRPr="00FB0C25">
              <w:rPr>
                <w:rFonts w:cs="Times"/>
              </w:rPr>
              <w:t>UE applies the corresponding DL TCI state and UL TCI state.</w:t>
            </w:r>
          </w:p>
          <w:p w14:paraId="228B98ED" w14:textId="77777777" w:rsidR="000F2537" w:rsidRPr="000F2537" w:rsidRDefault="000F2537" w:rsidP="000F2537">
            <w:pPr>
              <w:pStyle w:val="ListParagraph"/>
              <w:numPr>
                <w:ilvl w:val="0"/>
                <w:numId w:val="39"/>
              </w:numPr>
              <w:snapToGrid w:val="0"/>
              <w:spacing w:before="0" w:line="240" w:lineRule="auto"/>
              <w:rPr>
                <w:rFonts w:cs="Times"/>
              </w:rPr>
            </w:pPr>
            <w:r w:rsidRPr="00FB0C25">
              <w:rPr>
                <w:rFonts w:cs="Times"/>
              </w:rPr>
              <w:t>One TCI field codepoint represents only a DL TCI state</w:t>
            </w:r>
            <w:r w:rsidRPr="000F2537">
              <w:rPr>
                <w:rFonts w:cs="Times"/>
              </w:rPr>
              <w:t xml:space="preserve">. If the DCI indicates such a TCI field codepoint, the </w:t>
            </w:r>
            <w:r w:rsidRPr="00FB0C25">
              <w:rPr>
                <w:rFonts w:cs="Times"/>
              </w:rPr>
              <w:t>UE applies the corresponding DL TCI state, and keeps the current UL TCI state</w:t>
            </w:r>
            <w:r w:rsidRPr="000F2537">
              <w:rPr>
                <w:rFonts w:cs="Times"/>
              </w:rPr>
              <w:t>.</w:t>
            </w:r>
          </w:p>
          <w:p w14:paraId="60769257" w14:textId="77777777" w:rsidR="000F2537" w:rsidRPr="000F2537" w:rsidRDefault="000F2537" w:rsidP="000F2537">
            <w:pPr>
              <w:pStyle w:val="ListParagraph"/>
              <w:numPr>
                <w:ilvl w:val="0"/>
                <w:numId w:val="39"/>
              </w:numPr>
              <w:snapToGrid w:val="0"/>
              <w:spacing w:before="0" w:line="240" w:lineRule="auto"/>
              <w:rPr>
                <w:rFonts w:cs="Times"/>
              </w:rPr>
            </w:pPr>
            <w:r w:rsidRPr="00FB0C25">
              <w:rPr>
                <w:rFonts w:cs="Times"/>
              </w:rPr>
              <w:t>One TCI field codepoint represents only an UL TCI state</w:t>
            </w:r>
            <w:r w:rsidRPr="000F2537">
              <w:rPr>
                <w:rFonts w:cs="Times"/>
              </w:rPr>
              <w:t xml:space="preserve">. If the DCI indicates such a TCI field codepoint, the </w:t>
            </w:r>
            <w:r w:rsidRPr="00FB0C25">
              <w:rPr>
                <w:rFonts w:cs="Times"/>
              </w:rPr>
              <w:t>UE applies the corresponding UL TCI state, and keeps the current DL TCI state</w:t>
            </w:r>
            <w:r w:rsidRPr="000F2537">
              <w:rPr>
                <w:rFonts w:cs="Times"/>
              </w:rPr>
              <w:t>.</w:t>
            </w:r>
          </w:p>
          <w:p w14:paraId="3FD8F011" w14:textId="77777777" w:rsidR="000F2537" w:rsidRPr="00C47ECA" w:rsidRDefault="000F2537" w:rsidP="000F2537">
            <w:pPr>
              <w:snapToGrid w:val="0"/>
              <w:rPr>
                <w:rFonts w:cs="Times"/>
                <w:sz w:val="28"/>
              </w:rPr>
            </w:pPr>
            <w:r w:rsidRPr="00C47ECA">
              <w:rPr>
                <w:rFonts w:cs="Times"/>
                <w:bCs/>
                <w:szCs w:val="18"/>
                <w:lang w:eastAsia="zh-CN"/>
              </w:rPr>
              <w:t>FFS: the cases of M or N&gt;1</w:t>
            </w:r>
          </w:p>
          <w:p w14:paraId="52F86AED" w14:textId="1F2AEA0E" w:rsidR="000F2537" w:rsidRDefault="000F2537" w:rsidP="001E43B3">
            <w:pPr>
              <w:rPr>
                <w:b/>
                <w:bCs/>
                <w:sz w:val="16"/>
                <w:szCs w:val="22"/>
                <w:highlight w:val="green"/>
                <w:lang w:eastAsia="x-none"/>
              </w:rPr>
            </w:pPr>
          </w:p>
          <w:p w14:paraId="50379C00" w14:textId="77777777" w:rsidR="000F2537" w:rsidRPr="006527D8" w:rsidRDefault="000F2537" w:rsidP="000F2537">
            <w:pPr>
              <w:pStyle w:val="xmsonormal"/>
              <w:snapToGrid w:val="0"/>
              <w:spacing w:before="0" w:beforeAutospacing="0" w:after="0" w:afterAutospacing="0"/>
              <w:jc w:val="both"/>
              <w:rPr>
                <w:b/>
                <w:sz w:val="20"/>
                <w:szCs w:val="20"/>
              </w:rPr>
            </w:pPr>
            <w:r w:rsidRPr="006527D8">
              <w:rPr>
                <w:b/>
                <w:sz w:val="20"/>
                <w:szCs w:val="20"/>
              </w:rPr>
              <w:t>Conclusion</w:t>
            </w:r>
          </w:p>
          <w:p w14:paraId="00689132" w14:textId="77777777" w:rsidR="000F2537" w:rsidRPr="000F2537" w:rsidRDefault="000F2537" w:rsidP="000F2537">
            <w:pPr>
              <w:pStyle w:val="xmsonormal"/>
              <w:snapToGrid w:val="0"/>
              <w:spacing w:before="0" w:beforeAutospacing="0" w:after="0" w:afterAutospacing="0"/>
              <w:jc w:val="both"/>
              <w:rPr>
                <w:sz w:val="20"/>
                <w:szCs w:val="20"/>
              </w:rPr>
            </w:pPr>
            <w:r w:rsidRPr="00077429">
              <w:rPr>
                <w:sz w:val="20"/>
                <w:szCs w:val="20"/>
              </w:rPr>
              <w:t xml:space="preserve">On Rel-17 unified TCI framework, for a UE configured with both joint TCI and </w:t>
            </w:r>
            <w:r w:rsidRPr="000F2537">
              <w:rPr>
                <w:sz w:val="20"/>
                <w:szCs w:val="20"/>
              </w:rPr>
              <w:t xml:space="preserve">separate DL/UL TCI, </w:t>
            </w:r>
            <w:r w:rsidRPr="00FB0C25">
              <w:rPr>
                <w:sz w:val="20"/>
                <w:szCs w:val="20"/>
              </w:rPr>
              <w:t>configuration of joint TCI or separate DL/UL TCI is based on RRC signaling</w:t>
            </w:r>
            <w:r w:rsidRPr="000F2537">
              <w:rPr>
                <w:sz w:val="20"/>
                <w:szCs w:val="20"/>
              </w:rPr>
              <w:t xml:space="preserve"> </w:t>
            </w:r>
          </w:p>
          <w:p w14:paraId="4696D739" w14:textId="77777777" w:rsidR="000F2537" w:rsidRPr="000F2537" w:rsidRDefault="000F2537" w:rsidP="000F2537">
            <w:pPr>
              <w:pStyle w:val="ListParagraph"/>
              <w:numPr>
                <w:ilvl w:val="0"/>
                <w:numId w:val="40"/>
              </w:numPr>
              <w:snapToGrid w:val="0"/>
              <w:spacing w:before="0" w:line="240" w:lineRule="auto"/>
            </w:pPr>
            <w:r w:rsidRPr="000F2537">
              <w:t xml:space="preserve">There is </w:t>
            </w:r>
            <w:r w:rsidRPr="00FB0C25">
              <w:t>no consensus in RAN1 on how to support dynamic switching (either MAC-CE or codepoint based</w:t>
            </w:r>
            <w:r w:rsidRPr="000F2537">
              <w:t>)</w:t>
            </w:r>
          </w:p>
          <w:p w14:paraId="6B8FF186" w14:textId="4E515B63" w:rsidR="001166E8" w:rsidRPr="0051399B" w:rsidRDefault="001166E8" w:rsidP="00FB0C25">
            <w:pPr>
              <w:autoSpaceDN w:val="0"/>
              <w:jc w:val="left"/>
              <w:rPr>
                <w:rFonts w:cs="Times"/>
                <w:color w:val="000000"/>
                <w:lang w:eastAsia="x-none"/>
              </w:rPr>
            </w:pPr>
          </w:p>
        </w:tc>
      </w:tr>
    </w:tbl>
    <w:p w14:paraId="65DEA853" w14:textId="222BBFB5" w:rsidR="001166E8" w:rsidRDefault="001166E8" w:rsidP="0016380F">
      <w:pPr>
        <w:rPr>
          <w:rFonts w:cs="Times"/>
        </w:rPr>
      </w:pPr>
      <w:r>
        <w:rPr>
          <w:rFonts w:eastAsia="Batang"/>
          <w:lang w:val="en-US" w:eastAsia="ko-KR"/>
        </w:rPr>
        <w:t xml:space="preserve">It was agreed that </w:t>
      </w:r>
      <w:r w:rsidRPr="00CA4B63">
        <w:rPr>
          <w:rFonts w:cs="Times"/>
        </w:rPr>
        <w:t>beam indication with Rel-17 unified TCI</w:t>
      </w:r>
      <w:r w:rsidR="003E3FB5">
        <w:rPr>
          <w:rFonts w:cs="Times"/>
        </w:rPr>
        <w:t xml:space="preserve"> using D</w:t>
      </w:r>
      <w:r w:rsidRPr="00CA4B63">
        <w:rPr>
          <w:rFonts w:cs="Times"/>
        </w:rPr>
        <w:t>CI format 1_1/1_2 without DL assignment</w:t>
      </w:r>
      <w:r w:rsidR="003E3FB5">
        <w:rPr>
          <w:rFonts w:cs="Times"/>
        </w:rPr>
        <w:t xml:space="preserve"> is supported. It can be useful for instance if there is no DL data to be transmitted. The indicated unified TCI </w:t>
      </w:r>
      <w:r w:rsidR="0081050D">
        <w:rPr>
          <w:rFonts w:cs="Times"/>
        </w:rPr>
        <w:t xml:space="preserve">can </w:t>
      </w:r>
      <w:r w:rsidR="003E3FB5">
        <w:rPr>
          <w:rFonts w:cs="Times"/>
        </w:rPr>
        <w:t>appl</w:t>
      </w:r>
      <w:r w:rsidR="0081050D">
        <w:rPr>
          <w:rFonts w:cs="Times"/>
        </w:rPr>
        <w:t>y</w:t>
      </w:r>
      <w:r w:rsidR="003E3FB5">
        <w:rPr>
          <w:rFonts w:cs="Times"/>
        </w:rPr>
        <w:t xml:space="preserve"> not only to PDSCH, but also to PDCCH and UL channels. Hence, the TCI state may need to be updated also during periods without DL data.</w:t>
      </w:r>
    </w:p>
    <w:p w14:paraId="1FBBF8F4" w14:textId="78B20680" w:rsidR="005C7209" w:rsidRDefault="005C7209" w:rsidP="0016380F">
      <w:pPr>
        <w:rPr>
          <w:rFonts w:cs="Times"/>
        </w:rPr>
      </w:pPr>
      <w:r>
        <w:rPr>
          <w:rFonts w:cs="Times"/>
        </w:rPr>
        <w:t>Beyond the absence of a DL assignment, the use</w:t>
      </w:r>
      <w:r w:rsidR="00F634CC">
        <w:rPr>
          <w:rFonts w:cs="Times"/>
        </w:rPr>
        <w:t xml:space="preserve"> </w:t>
      </w:r>
      <w:r>
        <w:rPr>
          <w:rFonts w:cs="Times"/>
        </w:rPr>
        <w:t>case for TCI indication is similar for DCI with DL assignment and without DL assignment, since both DL TCI and/or UL TCI may need to be updated. Hence, the TCI codepoints correspond to the same activated TCI states for both DCI format 1_1/1_2 with and without DL assignment.</w:t>
      </w:r>
      <w:r w:rsidR="005B2D93">
        <w:rPr>
          <w:rFonts w:cs="Times"/>
        </w:rPr>
        <w:t xml:space="preserve"> Furthermore, the full functionality </w:t>
      </w:r>
      <w:r w:rsidR="005B2D93">
        <w:rPr>
          <w:rFonts w:cs="Times"/>
        </w:rPr>
        <w:lastRenderedPageBreak/>
        <w:t>of dynamic TCI state signaling for unified TCI framework, incl. joint and separate TCI, needs to be supported by both with and without DL assignment, since a UE may support DCI with DL assignment, but not DCI without DL assignment.</w:t>
      </w:r>
    </w:p>
    <w:p w14:paraId="58687B43" w14:textId="140C3AAD" w:rsidR="005C7209" w:rsidRPr="004C3F7D" w:rsidRDefault="005C7209" w:rsidP="005C7209">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iCs/>
          <w:szCs w:val="22"/>
          <w:lang w:val="en-US" w:eastAsia="ko-KR"/>
        </w:rPr>
        <w:t>T</w:t>
      </w:r>
      <w:r w:rsidRPr="005C7209">
        <w:rPr>
          <w:rFonts w:eastAsia="Batang"/>
          <w:b/>
          <w:iCs/>
          <w:szCs w:val="22"/>
          <w:lang w:val="en-US" w:eastAsia="ko-KR"/>
        </w:rPr>
        <w:t>he TCI codepoints</w:t>
      </w:r>
      <w:r w:rsidR="00147E2A">
        <w:rPr>
          <w:rFonts w:eastAsia="Batang"/>
          <w:b/>
          <w:iCs/>
          <w:szCs w:val="22"/>
          <w:lang w:val="en-US" w:eastAsia="ko-KR"/>
        </w:rPr>
        <w:t xml:space="preserve"> indicated in DCI format 1_1/1_2</w:t>
      </w:r>
      <w:r w:rsidRPr="005C7209">
        <w:rPr>
          <w:rFonts w:eastAsia="Batang"/>
          <w:b/>
          <w:iCs/>
          <w:szCs w:val="22"/>
          <w:lang w:val="en-US" w:eastAsia="ko-KR"/>
        </w:rPr>
        <w:t xml:space="preserve"> correspond to the same activated TCI states for both with and without DL assignment</w:t>
      </w:r>
      <w:r>
        <w:rPr>
          <w:rFonts w:eastAsia="Batang"/>
          <w:b/>
          <w:iCs/>
          <w:szCs w:val="22"/>
          <w:lang w:val="en-US" w:eastAsia="ko-KR"/>
        </w:rPr>
        <w:t>.</w:t>
      </w:r>
    </w:p>
    <w:p w14:paraId="2AE6E7AB" w14:textId="5CF32201" w:rsidR="00F61BF3" w:rsidRDefault="00F61BF3" w:rsidP="0016380F">
      <w:pPr>
        <w:rPr>
          <w:rFonts w:cs="Times"/>
        </w:rPr>
      </w:pPr>
      <w:r>
        <w:rPr>
          <w:rFonts w:cs="Times"/>
        </w:rPr>
        <w:t xml:space="preserve">It was agreed that a UE can be RRC configured to use either joint TCI or separate DL/UL TCI. For joint TCI, the same RS acts as spatial/QCL source RS. For separate DL/UL TCI, a TCI field codepoint can represent a DL TCI and an UL TCI. The source RS that provides QCL typeD in the DL TCI and the </w:t>
      </w:r>
      <w:r w:rsidR="00E07083">
        <w:rPr>
          <w:rFonts w:cs="Times"/>
        </w:rPr>
        <w:t>spatial source RS in the UL TCI may be the same RS or different RS. If they are the same, the TCI field codepoint is in practice equivalent to a joint TCI.</w:t>
      </w:r>
      <w:r w:rsidR="005A62C3">
        <w:rPr>
          <w:rFonts w:cs="Times"/>
        </w:rPr>
        <w:t xml:space="preserve"> Hence, for a UE configured with separate DL/UL TCI, dynamic switching between separate DL/UL spatial source RS and joint DL/UL spatial source RS is supported.</w:t>
      </w:r>
    </w:p>
    <w:p w14:paraId="5A68C979" w14:textId="6F94F6B3" w:rsidR="008D32E6" w:rsidRPr="004C3F7D" w:rsidRDefault="008D32E6" w:rsidP="008D32E6">
      <w:pPr>
        <w:spacing w:before="0"/>
        <w:ind w:left="990" w:hanging="990"/>
        <w:rPr>
          <w:rFonts w:eastAsia="Batang"/>
          <w:b/>
          <w:szCs w:val="22"/>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iCs/>
          <w:szCs w:val="22"/>
          <w:lang w:val="en-US" w:eastAsia="ko-KR"/>
        </w:rPr>
        <w:t xml:space="preserve">For a UE configured with </w:t>
      </w:r>
      <w:r w:rsidRPr="008D32E6">
        <w:rPr>
          <w:rFonts w:eastAsia="Batang"/>
          <w:b/>
          <w:iCs/>
          <w:szCs w:val="22"/>
          <w:lang w:val="en-US" w:eastAsia="ko-KR"/>
        </w:rPr>
        <w:t>separate DL/UL TCI</w:t>
      </w:r>
      <w:r w:rsidR="005A62C3">
        <w:rPr>
          <w:rFonts w:eastAsia="Batang"/>
          <w:b/>
          <w:iCs/>
          <w:szCs w:val="22"/>
          <w:lang w:val="en-US" w:eastAsia="ko-KR"/>
        </w:rPr>
        <w:t xml:space="preserve"> and for</w:t>
      </w:r>
      <w:r>
        <w:rPr>
          <w:rFonts w:eastAsia="Batang"/>
          <w:b/>
          <w:iCs/>
          <w:szCs w:val="22"/>
          <w:lang w:val="en-US" w:eastAsia="ko-KR"/>
        </w:rPr>
        <w:t xml:space="preserve"> a TCI field codepoint representing a pair of DL TCI and UL TCI</w:t>
      </w:r>
      <w:r w:rsidR="005A62C3">
        <w:rPr>
          <w:rFonts w:eastAsia="Batang"/>
          <w:b/>
          <w:iCs/>
          <w:szCs w:val="22"/>
          <w:lang w:val="en-US" w:eastAsia="ko-KR"/>
        </w:rPr>
        <w:t>,</w:t>
      </w:r>
      <w:r>
        <w:rPr>
          <w:rFonts w:eastAsia="Batang"/>
          <w:b/>
          <w:iCs/>
          <w:szCs w:val="22"/>
          <w:lang w:val="en-US" w:eastAsia="ko-KR"/>
        </w:rPr>
        <w:t xml:space="preserve"> the spatial source RS in the UL TCI can be the same as the QCL typeD source RS in the DL TCI.</w:t>
      </w:r>
    </w:p>
    <w:p w14:paraId="32A1F8E6" w14:textId="7E5E8A68" w:rsidR="008D32E6" w:rsidRDefault="00733FBD" w:rsidP="0016380F">
      <w:pPr>
        <w:rPr>
          <w:rFonts w:cs="Times"/>
        </w:rPr>
      </w:pPr>
      <w:r>
        <w:rPr>
          <w:rFonts w:cs="Times"/>
        </w:rPr>
        <w:t xml:space="preserve">To support the functionality discussed above, a MAC CE that can activate up to two TCI states per TCI field codepoint is needed. Whether or not to use the same MAC CE for separate DL/UL TCI and joint TCI can be left to RAN2. </w:t>
      </w:r>
    </w:p>
    <w:p w14:paraId="2C59EB32" w14:textId="2587E9A1" w:rsidR="000A2111" w:rsidRPr="004C3F7D" w:rsidRDefault="000A2111" w:rsidP="00FB0C25">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sidR="00733FBD">
        <w:rPr>
          <w:rFonts w:eastAsia="Batang"/>
          <w:b/>
          <w:iCs/>
          <w:szCs w:val="22"/>
          <w:lang w:val="en-US" w:eastAsia="ko-KR"/>
        </w:rPr>
        <w:t xml:space="preserve">Design and specification of one or two MAC CEs for </w:t>
      </w:r>
      <w:r>
        <w:rPr>
          <w:rFonts w:eastAsia="Batang"/>
          <w:b/>
          <w:iCs/>
          <w:szCs w:val="22"/>
          <w:lang w:val="en-US" w:eastAsia="ko-KR"/>
        </w:rPr>
        <w:t xml:space="preserve">separate DL/UL TCI </w:t>
      </w:r>
      <w:r w:rsidR="00733FBD">
        <w:rPr>
          <w:rFonts w:eastAsia="Batang"/>
          <w:b/>
          <w:iCs/>
          <w:szCs w:val="22"/>
          <w:lang w:val="en-US" w:eastAsia="ko-KR"/>
        </w:rPr>
        <w:t>and joint TCI</w:t>
      </w:r>
      <w:r w:rsidR="00462D25">
        <w:rPr>
          <w:rFonts w:eastAsia="Batang"/>
          <w:b/>
          <w:iCs/>
          <w:szCs w:val="22"/>
          <w:lang w:val="en-US" w:eastAsia="ko-KR"/>
        </w:rPr>
        <w:t xml:space="preserve"> is  up to RAN2.</w:t>
      </w:r>
    </w:p>
    <w:p w14:paraId="109678DD" w14:textId="58AFDAC7" w:rsidR="000A2111" w:rsidRDefault="00761AAE" w:rsidP="0016380F">
      <w:pPr>
        <w:rPr>
          <w:rFonts w:cs="Times"/>
        </w:rPr>
      </w:pPr>
      <w:r>
        <w:rPr>
          <w:rFonts w:cs="Times"/>
        </w:rPr>
        <w:t>For the case when there is only UL data, there is also a need to maintain the DL TCI, since at least PDCCH needs to be operational. Furthermore, even if there is only UL data, there is typically a need to transmit MAC CEs as well as higher layer control signaling in PDSCH. Therefore, there is no need for special handling of the case with only UL data.</w:t>
      </w:r>
    </w:p>
    <w:p w14:paraId="10119C64" w14:textId="1EF51519" w:rsidR="00761AAE" w:rsidRPr="004C3F7D" w:rsidRDefault="00761AAE" w:rsidP="00761AAE">
      <w:pPr>
        <w:spacing w:before="0"/>
        <w:ind w:left="990" w:hanging="990"/>
        <w:rPr>
          <w:rFonts w:eastAsia="Batang"/>
          <w:b/>
          <w:szCs w:val="22"/>
          <w:lang w:val="en-US" w:eastAsia="ko-KR"/>
        </w:rPr>
      </w:pPr>
      <w:r w:rsidRPr="00C826B7">
        <w:rPr>
          <w:rFonts w:eastAsia="Batang"/>
          <w:b/>
          <w:i/>
          <w:szCs w:val="22"/>
          <w:lang w:val="en-US" w:eastAsia="ko-KR"/>
        </w:rPr>
        <w:t xml:space="preserve">Proposal </w:t>
      </w:r>
      <w:r w:rsidR="00FE25A0">
        <w:rPr>
          <w:rFonts w:eastAsia="Batang"/>
          <w:b/>
          <w:i/>
          <w:szCs w:val="22"/>
          <w:lang w:val="en-US" w:eastAsia="ko-KR"/>
        </w:rPr>
        <w:t>8</w:t>
      </w:r>
      <w:r w:rsidRPr="00C826B7">
        <w:rPr>
          <w:rFonts w:eastAsia="Batang"/>
          <w:b/>
          <w:i/>
          <w:szCs w:val="22"/>
          <w:lang w:val="en-US" w:eastAsia="ko-KR"/>
        </w:rPr>
        <w:t xml:space="preserve">: </w:t>
      </w:r>
      <w:r>
        <w:rPr>
          <w:rFonts w:eastAsia="Batang"/>
          <w:b/>
          <w:iCs/>
          <w:szCs w:val="22"/>
          <w:lang w:val="en-US" w:eastAsia="ko-KR"/>
        </w:rPr>
        <w:t>No further enhancement for the case with only UL data.</w:t>
      </w:r>
    </w:p>
    <w:p w14:paraId="36B84340" w14:textId="2CA47BB5" w:rsidR="0008236B" w:rsidRDefault="0008236B" w:rsidP="0016380F">
      <w:pPr>
        <w:rPr>
          <w:rFonts w:cs="Times"/>
        </w:rPr>
      </w:pPr>
      <w:r>
        <w:rPr>
          <w:rFonts w:cs="Times"/>
        </w:rPr>
        <w:t xml:space="preserve">Upon beam measurement and reporting, the gNB may decide to update the beam for DL and/or UL. In some cases, this involves indicating the new beam in a DCI. In other cases, the new beam is not </w:t>
      </w:r>
      <w:r w:rsidR="00FE25A0">
        <w:rPr>
          <w:rFonts w:cs="Times"/>
        </w:rPr>
        <w:t xml:space="preserve">yet </w:t>
      </w:r>
      <w:r>
        <w:rPr>
          <w:rFonts w:cs="Times"/>
        </w:rPr>
        <w:t xml:space="preserve">mapped to a TCI codepoint. If so, the gNB first needs to activate a new set of TCIs using a MAC CE, wait some time until the TCI has been activated, and finally indicate it using a DCI. </w:t>
      </w:r>
      <w:r w:rsidR="0037416F">
        <w:rPr>
          <w:rFonts w:cs="Times"/>
        </w:rPr>
        <w:t xml:space="preserve">The last step could be avoided if </w:t>
      </w:r>
      <w:r w:rsidR="002418D1">
        <w:rPr>
          <w:rFonts w:cs="Times"/>
        </w:rPr>
        <w:t>the UE applies one of the newly activated TCI codepoints (e.g. lowest codepoint) directly upon activation, i.e. without DCI based indication. This speeds up beam application following MAC CE based activation, and also avoids the case of a deactivated TCI codepoint being applicable for CORESETs before a newly activated TCI codepoint is indicated in a DCI.</w:t>
      </w:r>
      <w:r w:rsidR="00BF084F">
        <w:rPr>
          <w:rFonts w:cs="Times"/>
        </w:rPr>
        <w:t xml:space="preserve"> Naturally, it’s up to gNB if it directly after activation wants to indicate another TCI codepoint, for example based on the most recent beam measurement and reporting.</w:t>
      </w:r>
    </w:p>
    <w:p w14:paraId="62DB22D5" w14:textId="3B372551" w:rsidR="002418D1" w:rsidRPr="004C3F7D" w:rsidRDefault="002418D1" w:rsidP="002418D1">
      <w:pPr>
        <w:spacing w:before="0"/>
        <w:ind w:left="990" w:hanging="990"/>
        <w:rPr>
          <w:rFonts w:eastAsia="Batang"/>
          <w:b/>
          <w:szCs w:val="22"/>
          <w:lang w:val="en-US" w:eastAsia="ko-KR"/>
        </w:rPr>
      </w:pPr>
      <w:r w:rsidRPr="00C826B7">
        <w:rPr>
          <w:rFonts w:eastAsia="Batang"/>
          <w:b/>
          <w:i/>
          <w:szCs w:val="22"/>
          <w:lang w:val="en-US" w:eastAsia="ko-KR"/>
        </w:rPr>
        <w:t xml:space="preserve">Proposal </w:t>
      </w:r>
      <w:r w:rsidR="00FE25A0">
        <w:rPr>
          <w:rFonts w:eastAsia="Batang"/>
          <w:b/>
          <w:i/>
          <w:szCs w:val="22"/>
          <w:lang w:val="en-US" w:eastAsia="ko-KR"/>
        </w:rPr>
        <w:t>9</w:t>
      </w:r>
      <w:r w:rsidRPr="00C826B7">
        <w:rPr>
          <w:rFonts w:eastAsia="Batang"/>
          <w:b/>
          <w:i/>
          <w:szCs w:val="22"/>
          <w:lang w:val="en-US" w:eastAsia="ko-KR"/>
        </w:rPr>
        <w:t xml:space="preserve">: </w:t>
      </w:r>
      <w:r w:rsidRPr="002418D1">
        <w:rPr>
          <w:rFonts w:eastAsia="Batang"/>
          <w:b/>
          <w:iCs/>
          <w:szCs w:val="22"/>
          <w:lang w:val="en-US" w:eastAsia="ko-KR"/>
        </w:rPr>
        <w:t>When m</w:t>
      </w:r>
      <w:r w:rsidR="002C504A">
        <w:rPr>
          <w:rFonts w:eastAsia="Batang"/>
          <w:b/>
          <w:iCs/>
          <w:szCs w:val="22"/>
          <w:lang w:val="en-US" w:eastAsia="ko-KR"/>
        </w:rPr>
        <w:t>ultiple</w:t>
      </w:r>
      <w:r w:rsidRPr="002418D1">
        <w:rPr>
          <w:rFonts w:eastAsia="Batang"/>
          <w:b/>
          <w:iCs/>
          <w:szCs w:val="22"/>
          <w:lang w:val="en-US" w:eastAsia="ko-KR"/>
        </w:rPr>
        <w:t xml:space="preserve"> TCI codepoints are activated by MAC CE, the TCI state(s) for </w:t>
      </w:r>
      <w:r w:rsidR="00BF084F">
        <w:rPr>
          <w:rFonts w:eastAsia="Batang"/>
          <w:b/>
          <w:iCs/>
          <w:szCs w:val="22"/>
          <w:lang w:val="en-US" w:eastAsia="ko-KR"/>
        </w:rPr>
        <w:t xml:space="preserve">one of the </w:t>
      </w:r>
      <w:r w:rsidRPr="002418D1">
        <w:rPr>
          <w:rFonts w:eastAsia="Batang"/>
          <w:b/>
          <w:iCs/>
          <w:szCs w:val="22"/>
          <w:lang w:val="en-US" w:eastAsia="ko-KR"/>
        </w:rPr>
        <w:t>codepoint</w:t>
      </w:r>
      <w:r w:rsidR="00BF084F">
        <w:rPr>
          <w:rFonts w:eastAsia="Batang"/>
          <w:b/>
          <w:iCs/>
          <w:szCs w:val="22"/>
          <w:lang w:val="en-US" w:eastAsia="ko-KR"/>
        </w:rPr>
        <w:t>s</w:t>
      </w:r>
      <w:r w:rsidRPr="002418D1">
        <w:rPr>
          <w:rFonts w:eastAsia="Batang"/>
          <w:b/>
          <w:iCs/>
          <w:szCs w:val="22"/>
          <w:lang w:val="en-US" w:eastAsia="ko-KR"/>
        </w:rPr>
        <w:t xml:space="preserve"> is/are applied</w:t>
      </w:r>
      <w:r w:rsidR="00BF084F">
        <w:rPr>
          <w:rFonts w:eastAsia="Batang"/>
          <w:b/>
          <w:iCs/>
          <w:szCs w:val="22"/>
          <w:lang w:val="en-US" w:eastAsia="ko-KR"/>
        </w:rPr>
        <w:t xml:space="preserve"> directly upon activation</w:t>
      </w:r>
      <w:r>
        <w:rPr>
          <w:rFonts w:eastAsia="Batang"/>
          <w:b/>
          <w:iCs/>
          <w:szCs w:val="22"/>
          <w:lang w:val="en-US" w:eastAsia="ko-KR"/>
        </w:rPr>
        <w:t>.</w:t>
      </w:r>
    </w:p>
    <w:p w14:paraId="22A6E239" w14:textId="166EE92C" w:rsidR="00372882" w:rsidRDefault="00372882" w:rsidP="00372882">
      <w:pPr>
        <w:pStyle w:val="Heading2"/>
        <w:spacing w:before="0"/>
      </w:pPr>
      <w:r>
        <w:t>2.3 MPE</w:t>
      </w:r>
      <w:r w:rsidR="009B0D26">
        <w:t xml:space="preserve"> Mitigation</w:t>
      </w:r>
    </w:p>
    <w:p w14:paraId="448B1209" w14:textId="3262E674" w:rsidR="00161DA1" w:rsidRDefault="00161DA1" w:rsidP="00FC53EC">
      <w:pPr>
        <w:rPr>
          <w:rFonts w:eastAsia="Batang"/>
          <w:bCs/>
          <w:iCs/>
          <w:szCs w:val="22"/>
          <w:lang w:val="en-US" w:eastAsia="ko-KR"/>
        </w:rPr>
      </w:pPr>
      <w:r>
        <w:rPr>
          <w:rFonts w:eastAsia="Batang"/>
          <w:bCs/>
          <w:iCs/>
          <w:szCs w:val="22"/>
          <w:lang w:val="en-US" w:eastAsia="ko-KR"/>
        </w:rPr>
        <w:t>In RAN1#104</w:t>
      </w:r>
      <w:r w:rsidR="0051399B">
        <w:rPr>
          <w:rFonts w:eastAsia="Batang"/>
          <w:bCs/>
          <w:iCs/>
          <w:szCs w:val="22"/>
          <w:lang w:val="en-US" w:eastAsia="ko-KR"/>
        </w:rPr>
        <w:t>b</w:t>
      </w:r>
      <w:r>
        <w:rPr>
          <w:rFonts w:eastAsia="Batang"/>
          <w:bCs/>
          <w:iCs/>
          <w:szCs w:val="22"/>
          <w:lang w:val="en-US" w:eastAsia="ko-KR"/>
        </w:rPr>
        <w:t>-e, the following was agreed.</w:t>
      </w:r>
    </w:p>
    <w:tbl>
      <w:tblPr>
        <w:tblStyle w:val="TableGrid"/>
        <w:tblW w:w="0" w:type="auto"/>
        <w:tblLook w:val="04A0" w:firstRow="1" w:lastRow="0" w:firstColumn="1" w:lastColumn="0" w:noHBand="0" w:noVBand="1"/>
      </w:tblPr>
      <w:tblGrid>
        <w:gridCol w:w="9855"/>
      </w:tblGrid>
      <w:tr w:rsidR="00161DA1" w14:paraId="7DE7AC8C" w14:textId="77777777" w:rsidTr="00161DA1">
        <w:tc>
          <w:tcPr>
            <w:tcW w:w="9855" w:type="dxa"/>
          </w:tcPr>
          <w:p w14:paraId="2C85B1F0" w14:textId="77777777" w:rsidR="00B562BC" w:rsidRPr="00837EC8" w:rsidRDefault="00B562BC" w:rsidP="00B562BC">
            <w:pPr>
              <w:wordWrap w:val="0"/>
              <w:rPr>
                <w:rFonts w:cs="Times"/>
                <w:b/>
                <w:bCs/>
                <w:szCs w:val="22"/>
                <w:lang w:val="en-US" w:eastAsia="ko-KR"/>
              </w:rPr>
            </w:pPr>
            <w:r w:rsidRPr="00837EC8">
              <w:rPr>
                <w:rFonts w:cs="Times"/>
                <w:b/>
                <w:bCs/>
                <w:szCs w:val="22"/>
                <w:highlight w:val="green"/>
              </w:rPr>
              <w:t>Agreement</w:t>
            </w:r>
          </w:p>
          <w:p w14:paraId="20081470" w14:textId="77777777" w:rsidR="00B562BC" w:rsidRPr="00837EC8" w:rsidRDefault="00B562BC" w:rsidP="00B562BC">
            <w:pPr>
              <w:snapToGrid w:val="0"/>
              <w:rPr>
                <w:rFonts w:cs="Times"/>
                <w:szCs w:val="22"/>
                <w:lang w:eastAsia="zh-CN"/>
              </w:rPr>
            </w:pPr>
            <w:r w:rsidRPr="00837EC8">
              <w:rPr>
                <w:rFonts w:cs="Times"/>
                <w:szCs w:val="22"/>
                <w:lang w:eastAsia="zh-CN"/>
              </w:rPr>
              <w:t>On Rel.17 enhancements to facilitate MPE mitigation, in RAN1#105-e, further discuss to down-select at least one or combine from the following options:</w:t>
            </w:r>
          </w:p>
          <w:p w14:paraId="7104D4C4" w14:textId="77777777" w:rsidR="00B562BC" w:rsidRPr="00837EC8" w:rsidRDefault="00B562BC" w:rsidP="00B562BC">
            <w:pPr>
              <w:pStyle w:val="ListParagraph"/>
              <w:numPr>
                <w:ilvl w:val="0"/>
                <w:numId w:val="33"/>
              </w:numPr>
              <w:snapToGrid w:val="0"/>
              <w:spacing w:before="0" w:line="240" w:lineRule="auto"/>
              <w:rPr>
                <w:rFonts w:cs="Times"/>
                <w:szCs w:val="22"/>
                <w:lang w:eastAsia="zh-CN"/>
              </w:rPr>
            </w:pPr>
            <w:r w:rsidRPr="00837EC8">
              <w:rPr>
                <w:rFonts w:cs="Times"/>
                <w:szCs w:val="22"/>
                <w:lang w:eastAsia="zh-CN"/>
              </w:rPr>
              <w:t xml:space="preserve">Opt 1A. {Rel.16 P-MPR based (beam/panel-level)} + Virtual PHR or a modified version </w:t>
            </w:r>
          </w:p>
          <w:p w14:paraId="6163595D" w14:textId="77777777" w:rsidR="00B562BC" w:rsidRPr="00837EC8" w:rsidRDefault="00B562BC" w:rsidP="00B562BC">
            <w:pPr>
              <w:pStyle w:val="ListParagraph"/>
              <w:numPr>
                <w:ilvl w:val="1"/>
                <w:numId w:val="33"/>
              </w:numPr>
              <w:snapToGrid w:val="0"/>
              <w:spacing w:before="0" w:line="240" w:lineRule="auto"/>
              <w:rPr>
                <w:rFonts w:cs="Times"/>
                <w:szCs w:val="22"/>
                <w:lang w:eastAsia="zh-CN"/>
              </w:rPr>
            </w:pPr>
            <w:r w:rsidRPr="00837EC8">
              <w:rPr>
                <w:rFonts w:cs="Times"/>
                <w:szCs w:val="22"/>
                <w:lang w:eastAsia="zh-CN"/>
              </w:rPr>
              <w:t>The modified version may be associated with each activated UL TCI or, if applicable, joint TCI, or associated with each of the reported SSBRI(s)/CRI(s) and/or panel indication (if configured) from candidate pool, if reported.</w:t>
            </w:r>
          </w:p>
          <w:p w14:paraId="3B682FDC" w14:textId="77777777" w:rsidR="00B562BC" w:rsidRPr="00837EC8" w:rsidRDefault="00B562BC" w:rsidP="00B562BC">
            <w:pPr>
              <w:pStyle w:val="ListParagraph"/>
              <w:numPr>
                <w:ilvl w:val="1"/>
                <w:numId w:val="33"/>
              </w:numPr>
              <w:snapToGrid w:val="0"/>
              <w:spacing w:before="0" w:line="240" w:lineRule="auto"/>
              <w:rPr>
                <w:rFonts w:cs="Times"/>
                <w:szCs w:val="22"/>
                <w:lang w:eastAsia="zh-CN"/>
              </w:rPr>
            </w:pPr>
            <w:r w:rsidRPr="00837EC8">
              <w:rPr>
                <w:rFonts w:cs="Times"/>
                <w:szCs w:val="22"/>
                <w:lang w:eastAsia="zh-CN"/>
              </w:rPr>
              <w:t>The reporting reuses the event-driven mechanisms from the Rel-16 P-MPR reporting</w:t>
            </w:r>
          </w:p>
          <w:p w14:paraId="2700D40E" w14:textId="77777777" w:rsidR="00B562BC" w:rsidRPr="00837EC8" w:rsidRDefault="00B562BC" w:rsidP="00B562BC">
            <w:pPr>
              <w:pStyle w:val="ListParagraph"/>
              <w:numPr>
                <w:ilvl w:val="1"/>
                <w:numId w:val="33"/>
              </w:numPr>
              <w:snapToGrid w:val="0"/>
              <w:spacing w:before="0" w:line="240" w:lineRule="auto"/>
              <w:rPr>
                <w:rFonts w:cs="Times"/>
                <w:szCs w:val="22"/>
                <w:lang w:eastAsia="zh-CN"/>
              </w:rPr>
            </w:pPr>
            <w:r w:rsidRPr="00837EC8">
              <w:rPr>
                <w:rFonts w:cs="Times"/>
                <w:szCs w:val="22"/>
                <w:lang w:eastAsia="zh-CN"/>
              </w:rPr>
              <w:t>FFS: how to determine the virtual PHR or the modified version.</w:t>
            </w:r>
          </w:p>
          <w:p w14:paraId="65D3DB59" w14:textId="77777777" w:rsidR="00B562BC" w:rsidRPr="00837EC8" w:rsidRDefault="00B562BC" w:rsidP="00B562BC">
            <w:pPr>
              <w:pStyle w:val="ListParagraph"/>
              <w:numPr>
                <w:ilvl w:val="0"/>
                <w:numId w:val="33"/>
              </w:numPr>
              <w:snapToGrid w:val="0"/>
              <w:spacing w:before="0" w:line="240" w:lineRule="auto"/>
              <w:rPr>
                <w:rFonts w:cs="Times"/>
                <w:szCs w:val="22"/>
                <w:lang w:eastAsia="zh-CN"/>
              </w:rPr>
            </w:pPr>
            <w:r w:rsidRPr="00837EC8">
              <w:rPr>
                <w:rFonts w:cs="Times"/>
                <w:szCs w:val="22"/>
                <w:lang w:eastAsia="zh-CN"/>
              </w:rPr>
              <w:t>Opt 1D. {Rel.16 P-MPR based (beam/panel-level)}</w:t>
            </w:r>
          </w:p>
          <w:p w14:paraId="0B92E35D" w14:textId="77777777" w:rsidR="00B562BC" w:rsidRPr="00837EC8" w:rsidRDefault="00B562BC" w:rsidP="00B562BC">
            <w:pPr>
              <w:pStyle w:val="ListParagraph"/>
              <w:numPr>
                <w:ilvl w:val="1"/>
                <w:numId w:val="33"/>
              </w:numPr>
              <w:snapToGrid w:val="0"/>
              <w:spacing w:before="0" w:line="240" w:lineRule="auto"/>
              <w:rPr>
                <w:rFonts w:cs="Times"/>
                <w:szCs w:val="22"/>
                <w:lang w:eastAsia="zh-CN"/>
              </w:rPr>
            </w:pPr>
            <w:r w:rsidRPr="00837EC8">
              <w:rPr>
                <w:rFonts w:cs="Times"/>
                <w:szCs w:val="22"/>
                <w:lang w:eastAsia="zh-CN"/>
              </w:rPr>
              <w:t>The reporting reuses the event-driven mechanisms from the Rel-16 P-MPR reporting</w:t>
            </w:r>
          </w:p>
          <w:p w14:paraId="1D292E32" w14:textId="77777777" w:rsidR="00B562BC" w:rsidRPr="00837EC8" w:rsidRDefault="00B562BC" w:rsidP="00B562BC">
            <w:pPr>
              <w:pStyle w:val="ListParagraph"/>
              <w:numPr>
                <w:ilvl w:val="0"/>
                <w:numId w:val="33"/>
              </w:numPr>
              <w:snapToGrid w:val="0"/>
              <w:spacing w:before="0" w:line="240" w:lineRule="auto"/>
              <w:rPr>
                <w:rFonts w:cs="Times"/>
                <w:szCs w:val="22"/>
                <w:lang w:eastAsia="zh-CN"/>
              </w:rPr>
            </w:pPr>
            <w:r w:rsidRPr="00837EC8">
              <w:rPr>
                <w:rFonts w:cs="Times"/>
                <w:szCs w:val="22"/>
                <w:lang w:eastAsia="zh-CN"/>
              </w:rPr>
              <w:t>Opt 2A. {SSBRI(s)/CRI(s) and/or panel indication} + L1-RSRP [L1-SINR] or a modified version that accounts for MPE effect associated with each of the reported SSBRI(s)/CRI(s) and/or panel indication (if configured)</w:t>
            </w:r>
          </w:p>
          <w:p w14:paraId="4FDDEB9C" w14:textId="77777777" w:rsidR="00B562BC" w:rsidRPr="00837EC8" w:rsidRDefault="00B562BC" w:rsidP="00B562BC">
            <w:pPr>
              <w:pStyle w:val="ListParagraph"/>
              <w:numPr>
                <w:ilvl w:val="1"/>
                <w:numId w:val="34"/>
              </w:numPr>
              <w:snapToGrid w:val="0"/>
              <w:spacing w:before="0" w:line="240" w:lineRule="auto"/>
              <w:jc w:val="left"/>
              <w:rPr>
                <w:rFonts w:cs="Times"/>
                <w:szCs w:val="22"/>
                <w:lang w:eastAsia="zh-CN"/>
              </w:rPr>
            </w:pPr>
            <w:r w:rsidRPr="00837EC8">
              <w:rPr>
                <w:rFonts w:cs="Times"/>
                <w:szCs w:val="22"/>
                <w:lang w:eastAsia="zh-CN"/>
              </w:rPr>
              <w:t>FFS: How panel-level L1-RSRP [L1-SINR] is reported if L1-RSRP [L1-SINR] is associated with panel</w:t>
            </w:r>
          </w:p>
          <w:p w14:paraId="0FA4A966" w14:textId="77777777" w:rsidR="00B562BC" w:rsidRPr="00837EC8" w:rsidRDefault="00B562BC" w:rsidP="00B562BC">
            <w:pPr>
              <w:pStyle w:val="ListParagraph"/>
              <w:numPr>
                <w:ilvl w:val="1"/>
                <w:numId w:val="34"/>
              </w:numPr>
              <w:snapToGrid w:val="0"/>
              <w:spacing w:before="0" w:line="240" w:lineRule="auto"/>
              <w:jc w:val="left"/>
              <w:rPr>
                <w:rFonts w:cs="Times"/>
                <w:szCs w:val="22"/>
                <w:lang w:eastAsia="zh-CN"/>
              </w:rPr>
            </w:pPr>
            <w:r w:rsidRPr="00837EC8">
              <w:rPr>
                <w:rFonts w:cs="Times"/>
                <w:szCs w:val="22"/>
                <w:lang w:eastAsia="zh-CN"/>
              </w:rPr>
              <w:t>FFS: Whether/how to account for MPE effect in L1-RSRP [L1-SINR] report, e.g. by using scaled L1-RSRP [L1-SINR]</w:t>
            </w:r>
          </w:p>
          <w:p w14:paraId="3B036CD8" w14:textId="77777777" w:rsidR="00B562BC" w:rsidRPr="00837EC8" w:rsidRDefault="00B562BC" w:rsidP="00B562BC">
            <w:pPr>
              <w:pStyle w:val="ListParagraph"/>
              <w:numPr>
                <w:ilvl w:val="1"/>
                <w:numId w:val="33"/>
              </w:numPr>
              <w:snapToGrid w:val="0"/>
              <w:spacing w:before="0" w:line="240" w:lineRule="auto"/>
              <w:rPr>
                <w:rFonts w:cs="Times"/>
                <w:szCs w:val="22"/>
                <w:lang w:eastAsia="zh-CN"/>
              </w:rPr>
            </w:pPr>
            <w:r w:rsidRPr="00837EC8">
              <w:rPr>
                <w:rFonts w:cs="Times"/>
                <w:szCs w:val="22"/>
                <w:lang w:eastAsia="zh-CN"/>
              </w:rPr>
              <w:t>FFS: Whether/how to enhance existing beam reporting format to support Option 2A</w:t>
            </w:r>
          </w:p>
          <w:p w14:paraId="0D737C8E" w14:textId="77777777" w:rsidR="00B562BC" w:rsidRPr="00837EC8" w:rsidRDefault="00B562BC" w:rsidP="00B562BC">
            <w:pPr>
              <w:pStyle w:val="ListParagraph"/>
              <w:numPr>
                <w:ilvl w:val="1"/>
                <w:numId w:val="33"/>
              </w:numPr>
              <w:snapToGrid w:val="0"/>
              <w:spacing w:before="0" w:line="240" w:lineRule="auto"/>
              <w:rPr>
                <w:rFonts w:cs="Times"/>
                <w:szCs w:val="22"/>
                <w:lang w:eastAsia="zh-CN"/>
              </w:rPr>
            </w:pPr>
            <w:r w:rsidRPr="00837EC8">
              <w:rPr>
                <w:rFonts w:cs="Times"/>
                <w:szCs w:val="22"/>
                <w:lang w:eastAsia="zh-CN"/>
              </w:rPr>
              <w:t>FFS: When multiple SSBRIs/CRIs and their corresponding metrics are reported in the same reporting instance, whether to allow mixture between the SSBRI(s)/CRI(s</w:t>
            </w:r>
            <w:r w:rsidRPr="00837EC8">
              <w:rPr>
                <w:rFonts w:cs="Times"/>
                <w:szCs w:val="22"/>
                <w:lang w:eastAsia="zh-TW"/>
              </w:rPr>
              <w:t>)</w:t>
            </w:r>
            <w:r w:rsidRPr="00837EC8">
              <w:rPr>
                <w:rFonts w:cs="Times"/>
                <w:szCs w:val="22"/>
                <w:lang w:eastAsia="zh-CN"/>
              </w:rPr>
              <w:t xml:space="preserve">) intended for MPE mitigation and for DL beam reporting </w:t>
            </w:r>
          </w:p>
          <w:p w14:paraId="227DFE26" w14:textId="77777777" w:rsidR="00B562BC" w:rsidRPr="00837EC8" w:rsidRDefault="00B562BC" w:rsidP="00B562BC">
            <w:pPr>
              <w:pStyle w:val="ListParagraph"/>
              <w:numPr>
                <w:ilvl w:val="1"/>
                <w:numId w:val="33"/>
              </w:numPr>
              <w:snapToGrid w:val="0"/>
              <w:spacing w:before="0" w:line="240" w:lineRule="auto"/>
              <w:rPr>
                <w:rFonts w:cs="Times"/>
                <w:szCs w:val="22"/>
                <w:lang w:eastAsia="zh-CN"/>
              </w:rPr>
            </w:pPr>
            <w:r w:rsidRPr="00837EC8">
              <w:rPr>
                <w:rFonts w:cs="Times"/>
                <w:szCs w:val="22"/>
                <w:lang w:eastAsia="zh-CN"/>
              </w:rPr>
              <w:t>FFS: Whether the reporting is UE-initiated (event-driven) and/or NW-initiated</w:t>
            </w:r>
          </w:p>
          <w:p w14:paraId="568BB1E0" w14:textId="77777777" w:rsidR="00B562BC" w:rsidRPr="00837EC8" w:rsidRDefault="00B562BC" w:rsidP="00B562BC">
            <w:pPr>
              <w:pStyle w:val="ListParagraph"/>
              <w:numPr>
                <w:ilvl w:val="1"/>
                <w:numId w:val="33"/>
              </w:numPr>
              <w:snapToGrid w:val="0"/>
              <w:spacing w:before="0" w:line="240" w:lineRule="auto"/>
              <w:rPr>
                <w:rFonts w:cs="Times"/>
                <w:szCs w:val="22"/>
                <w:lang w:eastAsia="zh-CN"/>
              </w:rPr>
            </w:pPr>
            <w:r w:rsidRPr="00837EC8">
              <w:rPr>
                <w:rFonts w:cs="Times"/>
                <w:szCs w:val="22"/>
                <w:lang w:eastAsia="zh-CN"/>
              </w:rPr>
              <w:lastRenderedPageBreak/>
              <w:t>FFS: If Opt2A is selected and there is no consensus on a modified L1-RSRP definition, at least the Rel-15 L1-RSRP definition is reused and virtual PHR may be added</w:t>
            </w:r>
          </w:p>
          <w:p w14:paraId="4833AF72" w14:textId="77777777" w:rsidR="00B562BC" w:rsidRPr="00837EC8" w:rsidRDefault="00B562BC" w:rsidP="00B562BC">
            <w:pPr>
              <w:snapToGrid w:val="0"/>
              <w:rPr>
                <w:rFonts w:cs="Times"/>
                <w:szCs w:val="22"/>
                <w:lang w:eastAsia="ko-KR"/>
              </w:rPr>
            </w:pPr>
            <w:r w:rsidRPr="00837EC8">
              <w:rPr>
                <w:rFonts w:cs="Times"/>
                <w:szCs w:val="22"/>
              </w:rPr>
              <w:t xml:space="preserve">FFS: If gNB </w:t>
            </w:r>
            <w:r w:rsidRPr="00837EC8">
              <w:rPr>
                <w:rFonts w:cs="Times"/>
                <w:szCs w:val="22"/>
                <w:lang w:eastAsia="zh-CN"/>
              </w:rPr>
              <w:t xml:space="preserve">acknowledges MPE report from UE for UE-initiated (event-driven) reporting </w:t>
            </w:r>
          </w:p>
          <w:p w14:paraId="01DE96CA" w14:textId="77777777" w:rsidR="00B562BC" w:rsidRPr="00837EC8" w:rsidRDefault="00B562BC" w:rsidP="00B562BC">
            <w:pPr>
              <w:snapToGrid w:val="0"/>
              <w:rPr>
                <w:rFonts w:cs="Times"/>
                <w:szCs w:val="22"/>
              </w:rPr>
            </w:pPr>
            <w:r w:rsidRPr="00837EC8">
              <w:rPr>
                <w:rFonts w:cs="Times"/>
                <w:szCs w:val="22"/>
              </w:rPr>
              <w:t>FFS: If differential report is supported when multiple UL beams are reported in the same report</w:t>
            </w:r>
          </w:p>
          <w:p w14:paraId="4F25F2FD" w14:textId="77777777" w:rsidR="00161DA1" w:rsidRDefault="00161DA1" w:rsidP="00FC53EC">
            <w:pPr>
              <w:rPr>
                <w:rFonts w:eastAsia="Batang"/>
                <w:bCs/>
                <w:iCs/>
                <w:szCs w:val="22"/>
                <w:lang w:val="en-US" w:eastAsia="ko-KR"/>
              </w:rPr>
            </w:pPr>
          </w:p>
        </w:tc>
      </w:tr>
    </w:tbl>
    <w:p w14:paraId="02B7E8DE" w14:textId="6F205428" w:rsidR="009B0D26" w:rsidRDefault="009B0D26" w:rsidP="00FC53EC">
      <w:pPr>
        <w:rPr>
          <w:rFonts w:eastAsia="Batang"/>
          <w:bCs/>
          <w:iCs/>
          <w:szCs w:val="22"/>
          <w:lang w:val="en-US" w:eastAsia="ko-KR"/>
        </w:rPr>
      </w:pPr>
      <w:r>
        <w:rPr>
          <w:rFonts w:eastAsia="Batang"/>
          <w:bCs/>
          <w:iCs/>
          <w:szCs w:val="22"/>
          <w:lang w:val="en-US" w:eastAsia="ko-KR"/>
        </w:rPr>
        <w:lastRenderedPageBreak/>
        <w:t>An MPE event may affect a sub-set of the beams, which means that some beams may be unaffected while other beams require significant power reduction. Hence, it is important for UL beam selection that a UE that experiences MPE can indicate how different beams are affected by the MPE event. This can be achieved by including a beam-level virtual PHR in a reporting instance, where the PHR takes the MPE-related power reduction into account.</w:t>
      </w:r>
      <w:r w:rsidR="00937344">
        <w:rPr>
          <w:rFonts w:eastAsia="Batang"/>
          <w:bCs/>
          <w:iCs/>
          <w:szCs w:val="22"/>
          <w:lang w:val="en-US" w:eastAsia="ko-KR"/>
        </w:rPr>
        <w:t xml:space="preserve"> Note that a reported PHR can be negative.</w:t>
      </w:r>
      <w:r w:rsidR="00E327E9">
        <w:rPr>
          <w:rFonts w:eastAsia="Batang"/>
          <w:bCs/>
          <w:iCs/>
          <w:szCs w:val="22"/>
          <w:lang w:val="en-US" w:eastAsia="ko-KR"/>
        </w:rPr>
        <w:t xml:space="preserve"> Hence, our preference is Option </w:t>
      </w:r>
      <w:r w:rsidR="00B562BC">
        <w:rPr>
          <w:rFonts w:eastAsia="Batang"/>
          <w:bCs/>
          <w:iCs/>
          <w:szCs w:val="22"/>
          <w:lang w:val="en-US" w:eastAsia="ko-KR"/>
        </w:rPr>
        <w:t>1A</w:t>
      </w:r>
      <w:r w:rsidR="00E327E9">
        <w:rPr>
          <w:rFonts w:eastAsia="Batang"/>
          <w:bCs/>
          <w:iCs/>
          <w:szCs w:val="22"/>
          <w:lang w:val="en-US" w:eastAsia="ko-KR"/>
        </w:rPr>
        <w:t>.</w:t>
      </w:r>
    </w:p>
    <w:p w14:paraId="63A7991E" w14:textId="78B9853C" w:rsidR="009B0D26" w:rsidRPr="00FC53EC" w:rsidRDefault="00E327E9" w:rsidP="00FC53EC">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1</w:t>
      </w:r>
      <w:r w:rsidR="00FE25A0">
        <w:rPr>
          <w:rFonts w:eastAsia="Batang"/>
          <w:b/>
          <w:i/>
          <w:szCs w:val="22"/>
          <w:lang w:val="en-US" w:eastAsia="ko-KR"/>
        </w:rPr>
        <w:t>0</w:t>
      </w:r>
      <w:r w:rsidRPr="00C826B7">
        <w:rPr>
          <w:rFonts w:eastAsia="Batang"/>
          <w:b/>
          <w:i/>
          <w:szCs w:val="22"/>
          <w:lang w:val="en-US" w:eastAsia="ko-KR"/>
        </w:rPr>
        <w:t xml:space="preserve">: </w:t>
      </w:r>
      <w:r w:rsidR="00046D20">
        <w:rPr>
          <w:rFonts w:eastAsia="Batang"/>
          <w:b/>
          <w:iCs/>
          <w:szCs w:val="22"/>
          <w:lang w:val="en-US" w:eastAsia="ko-KR"/>
        </w:rPr>
        <w:t xml:space="preserve">Support option </w:t>
      </w:r>
      <w:r w:rsidR="00B562BC">
        <w:rPr>
          <w:rFonts w:eastAsia="Batang"/>
          <w:b/>
          <w:iCs/>
          <w:szCs w:val="22"/>
          <w:lang w:val="en-US" w:eastAsia="ko-KR"/>
        </w:rPr>
        <w:t>1A (beam-level)</w:t>
      </w:r>
      <w:r w:rsidR="00E644DE">
        <w:rPr>
          <w:rFonts w:eastAsia="Batang"/>
          <w:b/>
          <w:iCs/>
          <w:szCs w:val="22"/>
          <w:lang w:val="en-US" w:eastAsia="ko-KR"/>
        </w:rPr>
        <w:t>.</w:t>
      </w:r>
    </w:p>
    <w:p w14:paraId="5C10EE21" w14:textId="469BC2C7" w:rsidR="00065F7D" w:rsidRDefault="005D20F1" w:rsidP="00C62BEE">
      <w:pPr>
        <w:pStyle w:val="Heading1"/>
        <w:spacing w:after="120"/>
      </w:pPr>
      <w:r w:rsidRPr="000D37D3">
        <w:t>Conclusion</w:t>
      </w:r>
    </w:p>
    <w:p w14:paraId="314C2368" w14:textId="0A1A2387" w:rsidR="002D3345" w:rsidRDefault="005D665C" w:rsidP="002020DF">
      <w:pPr>
        <w:rPr>
          <w:rFonts w:eastAsia="Batang"/>
          <w:bCs/>
          <w:iCs/>
          <w:lang w:val="en-US" w:eastAsia="ko-KR"/>
        </w:rPr>
      </w:pPr>
      <w:r w:rsidRPr="005D665C">
        <w:t xml:space="preserve">In this contribution, we considered aspects of </w:t>
      </w:r>
      <w:r w:rsidR="00320307">
        <w:t>multi-beam operation</w:t>
      </w:r>
      <w:r w:rsidRPr="005D665C">
        <w:t xml:space="preserve"> </w:t>
      </w:r>
      <w:r w:rsidR="00203BC3">
        <w:t>enhancement</w:t>
      </w:r>
      <w:r w:rsidRPr="005D665C">
        <w:t xml:space="preserve">. </w:t>
      </w:r>
      <w:r w:rsidRPr="002020DF">
        <w:rPr>
          <w:rFonts w:eastAsia="Batang"/>
          <w:lang w:val="en-US" w:eastAsia="ko-KR"/>
        </w:rPr>
        <w:t>W</w:t>
      </w:r>
      <w:r w:rsidR="002D3345" w:rsidRPr="002020DF">
        <w:rPr>
          <w:rFonts w:eastAsia="Batang"/>
          <w:lang w:val="en-US" w:eastAsia="ko-KR"/>
        </w:rPr>
        <w:t>e have the following proposals</w:t>
      </w:r>
      <w:r w:rsidR="002D3345" w:rsidRPr="002020DF">
        <w:rPr>
          <w:rFonts w:eastAsia="Batang"/>
          <w:bCs/>
          <w:iCs/>
          <w:lang w:val="en-US" w:eastAsia="ko-KR"/>
        </w:rPr>
        <w:t xml:space="preserve">: </w:t>
      </w:r>
    </w:p>
    <w:p w14:paraId="29C73C4A" w14:textId="5B60AAE3" w:rsidR="00873F8D" w:rsidRDefault="00873F8D" w:rsidP="00873F8D">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1</w:t>
      </w:r>
      <w:r w:rsidRPr="00C826B7">
        <w:rPr>
          <w:rFonts w:eastAsia="Batang"/>
          <w:b/>
          <w:i/>
          <w:szCs w:val="22"/>
          <w:lang w:val="en-US" w:eastAsia="ko-KR"/>
        </w:rPr>
        <w:t xml:space="preserve">: </w:t>
      </w:r>
      <w:r w:rsidRPr="0013405D">
        <w:rPr>
          <w:rFonts w:eastAsia="Batang"/>
          <w:b/>
          <w:szCs w:val="22"/>
          <w:lang w:val="en-US" w:eastAsia="ko-KR"/>
        </w:rPr>
        <w:t>CSI-RS resource for CSI</w:t>
      </w:r>
      <w:r>
        <w:rPr>
          <w:rFonts w:eastAsia="Batang"/>
          <w:b/>
          <w:szCs w:val="22"/>
          <w:lang w:val="en-US" w:eastAsia="ko-KR"/>
        </w:rPr>
        <w:t xml:space="preserve"> </w:t>
      </w:r>
      <w:r w:rsidRPr="00787B7D">
        <w:rPr>
          <w:rFonts w:eastAsia="Batang"/>
          <w:b/>
          <w:szCs w:val="22"/>
          <w:lang w:val="en-US" w:eastAsia="ko-KR"/>
        </w:rPr>
        <w:t>can share the same indicated Rel-17 TCI state as UE-dedicated reception on PDSCH and for UE-dedicated reception on all or subset of CORESETs in a CC</w:t>
      </w:r>
      <w:r>
        <w:rPr>
          <w:rFonts w:eastAsia="Batang"/>
          <w:b/>
          <w:szCs w:val="22"/>
          <w:lang w:val="en-US" w:eastAsia="ko-KR"/>
        </w:rPr>
        <w:t>.</w:t>
      </w:r>
    </w:p>
    <w:p w14:paraId="5A09E2F4" w14:textId="77777777" w:rsidR="00873F8D" w:rsidRDefault="00873F8D" w:rsidP="00873F8D">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2</w:t>
      </w:r>
      <w:r w:rsidRPr="00C826B7">
        <w:rPr>
          <w:rFonts w:eastAsia="Batang"/>
          <w:b/>
          <w:i/>
          <w:szCs w:val="22"/>
          <w:lang w:val="en-US" w:eastAsia="ko-KR"/>
        </w:rPr>
        <w:t xml:space="preserve">: </w:t>
      </w:r>
      <w:r>
        <w:rPr>
          <w:rFonts w:eastAsia="Batang"/>
          <w:b/>
          <w:szCs w:val="22"/>
          <w:lang w:val="en-US" w:eastAsia="ko-KR"/>
        </w:rPr>
        <w:t xml:space="preserve">Support Alt1: </w:t>
      </w:r>
      <w:r w:rsidRPr="00C26390">
        <w:rPr>
          <w:rFonts w:eastAsia="Batang"/>
          <w:b/>
          <w:szCs w:val="22"/>
          <w:lang w:val="en-US" w:eastAsia="ko-KR"/>
        </w:rPr>
        <w:t>Rel-15/16 TCI state update signaling/configuration mechanism(s) are reused to update/configure the Rel-17 TCI state</w:t>
      </w:r>
      <w:r>
        <w:rPr>
          <w:rFonts w:eastAsia="Batang"/>
          <w:b/>
          <w:szCs w:val="22"/>
          <w:lang w:val="en-US" w:eastAsia="ko-KR"/>
        </w:rPr>
        <w:t>.</w:t>
      </w:r>
    </w:p>
    <w:p w14:paraId="2C09A3C1" w14:textId="77777777" w:rsidR="00873F8D" w:rsidRDefault="00873F8D" w:rsidP="00873F8D">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3</w:t>
      </w:r>
      <w:r w:rsidRPr="00C826B7">
        <w:rPr>
          <w:rFonts w:eastAsia="Batang"/>
          <w:b/>
          <w:i/>
          <w:szCs w:val="22"/>
          <w:lang w:val="en-US" w:eastAsia="ko-KR"/>
        </w:rPr>
        <w:t xml:space="preserve">: </w:t>
      </w:r>
      <w:r>
        <w:rPr>
          <w:rFonts w:eastAsia="Batang"/>
          <w:b/>
          <w:szCs w:val="22"/>
          <w:lang w:val="en-US" w:eastAsia="ko-KR"/>
        </w:rPr>
        <w:t>Support M=1 and N=1 in Rel-17.</w:t>
      </w:r>
    </w:p>
    <w:p w14:paraId="75F202F2" w14:textId="77777777" w:rsidR="00873F8D" w:rsidRPr="00004BBC" w:rsidRDefault="00873F8D" w:rsidP="00873F8D">
      <w:pPr>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4</w:t>
      </w:r>
      <w:r w:rsidRPr="00C826B7">
        <w:rPr>
          <w:rFonts w:eastAsia="Batang"/>
          <w:b/>
          <w:i/>
          <w:szCs w:val="22"/>
          <w:lang w:val="en-US" w:eastAsia="ko-KR"/>
        </w:rPr>
        <w:t xml:space="preserve">: </w:t>
      </w:r>
      <w:r>
        <w:rPr>
          <w:rFonts w:eastAsia="Batang"/>
          <w:b/>
          <w:iCs/>
          <w:szCs w:val="22"/>
          <w:lang w:val="en-US" w:eastAsia="ko-KR"/>
        </w:rPr>
        <w:t xml:space="preserve">For the case of </w:t>
      </w:r>
      <w:r w:rsidRPr="0033471F">
        <w:rPr>
          <w:rFonts w:eastAsia="Batang"/>
          <w:b/>
          <w:iCs/>
          <w:szCs w:val="22"/>
          <w:lang w:val="en-US" w:eastAsia="ko-KR"/>
        </w:rPr>
        <w:t>separate DL and UL TCI state update</w:t>
      </w:r>
      <w:r>
        <w:rPr>
          <w:rFonts w:eastAsia="Batang"/>
          <w:b/>
          <w:iCs/>
          <w:szCs w:val="22"/>
          <w:lang w:val="en-US" w:eastAsia="ko-KR"/>
        </w:rPr>
        <w:t xml:space="preserve">, </w:t>
      </w:r>
      <w:r w:rsidRPr="0002575E">
        <w:rPr>
          <w:rFonts w:eastAsia="Batang"/>
          <w:b/>
          <w:iCs/>
          <w:szCs w:val="22"/>
          <w:lang w:val="en-US" w:eastAsia="ko-KR"/>
        </w:rPr>
        <w:t xml:space="preserve">the UL TCI state is taken from </w:t>
      </w:r>
      <w:r>
        <w:rPr>
          <w:rFonts w:eastAsia="Batang"/>
          <w:b/>
          <w:iCs/>
          <w:szCs w:val="22"/>
          <w:lang w:val="en-US" w:eastAsia="ko-KR"/>
        </w:rPr>
        <w:t xml:space="preserve">the </w:t>
      </w:r>
      <w:r w:rsidRPr="0002575E">
        <w:rPr>
          <w:rFonts w:eastAsia="Batang"/>
          <w:b/>
          <w:iCs/>
          <w:szCs w:val="22"/>
          <w:lang w:val="en-US" w:eastAsia="ko-KR"/>
        </w:rPr>
        <w:t xml:space="preserve">same TCI state pool </w:t>
      </w:r>
      <w:r>
        <w:rPr>
          <w:rFonts w:eastAsia="Batang"/>
          <w:b/>
          <w:iCs/>
          <w:szCs w:val="22"/>
          <w:lang w:val="en-US" w:eastAsia="ko-KR"/>
        </w:rPr>
        <w:t xml:space="preserve">as the </w:t>
      </w:r>
      <w:r w:rsidRPr="0002575E">
        <w:rPr>
          <w:rFonts w:eastAsia="Batang"/>
          <w:b/>
          <w:iCs/>
          <w:szCs w:val="22"/>
          <w:lang w:val="en-US" w:eastAsia="ko-KR"/>
        </w:rPr>
        <w:t>DL TCI state</w:t>
      </w:r>
      <w:r>
        <w:rPr>
          <w:rFonts w:eastAsia="Batang"/>
          <w:b/>
          <w:iCs/>
          <w:szCs w:val="22"/>
          <w:lang w:val="en-US" w:eastAsia="ko-KR"/>
        </w:rPr>
        <w:t>. If there are two RS in the DL TCI state, the RS with QCL typeD is used as UL spatial source RS.</w:t>
      </w:r>
    </w:p>
    <w:p w14:paraId="0EE049FE" w14:textId="77777777" w:rsidR="00873F8D" w:rsidRPr="008832BB" w:rsidRDefault="00873F8D" w:rsidP="00873F8D">
      <w:pPr>
        <w:ind w:left="990" w:hanging="990"/>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5</w:t>
      </w:r>
      <w:r w:rsidRPr="00C826B7">
        <w:rPr>
          <w:rFonts w:eastAsia="Batang"/>
          <w:b/>
          <w:i/>
          <w:szCs w:val="22"/>
          <w:lang w:val="en-US" w:eastAsia="ko-KR"/>
        </w:rPr>
        <w:t xml:space="preserve">: </w:t>
      </w:r>
      <w:r>
        <w:rPr>
          <w:rFonts w:eastAsia="Batang"/>
          <w:b/>
          <w:szCs w:val="22"/>
          <w:lang w:val="en-US" w:eastAsia="ko-KR"/>
        </w:rPr>
        <w:t>S</w:t>
      </w:r>
      <w:r w:rsidRPr="00556315">
        <w:rPr>
          <w:rFonts w:eastAsia="Batang"/>
          <w:b/>
          <w:szCs w:val="22"/>
          <w:lang w:val="en-US" w:eastAsia="ko-KR"/>
        </w:rPr>
        <w:t>RS for BM can be configured as a source RS to represent a DL RX spatial filter in the unified TCI framework</w:t>
      </w:r>
      <w:r>
        <w:rPr>
          <w:rFonts w:eastAsia="Batang"/>
          <w:b/>
          <w:szCs w:val="22"/>
          <w:lang w:val="en-US" w:eastAsia="ko-KR"/>
        </w:rPr>
        <w:t>.</w:t>
      </w:r>
    </w:p>
    <w:p w14:paraId="4298C7C1" w14:textId="77777777" w:rsidR="00873F8D" w:rsidRPr="004C3F7D" w:rsidRDefault="00873F8D" w:rsidP="00873F8D">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6</w:t>
      </w:r>
      <w:r w:rsidRPr="00C826B7">
        <w:rPr>
          <w:rFonts w:eastAsia="Batang"/>
          <w:b/>
          <w:i/>
          <w:szCs w:val="22"/>
          <w:lang w:val="en-US" w:eastAsia="ko-KR"/>
        </w:rPr>
        <w:t xml:space="preserve">: </w:t>
      </w:r>
      <w:r>
        <w:rPr>
          <w:rFonts w:eastAsia="Batang"/>
          <w:b/>
          <w:iCs/>
          <w:szCs w:val="22"/>
          <w:lang w:val="en-US" w:eastAsia="ko-KR"/>
        </w:rPr>
        <w:t>T</w:t>
      </w:r>
      <w:r w:rsidRPr="005C7209">
        <w:rPr>
          <w:rFonts w:eastAsia="Batang"/>
          <w:b/>
          <w:iCs/>
          <w:szCs w:val="22"/>
          <w:lang w:val="en-US" w:eastAsia="ko-KR"/>
        </w:rPr>
        <w:t>he TCI codepoints</w:t>
      </w:r>
      <w:r>
        <w:rPr>
          <w:rFonts w:eastAsia="Batang"/>
          <w:b/>
          <w:iCs/>
          <w:szCs w:val="22"/>
          <w:lang w:val="en-US" w:eastAsia="ko-KR"/>
        </w:rPr>
        <w:t xml:space="preserve"> indicated in DCI format 1_1/1_2</w:t>
      </w:r>
      <w:r w:rsidRPr="005C7209">
        <w:rPr>
          <w:rFonts w:eastAsia="Batang"/>
          <w:b/>
          <w:iCs/>
          <w:szCs w:val="22"/>
          <w:lang w:val="en-US" w:eastAsia="ko-KR"/>
        </w:rPr>
        <w:t xml:space="preserve"> correspond to the same activated TCI states for both with and without DL assignment</w:t>
      </w:r>
      <w:r>
        <w:rPr>
          <w:rFonts w:eastAsia="Batang"/>
          <w:b/>
          <w:iCs/>
          <w:szCs w:val="22"/>
          <w:lang w:val="en-US" w:eastAsia="ko-KR"/>
        </w:rPr>
        <w:t>.</w:t>
      </w:r>
    </w:p>
    <w:p w14:paraId="3C60FC75" w14:textId="016CB671" w:rsidR="00873F8D" w:rsidRPr="004C3F7D" w:rsidRDefault="00873F8D" w:rsidP="00873F8D">
      <w:pPr>
        <w:spacing w:before="0"/>
        <w:ind w:left="990" w:hanging="990"/>
        <w:rPr>
          <w:rFonts w:eastAsia="Batang"/>
          <w:b/>
          <w:szCs w:val="22"/>
          <w:lang w:val="en-US" w:eastAsia="ko-KR"/>
        </w:rPr>
      </w:pPr>
      <w:r>
        <w:rPr>
          <w:rFonts w:eastAsia="Batang"/>
          <w:b/>
          <w:i/>
          <w:szCs w:val="22"/>
          <w:lang w:val="en-US" w:eastAsia="ko-KR"/>
        </w:rPr>
        <w:t>Observation</w:t>
      </w:r>
      <w:r w:rsidRPr="00C826B7">
        <w:rPr>
          <w:rFonts w:eastAsia="Batang"/>
          <w:b/>
          <w:i/>
          <w:szCs w:val="22"/>
          <w:lang w:val="en-US" w:eastAsia="ko-KR"/>
        </w:rPr>
        <w:t xml:space="preserve">: </w:t>
      </w:r>
      <w:r>
        <w:rPr>
          <w:rFonts w:eastAsia="Batang"/>
          <w:b/>
          <w:iCs/>
          <w:szCs w:val="22"/>
          <w:lang w:val="en-US" w:eastAsia="ko-KR"/>
        </w:rPr>
        <w:t xml:space="preserve">For a UE configured with </w:t>
      </w:r>
      <w:r w:rsidRPr="008D32E6">
        <w:rPr>
          <w:rFonts w:eastAsia="Batang"/>
          <w:b/>
          <w:iCs/>
          <w:szCs w:val="22"/>
          <w:lang w:val="en-US" w:eastAsia="ko-KR"/>
        </w:rPr>
        <w:t>separate DL/UL TCI</w:t>
      </w:r>
      <w:r>
        <w:rPr>
          <w:rFonts w:eastAsia="Batang"/>
          <w:b/>
          <w:iCs/>
          <w:szCs w:val="22"/>
          <w:lang w:val="en-US" w:eastAsia="ko-KR"/>
        </w:rPr>
        <w:t xml:space="preserve"> and for a TCI field codepoint representing a pair of DL TCI and UL TCI, the spatial source RS in the UL TCI can be the same as the QCL typeD source RS in the DL TCI.</w:t>
      </w:r>
    </w:p>
    <w:p w14:paraId="10382D31" w14:textId="77777777" w:rsidR="00873F8D" w:rsidRPr="004C3F7D" w:rsidRDefault="00873F8D" w:rsidP="00873F8D">
      <w:pPr>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7</w:t>
      </w:r>
      <w:r w:rsidRPr="00C826B7">
        <w:rPr>
          <w:rFonts w:eastAsia="Batang"/>
          <w:b/>
          <w:i/>
          <w:szCs w:val="22"/>
          <w:lang w:val="en-US" w:eastAsia="ko-KR"/>
        </w:rPr>
        <w:t xml:space="preserve">: </w:t>
      </w:r>
      <w:r>
        <w:rPr>
          <w:rFonts w:eastAsia="Batang"/>
          <w:b/>
          <w:iCs/>
          <w:szCs w:val="22"/>
          <w:lang w:val="en-US" w:eastAsia="ko-KR"/>
        </w:rPr>
        <w:t>Design and specification of one or two MAC CEs for separate DL/UL TCI and joint TCI is  up to RAN2.</w:t>
      </w:r>
    </w:p>
    <w:p w14:paraId="1E2E8759" w14:textId="77777777" w:rsidR="00873F8D" w:rsidRPr="004C3F7D" w:rsidRDefault="00873F8D" w:rsidP="00873F8D">
      <w:pPr>
        <w:spacing w:before="0"/>
        <w:ind w:left="990" w:hanging="990"/>
        <w:rPr>
          <w:rFonts w:eastAsia="Batang"/>
          <w:b/>
          <w:szCs w:val="22"/>
          <w:lang w:val="en-US" w:eastAsia="ko-KR"/>
        </w:rPr>
      </w:pPr>
      <w:r w:rsidRPr="00C826B7">
        <w:rPr>
          <w:rFonts w:eastAsia="Batang"/>
          <w:b/>
          <w:i/>
          <w:szCs w:val="22"/>
          <w:lang w:val="en-US" w:eastAsia="ko-KR"/>
        </w:rPr>
        <w:t xml:space="preserve">Proposal </w:t>
      </w:r>
      <w:r>
        <w:rPr>
          <w:rFonts w:eastAsia="Batang"/>
          <w:b/>
          <w:i/>
          <w:szCs w:val="22"/>
          <w:lang w:val="en-US" w:eastAsia="ko-KR"/>
        </w:rPr>
        <w:t>8</w:t>
      </w:r>
      <w:r w:rsidRPr="00C826B7">
        <w:rPr>
          <w:rFonts w:eastAsia="Batang"/>
          <w:b/>
          <w:i/>
          <w:szCs w:val="22"/>
          <w:lang w:val="en-US" w:eastAsia="ko-KR"/>
        </w:rPr>
        <w:t xml:space="preserve">: </w:t>
      </w:r>
      <w:r>
        <w:rPr>
          <w:rFonts w:eastAsia="Batang"/>
          <w:b/>
          <w:iCs/>
          <w:szCs w:val="22"/>
          <w:lang w:val="en-US" w:eastAsia="ko-KR"/>
        </w:rPr>
        <w:t>No further enhancement for the case with only UL data.</w:t>
      </w:r>
    </w:p>
    <w:p w14:paraId="2688B5A9" w14:textId="1FCB025B" w:rsidR="00873F8D" w:rsidRDefault="00873F8D" w:rsidP="00FB0C25">
      <w:pPr>
        <w:spacing w:before="0"/>
        <w:ind w:left="990" w:hanging="990"/>
        <w:rPr>
          <w:rFonts w:eastAsia="Batang"/>
          <w:b/>
          <w:iCs/>
          <w:szCs w:val="22"/>
          <w:lang w:val="en-US" w:eastAsia="ko-KR"/>
        </w:rPr>
      </w:pPr>
      <w:r w:rsidRPr="00C826B7">
        <w:rPr>
          <w:rFonts w:eastAsia="Batang"/>
          <w:b/>
          <w:i/>
          <w:szCs w:val="22"/>
          <w:lang w:val="en-US" w:eastAsia="ko-KR"/>
        </w:rPr>
        <w:t xml:space="preserve">Proposal </w:t>
      </w:r>
      <w:r>
        <w:rPr>
          <w:rFonts w:eastAsia="Batang"/>
          <w:b/>
          <w:i/>
          <w:szCs w:val="22"/>
          <w:lang w:val="en-US" w:eastAsia="ko-KR"/>
        </w:rPr>
        <w:t>9</w:t>
      </w:r>
      <w:r w:rsidRPr="00C826B7">
        <w:rPr>
          <w:rFonts w:eastAsia="Batang"/>
          <w:b/>
          <w:i/>
          <w:szCs w:val="22"/>
          <w:lang w:val="en-US" w:eastAsia="ko-KR"/>
        </w:rPr>
        <w:t xml:space="preserve">: </w:t>
      </w:r>
      <w:r w:rsidRPr="002418D1">
        <w:rPr>
          <w:rFonts w:eastAsia="Batang"/>
          <w:b/>
          <w:iCs/>
          <w:szCs w:val="22"/>
          <w:lang w:val="en-US" w:eastAsia="ko-KR"/>
        </w:rPr>
        <w:t>When m</w:t>
      </w:r>
      <w:r>
        <w:rPr>
          <w:rFonts w:eastAsia="Batang"/>
          <w:b/>
          <w:iCs/>
          <w:szCs w:val="22"/>
          <w:lang w:val="en-US" w:eastAsia="ko-KR"/>
        </w:rPr>
        <w:t>ultiple</w:t>
      </w:r>
      <w:r w:rsidRPr="002418D1">
        <w:rPr>
          <w:rFonts w:eastAsia="Batang"/>
          <w:b/>
          <w:iCs/>
          <w:szCs w:val="22"/>
          <w:lang w:val="en-US" w:eastAsia="ko-KR"/>
        </w:rPr>
        <w:t xml:space="preserve"> TCI codepoints are activated by MAC CE, the TCI state(s) for </w:t>
      </w:r>
      <w:r>
        <w:rPr>
          <w:rFonts w:eastAsia="Batang"/>
          <w:b/>
          <w:iCs/>
          <w:szCs w:val="22"/>
          <w:lang w:val="en-US" w:eastAsia="ko-KR"/>
        </w:rPr>
        <w:t xml:space="preserve">one of the </w:t>
      </w:r>
      <w:r w:rsidRPr="002418D1">
        <w:rPr>
          <w:rFonts w:eastAsia="Batang"/>
          <w:b/>
          <w:iCs/>
          <w:szCs w:val="22"/>
          <w:lang w:val="en-US" w:eastAsia="ko-KR"/>
        </w:rPr>
        <w:t>codepoint</w:t>
      </w:r>
      <w:r>
        <w:rPr>
          <w:rFonts w:eastAsia="Batang"/>
          <w:b/>
          <w:iCs/>
          <w:szCs w:val="22"/>
          <w:lang w:val="en-US" w:eastAsia="ko-KR"/>
        </w:rPr>
        <w:t>s</w:t>
      </w:r>
      <w:r w:rsidRPr="002418D1">
        <w:rPr>
          <w:rFonts w:eastAsia="Batang"/>
          <w:b/>
          <w:iCs/>
          <w:szCs w:val="22"/>
          <w:lang w:val="en-US" w:eastAsia="ko-KR"/>
        </w:rPr>
        <w:t xml:space="preserve"> is/are applied</w:t>
      </w:r>
      <w:r>
        <w:rPr>
          <w:rFonts w:eastAsia="Batang"/>
          <w:b/>
          <w:iCs/>
          <w:szCs w:val="22"/>
          <w:lang w:val="en-US" w:eastAsia="ko-KR"/>
        </w:rPr>
        <w:t xml:space="preserve"> directly upon activation.</w:t>
      </w:r>
    </w:p>
    <w:p w14:paraId="4A2610FC" w14:textId="40CA28C9" w:rsidR="00FB0C25" w:rsidRPr="00FB0C25" w:rsidRDefault="00FB0C25" w:rsidP="00FB0C25">
      <w:pPr>
        <w:rPr>
          <w:rFonts w:eastAsia="Batang"/>
          <w:lang w:val="en-US" w:eastAsia="ko-KR"/>
        </w:rPr>
      </w:pPr>
      <w:r w:rsidRPr="00C826B7">
        <w:rPr>
          <w:rFonts w:eastAsia="Batang"/>
          <w:b/>
          <w:i/>
          <w:szCs w:val="22"/>
          <w:lang w:val="en-US" w:eastAsia="ko-KR"/>
        </w:rPr>
        <w:t xml:space="preserve">Proposal </w:t>
      </w:r>
      <w:r>
        <w:rPr>
          <w:rFonts w:eastAsia="Batang"/>
          <w:b/>
          <w:i/>
          <w:szCs w:val="22"/>
          <w:lang w:val="en-US" w:eastAsia="ko-KR"/>
        </w:rPr>
        <w:t>10</w:t>
      </w:r>
      <w:r w:rsidRPr="00C826B7">
        <w:rPr>
          <w:rFonts w:eastAsia="Batang"/>
          <w:b/>
          <w:i/>
          <w:szCs w:val="22"/>
          <w:lang w:val="en-US" w:eastAsia="ko-KR"/>
        </w:rPr>
        <w:t xml:space="preserve">: </w:t>
      </w:r>
      <w:r>
        <w:rPr>
          <w:rFonts w:eastAsia="Batang"/>
          <w:b/>
          <w:iCs/>
          <w:szCs w:val="22"/>
          <w:lang w:val="en-US" w:eastAsia="ko-KR"/>
        </w:rPr>
        <w:t>Support option 1A (beam-level).</w:t>
      </w:r>
    </w:p>
    <w:p w14:paraId="2DA0C3AF" w14:textId="18544A81" w:rsidR="00A650EE" w:rsidRPr="00A650EE" w:rsidRDefault="00A650EE" w:rsidP="000D6FAC">
      <w:pPr>
        <w:pStyle w:val="Heading1"/>
        <w:spacing w:before="0" w:after="120"/>
      </w:pPr>
      <w:r w:rsidRPr="00A650EE">
        <w:t>Reference</w:t>
      </w:r>
      <w:r w:rsidR="004D29B6">
        <w:t>s</w:t>
      </w:r>
    </w:p>
    <w:p w14:paraId="3370F24E" w14:textId="05E90CC4" w:rsidR="00B17430" w:rsidRPr="00CD1E4D" w:rsidRDefault="00CB1B6A" w:rsidP="00B46F66">
      <w:pPr>
        <w:pStyle w:val="iReference"/>
        <w:numPr>
          <w:ilvl w:val="0"/>
          <w:numId w:val="5"/>
        </w:numPr>
        <w:spacing w:before="0" w:after="120"/>
        <w:rPr>
          <w:rFonts w:ascii="Times New Roman" w:eastAsia="PMingLiU" w:hAnsi="Times New Roman" w:cs="Times New Roman"/>
          <w:color w:val="000000" w:themeColor="text1"/>
          <w:sz w:val="20"/>
        </w:rPr>
      </w:pPr>
      <w:bookmarkStart w:id="0" w:name="_Ref528924709"/>
      <w:bookmarkStart w:id="1" w:name="_Ref47472804"/>
      <w:r w:rsidRPr="005E1ABD">
        <w:rPr>
          <w:rFonts w:ascii="Times New Roman" w:eastAsia="PMingLiU" w:hAnsi="Times New Roman" w:cs="Times New Roman"/>
          <w:color w:val="000000" w:themeColor="text1"/>
          <w:sz w:val="20"/>
        </w:rPr>
        <w:t>RP-</w:t>
      </w:r>
      <w:r w:rsidR="005B5FF5">
        <w:rPr>
          <w:rFonts w:ascii="Times New Roman" w:eastAsia="PMingLiU" w:hAnsi="Times New Roman" w:cs="Times New Roman"/>
          <w:color w:val="000000" w:themeColor="text1"/>
          <w:sz w:val="20"/>
        </w:rPr>
        <w:t>202024</w:t>
      </w:r>
      <w:r w:rsidR="00B05456" w:rsidRPr="005E1ABD">
        <w:rPr>
          <w:rFonts w:ascii="Times New Roman" w:eastAsia="PMingLiU" w:hAnsi="Times New Roman" w:cs="Times New Roman"/>
          <w:color w:val="000000" w:themeColor="text1"/>
          <w:sz w:val="20"/>
        </w:rPr>
        <w:t>,</w:t>
      </w:r>
      <w:r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Revised</w:t>
      </w:r>
      <w:r w:rsidR="00B17430" w:rsidRPr="00B17430">
        <w:rPr>
          <w:rFonts w:ascii="Times New Roman" w:eastAsia="PMingLiU" w:hAnsi="Times New Roman" w:cs="Times New Roman"/>
          <w:color w:val="000000" w:themeColor="text1"/>
          <w:sz w:val="20"/>
        </w:rPr>
        <w:t xml:space="preserve"> WID: Further enhancements on MIMO for NR</w:t>
      </w:r>
      <w:r w:rsidR="0008754B" w:rsidRPr="005E1ABD">
        <w:rPr>
          <w:rFonts w:ascii="Times New Roman" w:eastAsia="PMingLiU" w:hAnsi="Times New Roman" w:cs="Times New Roman"/>
          <w:color w:val="000000" w:themeColor="text1"/>
          <w:sz w:val="20"/>
        </w:rPr>
        <w:t>”, Samsung, RAN#8</w:t>
      </w:r>
      <w:r w:rsidR="005B5FF5">
        <w:rPr>
          <w:rFonts w:ascii="Times New Roman" w:eastAsia="PMingLiU" w:hAnsi="Times New Roman" w:cs="Times New Roman"/>
          <w:color w:val="000000" w:themeColor="text1"/>
          <w:sz w:val="20"/>
        </w:rPr>
        <w:t>9e</w:t>
      </w:r>
      <w:r w:rsidR="0008754B" w:rsidRPr="005E1ABD">
        <w:rPr>
          <w:rFonts w:ascii="Times New Roman" w:eastAsia="PMingLiU" w:hAnsi="Times New Roman" w:cs="Times New Roman"/>
          <w:color w:val="000000" w:themeColor="text1"/>
          <w:sz w:val="20"/>
        </w:rPr>
        <w:t xml:space="preserve">, </w:t>
      </w:r>
      <w:r w:rsidR="005B5FF5">
        <w:rPr>
          <w:rFonts w:ascii="Times New Roman" w:eastAsia="PMingLiU" w:hAnsi="Times New Roman" w:cs="Times New Roman"/>
          <w:color w:val="000000" w:themeColor="text1"/>
          <w:sz w:val="20"/>
        </w:rPr>
        <w:t>Sep</w:t>
      </w:r>
      <w:r w:rsidR="0008754B" w:rsidRPr="005E1ABD">
        <w:rPr>
          <w:rFonts w:ascii="Times New Roman" w:eastAsia="PMingLiU" w:hAnsi="Times New Roman" w:cs="Times New Roman"/>
          <w:color w:val="000000" w:themeColor="text1"/>
          <w:sz w:val="20"/>
        </w:rPr>
        <w:t>. 20</w:t>
      </w:r>
      <w:bookmarkEnd w:id="0"/>
      <w:bookmarkEnd w:id="1"/>
      <w:r w:rsidR="005B5FF5">
        <w:rPr>
          <w:rFonts w:ascii="Times New Roman" w:eastAsia="PMingLiU" w:hAnsi="Times New Roman" w:cs="Times New Roman"/>
          <w:color w:val="000000" w:themeColor="text1"/>
          <w:sz w:val="20"/>
        </w:rPr>
        <w:t>20</w:t>
      </w:r>
    </w:p>
    <w:sectPr w:rsidR="00B17430" w:rsidRPr="00CD1E4D">
      <w:footerReference w:type="default" r:id="rId11"/>
      <w:footerReference w:type="first" r:id="rId1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F52F4" w14:textId="77777777" w:rsidR="000716BC" w:rsidRDefault="000716BC">
      <w:r>
        <w:separator/>
      </w:r>
    </w:p>
  </w:endnote>
  <w:endnote w:type="continuationSeparator" w:id="0">
    <w:p w14:paraId="28F811AD" w14:textId="77777777" w:rsidR="000716BC" w:rsidRDefault="000716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MT Extra"/>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412703"/>
      <w:docPartObj>
        <w:docPartGallery w:val="Page Numbers (Bottom of Page)"/>
        <w:docPartUnique/>
      </w:docPartObj>
    </w:sdtPr>
    <w:sdtEndPr>
      <w:rPr>
        <w:noProof/>
      </w:rPr>
    </w:sdtEndPr>
    <w:sdtContent>
      <w:p w14:paraId="1C2896AA" w14:textId="518537E9" w:rsidR="007E42CC" w:rsidRDefault="007E42CC">
        <w:pPr>
          <w:pStyle w:val="Footer"/>
          <w:jc w:val="center"/>
        </w:pPr>
        <w:r>
          <w:fldChar w:fldCharType="begin"/>
        </w:r>
        <w:r>
          <w:instrText xml:space="preserve"> PAGE   \* MERGEFORMAT </w:instrText>
        </w:r>
        <w:r>
          <w:fldChar w:fldCharType="separate"/>
        </w:r>
        <w:r w:rsidR="00E148CB">
          <w:rPr>
            <w:noProof/>
          </w:rPr>
          <w:t>3</w:t>
        </w:r>
        <w:r>
          <w:rPr>
            <w:noProof/>
          </w:rPr>
          <w:fldChar w:fldCharType="end"/>
        </w:r>
      </w:p>
    </w:sdtContent>
  </w:sdt>
  <w:p w14:paraId="6BAAE4CC" w14:textId="77777777" w:rsidR="007E42CC" w:rsidRDefault="007E42C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1988216"/>
      <w:docPartObj>
        <w:docPartGallery w:val="Page Numbers (Bottom of Page)"/>
        <w:docPartUnique/>
      </w:docPartObj>
    </w:sdtPr>
    <w:sdtEndPr>
      <w:rPr>
        <w:noProof/>
      </w:rPr>
    </w:sdtEndPr>
    <w:sdtContent>
      <w:p w14:paraId="7BA831D6" w14:textId="00D157C9" w:rsidR="007E42CC" w:rsidRDefault="007E42CC">
        <w:pPr>
          <w:pStyle w:val="Footer"/>
          <w:jc w:val="center"/>
        </w:pPr>
        <w:r>
          <w:fldChar w:fldCharType="begin"/>
        </w:r>
        <w:r>
          <w:instrText xml:space="preserve"> PAGE   \* MERGEFORMAT </w:instrText>
        </w:r>
        <w:r>
          <w:fldChar w:fldCharType="separate"/>
        </w:r>
        <w:r w:rsidR="00E148CB">
          <w:rPr>
            <w:noProof/>
          </w:rPr>
          <w:t>1</w:t>
        </w:r>
        <w:r>
          <w:rPr>
            <w:noProof/>
          </w:rPr>
          <w:fldChar w:fldCharType="end"/>
        </w:r>
      </w:p>
    </w:sdtContent>
  </w:sdt>
  <w:p w14:paraId="1BB4A199" w14:textId="77777777" w:rsidR="007E42CC" w:rsidRDefault="007E42C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54A29" w14:textId="77777777" w:rsidR="000716BC" w:rsidRDefault="000716BC">
      <w:r>
        <w:separator/>
      </w:r>
    </w:p>
  </w:footnote>
  <w:footnote w:type="continuationSeparator" w:id="0">
    <w:p w14:paraId="7238DA88" w14:textId="77777777" w:rsidR="000716BC" w:rsidRDefault="000716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139B2"/>
    <w:multiLevelType w:val="multilevel"/>
    <w:tmpl w:val="66343A4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5A4163E"/>
    <w:multiLevelType w:val="hybridMultilevel"/>
    <w:tmpl w:val="C33ED822"/>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3349D"/>
    <w:multiLevelType w:val="hybridMultilevel"/>
    <w:tmpl w:val="5EB6F2E0"/>
    <w:lvl w:ilvl="0" w:tplc="FD149D5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951B8C"/>
    <w:multiLevelType w:val="hybridMultilevel"/>
    <w:tmpl w:val="F7FAD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41716"/>
    <w:multiLevelType w:val="hybridMultilevel"/>
    <w:tmpl w:val="518A7560"/>
    <w:lvl w:ilvl="0" w:tplc="F7647EFC">
      <w:start w:val="1"/>
      <w:numFmt w:val="decimal"/>
      <w:pStyle w:val="Heading1"/>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3B1F21"/>
    <w:multiLevelType w:val="multilevel"/>
    <w:tmpl w:val="F092AE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0B6265E"/>
    <w:multiLevelType w:val="multilevel"/>
    <w:tmpl w:val="44E0B4E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4353F0D"/>
    <w:multiLevelType w:val="hybridMultilevel"/>
    <w:tmpl w:val="1D5232B2"/>
    <w:lvl w:ilvl="0" w:tplc="AC968F4C">
      <w:start w:val="3"/>
      <w:numFmt w:val="bullet"/>
      <w:lvlText w:val="-"/>
      <w:lvlJc w:val="left"/>
      <w:pPr>
        <w:ind w:left="360" w:hanging="360"/>
      </w:pPr>
      <w:rPr>
        <w:rFonts w:ascii="Times New Roman" w:eastAsia="Malgun Gothic" w:hAnsi="Times New Roman" w:cs="Times New Roman" w:hint="default"/>
      </w:rPr>
    </w:lvl>
    <w:lvl w:ilvl="1" w:tplc="FFFFFFFF">
      <w:start w:val="1"/>
      <w:numFmt w:val="bullet"/>
      <w:lvlText w:val=""/>
      <w:lvlJc w:val="left"/>
      <w:pPr>
        <w:ind w:left="800" w:hanging="400"/>
      </w:pPr>
      <w:rPr>
        <w:rFonts w:ascii="Symbol" w:hAnsi="Symbol" w:hint="default"/>
      </w:rPr>
    </w:lvl>
    <w:lvl w:ilvl="2" w:tplc="08090003">
      <w:start w:val="1"/>
      <w:numFmt w:val="bullet"/>
      <w:lvlText w:val="o"/>
      <w:lvlJc w:val="left"/>
      <w:pPr>
        <w:ind w:left="1200" w:hanging="400"/>
      </w:pPr>
      <w:rPr>
        <w:rFonts w:ascii="Courier New" w:hAnsi="Courier New" w:cs="Courier New" w:hint="default"/>
      </w:rPr>
    </w:lvl>
    <w:lvl w:ilvl="3" w:tplc="AC968F4C">
      <w:start w:val="3"/>
      <w:numFmt w:val="bullet"/>
      <w:lvlText w:val="-"/>
      <w:lvlJc w:val="left"/>
      <w:pPr>
        <w:ind w:left="1600" w:hanging="400"/>
      </w:pPr>
      <w:rPr>
        <w:rFonts w:ascii="Times New Roman" w:eastAsia="Malgun Gothic" w:hAnsi="Times New Roman" w:cs="Times New Roman"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9" w15:restartNumberingAfterBreak="0">
    <w:nsid w:val="258D39D8"/>
    <w:multiLevelType w:val="multilevel"/>
    <w:tmpl w:val="B8AC2506"/>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0" w15:restartNumberingAfterBreak="0">
    <w:nsid w:val="2B7C7AE2"/>
    <w:multiLevelType w:val="multilevel"/>
    <w:tmpl w:val="F85442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2D13677D"/>
    <w:multiLevelType w:val="hybridMultilevel"/>
    <w:tmpl w:val="C9D8EC8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start w:val="1"/>
      <w:numFmt w:val="bullet"/>
      <w:lvlText w:val=""/>
      <w:lvlJc w:val="left"/>
      <w:pPr>
        <w:ind w:left="2982" w:hanging="360"/>
      </w:pPr>
      <w:rPr>
        <w:rFonts w:ascii="Symbol" w:hAnsi="Symbol" w:hint="default"/>
      </w:rPr>
    </w:lvl>
    <w:lvl w:ilvl="4" w:tplc="04090003">
      <w:start w:val="1"/>
      <w:numFmt w:val="bullet"/>
      <w:lvlText w:val="o"/>
      <w:lvlJc w:val="left"/>
      <w:pPr>
        <w:ind w:left="3702" w:hanging="360"/>
      </w:pPr>
      <w:rPr>
        <w:rFonts w:ascii="Courier New" w:hAnsi="Courier New" w:cs="Courier New" w:hint="default"/>
      </w:rPr>
    </w:lvl>
    <w:lvl w:ilvl="5" w:tplc="04090005">
      <w:start w:val="1"/>
      <w:numFmt w:val="bullet"/>
      <w:lvlText w:val=""/>
      <w:lvlJc w:val="left"/>
      <w:pPr>
        <w:ind w:left="4422" w:hanging="360"/>
      </w:pPr>
      <w:rPr>
        <w:rFonts w:ascii="Wingdings" w:hAnsi="Wingdings" w:hint="default"/>
      </w:rPr>
    </w:lvl>
    <w:lvl w:ilvl="6" w:tplc="04090001">
      <w:start w:val="1"/>
      <w:numFmt w:val="bullet"/>
      <w:lvlText w:val=""/>
      <w:lvlJc w:val="left"/>
      <w:pPr>
        <w:ind w:left="5142" w:hanging="360"/>
      </w:pPr>
      <w:rPr>
        <w:rFonts w:ascii="Symbol" w:hAnsi="Symbol" w:hint="default"/>
      </w:rPr>
    </w:lvl>
    <w:lvl w:ilvl="7" w:tplc="04090003">
      <w:start w:val="1"/>
      <w:numFmt w:val="bullet"/>
      <w:lvlText w:val="o"/>
      <w:lvlJc w:val="left"/>
      <w:pPr>
        <w:ind w:left="5862" w:hanging="360"/>
      </w:pPr>
      <w:rPr>
        <w:rFonts w:ascii="Courier New" w:hAnsi="Courier New" w:cs="Courier New" w:hint="default"/>
      </w:rPr>
    </w:lvl>
    <w:lvl w:ilvl="8" w:tplc="04090005">
      <w:start w:val="1"/>
      <w:numFmt w:val="bullet"/>
      <w:lvlText w:val=""/>
      <w:lvlJc w:val="left"/>
      <w:pPr>
        <w:ind w:left="6582" w:hanging="360"/>
      </w:pPr>
      <w:rPr>
        <w:rFonts w:ascii="Wingdings" w:hAnsi="Wingdings" w:hint="default"/>
      </w:rPr>
    </w:lvl>
  </w:abstractNum>
  <w:abstractNum w:abstractNumId="12" w15:restartNumberingAfterBreak="0">
    <w:nsid w:val="2E787D49"/>
    <w:multiLevelType w:val="hybridMultilevel"/>
    <w:tmpl w:val="55F650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0671C50"/>
    <w:multiLevelType w:val="multilevel"/>
    <w:tmpl w:val="C18821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9DF55EA"/>
    <w:multiLevelType w:val="hybridMultilevel"/>
    <w:tmpl w:val="611E2D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B6718AF"/>
    <w:multiLevelType w:val="hybridMultilevel"/>
    <w:tmpl w:val="E2EE5EF2"/>
    <w:lvl w:ilvl="0" w:tplc="04090001">
      <w:start w:val="1"/>
      <w:numFmt w:val="bullet"/>
      <w:lvlText w:val=""/>
      <w:lvlJc w:val="left"/>
      <w:pPr>
        <w:ind w:left="720" w:hanging="360"/>
      </w:pPr>
      <w:rPr>
        <w:rFonts w:ascii="Symbol" w:hAnsi="Symbol" w:hint="default"/>
      </w:rPr>
    </w:lvl>
    <w:lvl w:ilvl="1" w:tplc="04090017">
      <w:start w:val="1"/>
      <w:numFmt w:val="lowerLetter"/>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22B3F28"/>
    <w:multiLevelType w:val="hybridMultilevel"/>
    <w:tmpl w:val="0032C2DA"/>
    <w:lvl w:ilvl="0" w:tplc="5D227A6C">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9BC01B1"/>
    <w:multiLevelType w:val="multilevel"/>
    <w:tmpl w:val="FFDE7BB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1" w15:restartNumberingAfterBreak="0">
    <w:nsid w:val="516E27A0"/>
    <w:multiLevelType w:val="hybridMultilevel"/>
    <w:tmpl w:val="B4722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32D2DF9"/>
    <w:multiLevelType w:val="hybridMultilevel"/>
    <w:tmpl w:val="A53ED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4EE0682"/>
    <w:multiLevelType w:val="hybridMultilevel"/>
    <w:tmpl w:val="2AF69B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04A3777"/>
    <w:multiLevelType w:val="multilevel"/>
    <w:tmpl w:val="0E264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61512E8A"/>
    <w:multiLevelType w:val="hybridMultilevel"/>
    <w:tmpl w:val="42DE95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813F17"/>
    <w:multiLevelType w:val="hybridMultilevel"/>
    <w:tmpl w:val="D1845C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9" w15:restartNumberingAfterBreak="0">
    <w:nsid w:val="64C51584"/>
    <w:multiLevelType w:val="hybridMultilevel"/>
    <w:tmpl w:val="3D2061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A951415"/>
    <w:multiLevelType w:val="multilevel"/>
    <w:tmpl w:val="17569D0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2DA5858"/>
    <w:multiLevelType w:val="hybridMultilevel"/>
    <w:tmpl w:val="F5BCB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4F68E0"/>
    <w:multiLevelType w:val="hybridMultilevel"/>
    <w:tmpl w:val="71C4F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7B6426D"/>
    <w:multiLevelType w:val="hybridMultilevel"/>
    <w:tmpl w:val="DD28CC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A502559"/>
    <w:multiLevelType w:val="hybridMultilevel"/>
    <w:tmpl w:val="1C30B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7A684406"/>
    <w:multiLevelType w:val="hybridMultilevel"/>
    <w:tmpl w:val="B76C3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BCB627D"/>
    <w:multiLevelType w:val="hybridMultilevel"/>
    <w:tmpl w:val="1D9E82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C60383D"/>
    <w:multiLevelType w:val="multilevel"/>
    <w:tmpl w:val="84E0ECC4"/>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8" w15:restartNumberingAfterBreak="0">
    <w:nsid w:val="7E740F66"/>
    <w:multiLevelType w:val="hybridMultilevel"/>
    <w:tmpl w:val="DA9073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3"/>
  </w:num>
  <w:num w:numId="3">
    <w:abstractNumId w:val="18"/>
  </w:num>
  <w:num w:numId="4">
    <w:abstractNumId w:val="6"/>
  </w:num>
  <w:num w:numId="5">
    <w:abstractNumId w:val="1"/>
  </w:num>
  <w:num w:numId="6">
    <w:abstractNumId w:val="16"/>
  </w:num>
  <w:num w:numId="7">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8"/>
  </w:num>
  <w:num w:numId="10">
    <w:abstractNumId w:val="19"/>
  </w:num>
  <w:num w:numId="11">
    <w:abstractNumId w:val="22"/>
  </w:num>
  <w:num w:numId="12">
    <w:abstractNumId w:val="2"/>
  </w:num>
  <w:num w:numId="13">
    <w:abstractNumId w:val="15"/>
    <w:lvlOverride w:ilvl="0"/>
    <w:lvlOverride w:ilvl="1">
      <w:startOverride w:val="1"/>
    </w:lvlOverride>
    <w:lvlOverride w:ilvl="2"/>
    <w:lvlOverride w:ilvl="3"/>
    <w:lvlOverride w:ilvl="4"/>
    <w:lvlOverride w:ilvl="5"/>
    <w:lvlOverride w:ilvl="6"/>
    <w:lvlOverride w:ilvl="7"/>
    <w:lvlOverride w:ilvl="8"/>
  </w:num>
  <w:num w:numId="14">
    <w:abstractNumId w:val="15"/>
  </w:num>
  <w:num w:numId="15">
    <w:abstractNumId w:val="21"/>
  </w:num>
  <w:num w:numId="16">
    <w:abstractNumId w:val="36"/>
  </w:num>
  <w:num w:numId="17">
    <w:abstractNumId w:val="26"/>
  </w:num>
  <w:num w:numId="18">
    <w:abstractNumId w:val="11"/>
  </w:num>
  <w:num w:numId="19">
    <w:abstractNumId w:val="20"/>
  </w:num>
  <w:num w:numId="20">
    <w:abstractNumId w:val="0"/>
  </w:num>
  <w:num w:numId="21">
    <w:abstractNumId w:val="37"/>
  </w:num>
  <w:num w:numId="22">
    <w:abstractNumId w:val="9"/>
  </w:num>
  <w:num w:numId="23">
    <w:abstractNumId w:val="34"/>
  </w:num>
  <w:num w:numId="24">
    <w:abstractNumId w:val="10"/>
  </w:num>
  <w:num w:numId="25">
    <w:abstractNumId w:val="33"/>
  </w:num>
  <w:num w:numId="26">
    <w:abstractNumId w:val="7"/>
  </w:num>
  <w:num w:numId="27">
    <w:abstractNumId w:val="25"/>
  </w:num>
  <w:num w:numId="2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num>
  <w:num w:numId="30">
    <w:abstractNumId w:val="31"/>
  </w:num>
  <w:num w:numId="31">
    <w:abstractNumId w:val="3"/>
  </w:num>
  <w:num w:numId="32">
    <w:abstractNumId w:val="35"/>
  </w:num>
  <w:num w:numId="33">
    <w:abstractNumId w:val="27"/>
  </w:num>
  <w:num w:numId="34">
    <w:abstractNumId w:val="29"/>
  </w:num>
  <w:num w:numId="35">
    <w:abstractNumId w:val="12"/>
  </w:num>
  <w:num w:numId="36">
    <w:abstractNumId w:val="32"/>
  </w:num>
  <w:num w:numId="37">
    <w:abstractNumId w:val="5"/>
  </w:num>
  <w:num w:numId="38">
    <w:abstractNumId w:val="13"/>
  </w:num>
  <w:num w:numId="39">
    <w:abstractNumId w:val="24"/>
  </w:num>
  <w:num w:numId="40">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1FDD"/>
    <w:rsid w:val="0000451D"/>
    <w:rsid w:val="00004BBC"/>
    <w:rsid w:val="0000527F"/>
    <w:rsid w:val="000104C8"/>
    <w:rsid w:val="00011702"/>
    <w:rsid w:val="000127DD"/>
    <w:rsid w:val="000146B8"/>
    <w:rsid w:val="0001495C"/>
    <w:rsid w:val="000154B1"/>
    <w:rsid w:val="0002043E"/>
    <w:rsid w:val="00021505"/>
    <w:rsid w:val="00022641"/>
    <w:rsid w:val="00022E5D"/>
    <w:rsid w:val="00024200"/>
    <w:rsid w:val="00024B1D"/>
    <w:rsid w:val="0002575E"/>
    <w:rsid w:val="00025F13"/>
    <w:rsid w:val="00026407"/>
    <w:rsid w:val="00027AF5"/>
    <w:rsid w:val="000319FD"/>
    <w:rsid w:val="00032BAB"/>
    <w:rsid w:val="00036C36"/>
    <w:rsid w:val="0004009F"/>
    <w:rsid w:val="00040139"/>
    <w:rsid w:val="0004388B"/>
    <w:rsid w:val="00044018"/>
    <w:rsid w:val="000469F4"/>
    <w:rsid w:val="00046D20"/>
    <w:rsid w:val="00051F4B"/>
    <w:rsid w:val="00053E0E"/>
    <w:rsid w:val="000550E1"/>
    <w:rsid w:val="000564E3"/>
    <w:rsid w:val="0005651A"/>
    <w:rsid w:val="0006095E"/>
    <w:rsid w:val="00060EA9"/>
    <w:rsid w:val="00061116"/>
    <w:rsid w:val="000626F5"/>
    <w:rsid w:val="00062DF5"/>
    <w:rsid w:val="000656E1"/>
    <w:rsid w:val="00065F7D"/>
    <w:rsid w:val="000674FE"/>
    <w:rsid w:val="0007151D"/>
    <w:rsid w:val="000716B0"/>
    <w:rsid w:val="000716BC"/>
    <w:rsid w:val="00073F85"/>
    <w:rsid w:val="00074D8A"/>
    <w:rsid w:val="00076B61"/>
    <w:rsid w:val="00077788"/>
    <w:rsid w:val="00077A26"/>
    <w:rsid w:val="00081884"/>
    <w:rsid w:val="0008211B"/>
    <w:rsid w:val="0008236B"/>
    <w:rsid w:val="0008236D"/>
    <w:rsid w:val="00083978"/>
    <w:rsid w:val="000855C5"/>
    <w:rsid w:val="00085D8C"/>
    <w:rsid w:val="0008754B"/>
    <w:rsid w:val="000914B8"/>
    <w:rsid w:val="00091738"/>
    <w:rsid w:val="000950C5"/>
    <w:rsid w:val="00095157"/>
    <w:rsid w:val="00095298"/>
    <w:rsid w:val="000955F8"/>
    <w:rsid w:val="000A2111"/>
    <w:rsid w:val="000A26C4"/>
    <w:rsid w:val="000A4A9E"/>
    <w:rsid w:val="000A50E4"/>
    <w:rsid w:val="000A6177"/>
    <w:rsid w:val="000A6675"/>
    <w:rsid w:val="000B13AF"/>
    <w:rsid w:val="000B4D38"/>
    <w:rsid w:val="000B5D47"/>
    <w:rsid w:val="000B7FB2"/>
    <w:rsid w:val="000C40EF"/>
    <w:rsid w:val="000C5B22"/>
    <w:rsid w:val="000C6E01"/>
    <w:rsid w:val="000C73DE"/>
    <w:rsid w:val="000D00F4"/>
    <w:rsid w:val="000D1412"/>
    <w:rsid w:val="000D27A6"/>
    <w:rsid w:val="000D37D3"/>
    <w:rsid w:val="000D496B"/>
    <w:rsid w:val="000D4D50"/>
    <w:rsid w:val="000D5BC8"/>
    <w:rsid w:val="000D6FAC"/>
    <w:rsid w:val="000E0AD8"/>
    <w:rsid w:val="000E2E19"/>
    <w:rsid w:val="000E41AC"/>
    <w:rsid w:val="000E49FF"/>
    <w:rsid w:val="000E4F61"/>
    <w:rsid w:val="000F1176"/>
    <w:rsid w:val="000F1BFC"/>
    <w:rsid w:val="000F1D8D"/>
    <w:rsid w:val="000F2537"/>
    <w:rsid w:val="000F2AFF"/>
    <w:rsid w:val="000F2BAC"/>
    <w:rsid w:val="000F354D"/>
    <w:rsid w:val="000F421F"/>
    <w:rsid w:val="000F507D"/>
    <w:rsid w:val="0010131F"/>
    <w:rsid w:val="0010140B"/>
    <w:rsid w:val="001052F3"/>
    <w:rsid w:val="001064FA"/>
    <w:rsid w:val="00111482"/>
    <w:rsid w:val="0011533B"/>
    <w:rsid w:val="001163BA"/>
    <w:rsid w:val="001166E8"/>
    <w:rsid w:val="0012018B"/>
    <w:rsid w:val="001208C7"/>
    <w:rsid w:val="001267AA"/>
    <w:rsid w:val="00131B39"/>
    <w:rsid w:val="0013382B"/>
    <w:rsid w:val="0013405D"/>
    <w:rsid w:val="00140681"/>
    <w:rsid w:val="00141A9E"/>
    <w:rsid w:val="001447A7"/>
    <w:rsid w:val="00145D40"/>
    <w:rsid w:val="00146D58"/>
    <w:rsid w:val="00147878"/>
    <w:rsid w:val="00147E2A"/>
    <w:rsid w:val="00153720"/>
    <w:rsid w:val="00153B57"/>
    <w:rsid w:val="0015426C"/>
    <w:rsid w:val="0015653D"/>
    <w:rsid w:val="00160DCF"/>
    <w:rsid w:val="00161DA1"/>
    <w:rsid w:val="0016320C"/>
    <w:rsid w:val="0016380F"/>
    <w:rsid w:val="00163A9B"/>
    <w:rsid w:val="001669AF"/>
    <w:rsid w:val="00167063"/>
    <w:rsid w:val="00167220"/>
    <w:rsid w:val="00167285"/>
    <w:rsid w:val="00167F51"/>
    <w:rsid w:val="00171758"/>
    <w:rsid w:val="00171F92"/>
    <w:rsid w:val="00172636"/>
    <w:rsid w:val="00172677"/>
    <w:rsid w:val="001760E5"/>
    <w:rsid w:val="001830B9"/>
    <w:rsid w:val="00185133"/>
    <w:rsid w:val="00186EBA"/>
    <w:rsid w:val="00187149"/>
    <w:rsid w:val="00187541"/>
    <w:rsid w:val="00187738"/>
    <w:rsid w:val="00191A01"/>
    <w:rsid w:val="00191E2D"/>
    <w:rsid w:val="00194C19"/>
    <w:rsid w:val="00196925"/>
    <w:rsid w:val="0019755F"/>
    <w:rsid w:val="001A2C84"/>
    <w:rsid w:val="001A33D3"/>
    <w:rsid w:val="001A36E9"/>
    <w:rsid w:val="001A3AD4"/>
    <w:rsid w:val="001A41A1"/>
    <w:rsid w:val="001A5BE4"/>
    <w:rsid w:val="001B03EA"/>
    <w:rsid w:val="001B1AC3"/>
    <w:rsid w:val="001B2C52"/>
    <w:rsid w:val="001B304A"/>
    <w:rsid w:val="001B3AF1"/>
    <w:rsid w:val="001C225C"/>
    <w:rsid w:val="001C2409"/>
    <w:rsid w:val="001C2568"/>
    <w:rsid w:val="001C27D9"/>
    <w:rsid w:val="001C2FE6"/>
    <w:rsid w:val="001C329F"/>
    <w:rsid w:val="001C4501"/>
    <w:rsid w:val="001D0B5E"/>
    <w:rsid w:val="001D4151"/>
    <w:rsid w:val="001D6C8D"/>
    <w:rsid w:val="001E18D6"/>
    <w:rsid w:val="001E3155"/>
    <w:rsid w:val="001E3B88"/>
    <w:rsid w:val="001E43B3"/>
    <w:rsid w:val="001E5393"/>
    <w:rsid w:val="001F3AF9"/>
    <w:rsid w:val="001F3E2D"/>
    <w:rsid w:val="001F4117"/>
    <w:rsid w:val="001F76F0"/>
    <w:rsid w:val="00200E11"/>
    <w:rsid w:val="00202075"/>
    <w:rsid w:val="002020DF"/>
    <w:rsid w:val="00203BC3"/>
    <w:rsid w:val="00205625"/>
    <w:rsid w:val="00206DAF"/>
    <w:rsid w:val="00207871"/>
    <w:rsid w:val="002119E3"/>
    <w:rsid w:val="00213E51"/>
    <w:rsid w:val="0021469E"/>
    <w:rsid w:val="00214FB9"/>
    <w:rsid w:val="00215377"/>
    <w:rsid w:val="00215E4F"/>
    <w:rsid w:val="0021798C"/>
    <w:rsid w:val="002209C8"/>
    <w:rsid w:val="002238F8"/>
    <w:rsid w:val="00231627"/>
    <w:rsid w:val="00231AEA"/>
    <w:rsid w:val="00231E42"/>
    <w:rsid w:val="00232C5E"/>
    <w:rsid w:val="00233C1E"/>
    <w:rsid w:val="002360E3"/>
    <w:rsid w:val="002372D7"/>
    <w:rsid w:val="00237D50"/>
    <w:rsid w:val="002409F4"/>
    <w:rsid w:val="002418D1"/>
    <w:rsid w:val="00242995"/>
    <w:rsid w:val="002441DB"/>
    <w:rsid w:val="00245124"/>
    <w:rsid w:val="00252218"/>
    <w:rsid w:val="002522C6"/>
    <w:rsid w:val="0025363F"/>
    <w:rsid w:val="0025464A"/>
    <w:rsid w:val="002609A6"/>
    <w:rsid w:val="002628AB"/>
    <w:rsid w:val="00263E95"/>
    <w:rsid w:val="002642FC"/>
    <w:rsid w:val="00264F06"/>
    <w:rsid w:val="002657E1"/>
    <w:rsid w:val="00266C98"/>
    <w:rsid w:val="00267C3C"/>
    <w:rsid w:val="00273ABF"/>
    <w:rsid w:val="002748B2"/>
    <w:rsid w:val="00275516"/>
    <w:rsid w:val="00282603"/>
    <w:rsid w:val="0029241C"/>
    <w:rsid w:val="0029577D"/>
    <w:rsid w:val="00296489"/>
    <w:rsid w:val="002A244E"/>
    <w:rsid w:val="002A4DB3"/>
    <w:rsid w:val="002A56D3"/>
    <w:rsid w:val="002A62EA"/>
    <w:rsid w:val="002A7310"/>
    <w:rsid w:val="002A7871"/>
    <w:rsid w:val="002B019F"/>
    <w:rsid w:val="002B21C8"/>
    <w:rsid w:val="002B22E3"/>
    <w:rsid w:val="002B3C03"/>
    <w:rsid w:val="002B4F54"/>
    <w:rsid w:val="002B5C4F"/>
    <w:rsid w:val="002B5EBB"/>
    <w:rsid w:val="002B728D"/>
    <w:rsid w:val="002C2489"/>
    <w:rsid w:val="002C504A"/>
    <w:rsid w:val="002C554E"/>
    <w:rsid w:val="002C5CD1"/>
    <w:rsid w:val="002D0FA4"/>
    <w:rsid w:val="002D0FF9"/>
    <w:rsid w:val="002D2246"/>
    <w:rsid w:val="002D32BE"/>
    <w:rsid w:val="002D3345"/>
    <w:rsid w:val="002D40BC"/>
    <w:rsid w:val="002D49E1"/>
    <w:rsid w:val="002E166E"/>
    <w:rsid w:val="002E5B38"/>
    <w:rsid w:val="002E68AC"/>
    <w:rsid w:val="002F2971"/>
    <w:rsid w:val="002F4A9B"/>
    <w:rsid w:val="002F50E7"/>
    <w:rsid w:val="002F71FE"/>
    <w:rsid w:val="002F734B"/>
    <w:rsid w:val="00300915"/>
    <w:rsid w:val="00300B40"/>
    <w:rsid w:val="00300E4B"/>
    <w:rsid w:val="00302B32"/>
    <w:rsid w:val="003072F3"/>
    <w:rsid w:val="003075DB"/>
    <w:rsid w:val="00310035"/>
    <w:rsid w:val="00311110"/>
    <w:rsid w:val="003118DA"/>
    <w:rsid w:val="00312AD6"/>
    <w:rsid w:val="003132C5"/>
    <w:rsid w:val="00313AC7"/>
    <w:rsid w:val="00315276"/>
    <w:rsid w:val="0031577A"/>
    <w:rsid w:val="003174B1"/>
    <w:rsid w:val="00317EC9"/>
    <w:rsid w:val="003201E7"/>
    <w:rsid w:val="00320307"/>
    <w:rsid w:val="00322338"/>
    <w:rsid w:val="0032366B"/>
    <w:rsid w:val="00323FE3"/>
    <w:rsid w:val="003252F1"/>
    <w:rsid w:val="00327B5B"/>
    <w:rsid w:val="0033187E"/>
    <w:rsid w:val="003318CF"/>
    <w:rsid w:val="00333875"/>
    <w:rsid w:val="0033471F"/>
    <w:rsid w:val="00335638"/>
    <w:rsid w:val="00341503"/>
    <w:rsid w:val="0034187F"/>
    <w:rsid w:val="00342A22"/>
    <w:rsid w:val="00342CD6"/>
    <w:rsid w:val="00342F9F"/>
    <w:rsid w:val="0034698C"/>
    <w:rsid w:val="00350B4E"/>
    <w:rsid w:val="00352982"/>
    <w:rsid w:val="003540FE"/>
    <w:rsid w:val="00354940"/>
    <w:rsid w:val="00356541"/>
    <w:rsid w:val="0035657A"/>
    <w:rsid w:val="003567E2"/>
    <w:rsid w:val="00361A94"/>
    <w:rsid w:val="003666FB"/>
    <w:rsid w:val="003673C1"/>
    <w:rsid w:val="00367BD7"/>
    <w:rsid w:val="00372882"/>
    <w:rsid w:val="00372E07"/>
    <w:rsid w:val="0037416F"/>
    <w:rsid w:val="00374EF2"/>
    <w:rsid w:val="0037504A"/>
    <w:rsid w:val="003752FD"/>
    <w:rsid w:val="00377439"/>
    <w:rsid w:val="00383AFB"/>
    <w:rsid w:val="003840BD"/>
    <w:rsid w:val="003856BC"/>
    <w:rsid w:val="00386636"/>
    <w:rsid w:val="0038754A"/>
    <w:rsid w:val="003924C5"/>
    <w:rsid w:val="003A05C1"/>
    <w:rsid w:val="003A0958"/>
    <w:rsid w:val="003A4AC7"/>
    <w:rsid w:val="003A675E"/>
    <w:rsid w:val="003B1408"/>
    <w:rsid w:val="003B45F3"/>
    <w:rsid w:val="003B58AC"/>
    <w:rsid w:val="003B73E9"/>
    <w:rsid w:val="003B79CB"/>
    <w:rsid w:val="003B7FEE"/>
    <w:rsid w:val="003C09C2"/>
    <w:rsid w:val="003C1E03"/>
    <w:rsid w:val="003C2E9F"/>
    <w:rsid w:val="003C53E5"/>
    <w:rsid w:val="003C5462"/>
    <w:rsid w:val="003C6CD9"/>
    <w:rsid w:val="003D00D8"/>
    <w:rsid w:val="003D1C3A"/>
    <w:rsid w:val="003D5B78"/>
    <w:rsid w:val="003D5F1F"/>
    <w:rsid w:val="003D77C4"/>
    <w:rsid w:val="003E1C7C"/>
    <w:rsid w:val="003E2ECE"/>
    <w:rsid w:val="003E2F0B"/>
    <w:rsid w:val="003E3C09"/>
    <w:rsid w:val="003E3FB5"/>
    <w:rsid w:val="003E4BE7"/>
    <w:rsid w:val="003E4D15"/>
    <w:rsid w:val="003E4EE2"/>
    <w:rsid w:val="003E6639"/>
    <w:rsid w:val="003F1A6C"/>
    <w:rsid w:val="003F20B7"/>
    <w:rsid w:val="003F2578"/>
    <w:rsid w:val="003F4245"/>
    <w:rsid w:val="003F4847"/>
    <w:rsid w:val="003F7D47"/>
    <w:rsid w:val="00410F6A"/>
    <w:rsid w:val="00411664"/>
    <w:rsid w:val="00414C99"/>
    <w:rsid w:val="00417CBD"/>
    <w:rsid w:val="004214CF"/>
    <w:rsid w:val="00421EB3"/>
    <w:rsid w:val="004224C0"/>
    <w:rsid w:val="00424E3F"/>
    <w:rsid w:val="00424F5E"/>
    <w:rsid w:val="00425CB4"/>
    <w:rsid w:val="0042624C"/>
    <w:rsid w:val="00427F95"/>
    <w:rsid w:val="00431779"/>
    <w:rsid w:val="0043276F"/>
    <w:rsid w:val="004417C6"/>
    <w:rsid w:val="00442AA3"/>
    <w:rsid w:val="004453C1"/>
    <w:rsid w:val="00446ACE"/>
    <w:rsid w:val="00446C35"/>
    <w:rsid w:val="00447234"/>
    <w:rsid w:val="00447D78"/>
    <w:rsid w:val="00447DE7"/>
    <w:rsid w:val="00450F5F"/>
    <w:rsid w:val="004523AC"/>
    <w:rsid w:val="004554F3"/>
    <w:rsid w:val="004607C3"/>
    <w:rsid w:val="00461C38"/>
    <w:rsid w:val="00462D25"/>
    <w:rsid w:val="004631FB"/>
    <w:rsid w:val="004636A7"/>
    <w:rsid w:val="00463A51"/>
    <w:rsid w:val="00464453"/>
    <w:rsid w:val="00466D99"/>
    <w:rsid w:val="00466DEE"/>
    <w:rsid w:val="00466EF0"/>
    <w:rsid w:val="00467491"/>
    <w:rsid w:val="00470178"/>
    <w:rsid w:val="0047478A"/>
    <w:rsid w:val="0047653B"/>
    <w:rsid w:val="004778AF"/>
    <w:rsid w:val="004832F3"/>
    <w:rsid w:val="00483A74"/>
    <w:rsid w:val="00483AF2"/>
    <w:rsid w:val="0048512B"/>
    <w:rsid w:val="00485702"/>
    <w:rsid w:val="00485C27"/>
    <w:rsid w:val="00487B66"/>
    <w:rsid w:val="00491E32"/>
    <w:rsid w:val="00493281"/>
    <w:rsid w:val="004A10B4"/>
    <w:rsid w:val="004A3FAE"/>
    <w:rsid w:val="004A5A4F"/>
    <w:rsid w:val="004A6090"/>
    <w:rsid w:val="004A6BBB"/>
    <w:rsid w:val="004A71E2"/>
    <w:rsid w:val="004A7BB0"/>
    <w:rsid w:val="004B12D7"/>
    <w:rsid w:val="004B547B"/>
    <w:rsid w:val="004B5C52"/>
    <w:rsid w:val="004B5F26"/>
    <w:rsid w:val="004C1E00"/>
    <w:rsid w:val="004C301F"/>
    <w:rsid w:val="004C38CC"/>
    <w:rsid w:val="004C38CE"/>
    <w:rsid w:val="004C3F7D"/>
    <w:rsid w:val="004C52B0"/>
    <w:rsid w:val="004C6229"/>
    <w:rsid w:val="004D1205"/>
    <w:rsid w:val="004D29B6"/>
    <w:rsid w:val="004D30A1"/>
    <w:rsid w:val="004D67EC"/>
    <w:rsid w:val="004D7818"/>
    <w:rsid w:val="004E257E"/>
    <w:rsid w:val="004E2EEE"/>
    <w:rsid w:val="004E3799"/>
    <w:rsid w:val="004E39AF"/>
    <w:rsid w:val="004E5D0A"/>
    <w:rsid w:val="004E7450"/>
    <w:rsid w:val="004F6086"/>
    <w:rsid w:val="004F657E"/>
    <w:rsid w:val="004F7473"/>
    <w:rsid w:val="004F7DF7"/>
    <w:rsid w:val="005072FC"/>
    <w:rsid w:val="005079EB"/>
    <w:rsid w:val="0051216D"/>
    <w:rsid w:val="00512E3B"/>
    <w:rsid w:val="0051399B"/>
    <w:rsid w:val="00517545"/>
    <w:rsid w:val="00521D95"/>
    <w:rsid w:val="005225C5"/>
    <w:rsid w:val="00525DAB"/>
    <w:rsid w:val="0053076A"/>
    <w:rsid w:val="00532F9A"/>
    <w:rsid w:val="0053623F"/>
    <w:rsid w:val="005362C5"/>
    <w:rsid w:val="0053719A"/>
    <w:rsid w:val="005412EA"/>
    <w:rsid w:val="005428A4"/>
    <w:rsid w:val="005430DC"/>
    <w:rsid w:val="0054451F"/>
    <w:rsid w:val="00546B64"/>
    <w:rsid w:val="005506CE"/>
    <w:rsid w:val="00550A71"/>
    <w:rsid w:val="00550FF9"/>
    <w:rsid w:val="00552448"/>
    <w:rsid w:val="00554E84"/>
    <w:rsid w:val="00556315"/>
    <w:rsid w:val="00556762"/>
    <w:rsid w:val="00557B02"/>
    <w:rsid w:val="00562E21"/>
    <w:rsid w:val="00563274"/>
    <w:rsid w:val="005658B2"/>
    <w:rsid w:val="00566B53"/>
    <w:rsid w:val="0056771B"/>
    <w:rsid w:val="0057035B"/>
    <w:rsid w:val="005729BA"/>
    <w:rsid w:val="00575257"/>
    <w:rsid w:val="00577770"/>
    <w:rsid w:val="0058238B"/>
    <w:rsid w:val="00586CC7"/>
    <w:rsid w:val="00586F12"/>
    <w:rsid w:val="00587514"/>
    <w:rsid w:val="00591A33"/>
    <w:rsid w:val="00591F73"/>
    <w:rsid w:val="00592D14"/>
    <w:rsid w:val="0059341F"/>
    <w:rsid w:val="00593D73"/>
    <w:rsid w:val="00595E69"/>
    <w:rsid w:val="005977B0"/>
    <w:rsid w:val="005A05BE"/>
    <w:rsid w:val="005A1A03"/>
    <w:rsid w:val="005A2572"/>
    <w:rsid w:val="005A2685"/>
    <w:rsid w:val="005A28F9"/>
    <w:rsid w:val="005A2A8E"/>
    <w:rsid w:val="005A32C2"/>
    <w:rsid w:val="005A3903"/>
    <w:rsid w:val="005A62C3"/>
    <w:rsid w:val="005A6EC7"/>
    <w:rsid w:val="005B0411"/>
    <w:rsid w:val="005B0D14"/>
    <w:rsid w:val="005B1D2F"/>
    <w:rsid w:val="005B2076"/>
    <w:rsid w:val="005B2D93"/>
    <w:rsid w:val="005B4701"/>
    <w:rsid w:val="005B5FF5"/>
    <w:rsid w:val="005B601E"/>
    <w:rsid w:val="005C05A6"/>
    <w:rsid w:val="005C0F6F"/>
    <w:rsid w:val="005C3384"/>
    <w:rsid w:val="005C3D8D"/>
    <w:rsid w:val="005C54FD"/>
    <w:rsid w:val="005C7209"/>
    <w:rsid w:val="005C7F4F"/>
    <w:rsid w:val="005D09B1"/>
    <w:rsid w:val="005D20F1"/>
    <w:rsid w:val="005D2D51"/>
    <w:rsid w:val="005D3981"/>
    <w:rsid w:val="005D4BE2"/>
    <w:rsid w:val="005D665C"/>
    <w:rsid w:val="005D771A"/>
    <w:rsid w:val="005E019F"/>
    <w:rsid w:val="005E1727"/>
    <w:rsid w:val="005E1ABD"/>
    <w:rsid w:val="005E5018"/>
    <w:rsid w:val="005E7958"/>
    <w:rsid w:val="005F1649"/>
    <w:rsid w:val="005F216B"/>
    <w:rsid w:val="005F318B"/>
    <w:rsid w:val="005F3AFD"/>
    <w:rsid w:val="005F55FE"/>
    <w:rsid w:val="005F5CEE"/>
    <w:rsid w:val="005F5D81"/>
    <w:rsid w:val="005F6E51"/>
    <w:rsid w:val="005F6EB2"/>
    <w:rsid w:val="00600805"/>
    <w:rsid w:val="006016E9"/>
    <w:rsid w:val="00602F21"/>
    <w:rsid w:val="0060347B"/>
    <w:rsid w:val="00605FA3"/>
    <w:rsid w:val="00607022"/>
    <w:rsid w:val="006140F5"/>
    <w:rsid w:val="0061417F"/>
    <w:rsid w:val="00614D21"/>
    <w:rsid w:val="00615492"/>
    <w:rsid w:val="006165AD"/>
    <w:rsid w:val="006204C2"/>
    <w:rsid w:val="006207AF"/>
    <w:rsid w:val="00620E89"/>
    <w:rsid w:val="00621ACC"/>
    <w:rsid w:val="00621C05"/>
    <w:rsid w:val="0062449A"/>
    <w:rsid w:val="00630F3A"/>
    <w:rsid w:val="00634154"/>
    <w:rsid w:val="00635ABD"/>
    <w:rsid w:val="0063639A"/>
    <w:rsid w:val="0063778E"/>
    <w:rsid w:val="0064095D"/>
    <w:rsid w:val="0064198D"/>
    <w:rsid w:val="00641A9E"/>
    <w:rsid w:val="0064318F"/>
    <w:rsid w:val="0064458A"/>
    <w:rsid w:val="00645A3D"/>
    <w:rsid w:val="0064615E"/>
    <w:rsid w:val="00646DA4"/>
    <w:rsid w:val="00652082"/>
    <w:rsid w:val="006535EC"/>
    <w:rsid w:val="00654A39"/>
    <w:rsid w:val="00657BE5"/>
    <w:rsid w:val="006616F6"/>
    <w:rsid w:val="00664455"/>
    <w:rsid w:val="00665941"/>
    <w:rsid w:val="00666074"/>
    <w:rsid w:val="0066614E"/>
    <w:rsid w:val="00667FDF"/>
    <w:rsid w:val="006733DB"/>
    <w:rsid w:val="00673C22"/>
    <w:rsid w:val="00675062"/>
    <w:rsid w:val="006758DE"/>
    <w:rsid w:val="00677A39"/>
    <w:rsid w:val="00677DC3"/>
    <w:rsid w:val="00681D02"/>
    <w:rsid w:val="00682F72"/>
    <w:rsid w:val="006861F8"/>
    <w:rsid w:val="006866CD"/>
    <w:rsid w:val="00687F23"/>
    <w:rsid w:val="0069390B"/>
    <w:rsid w:val="00693DAB"/>
    <w:rsid w:val="00695505"/>
    <w:rsid w:val="00695704"/>
    <w:rsid w:val="006A192B"/>
    <w:rsid w:val="006A3A7C"/>
    <w:rsid w:val="006A59CE"/>
    <w:rsid w:val="006A7BB8"/>
    <w:rsid w:val="006A7DD0"/>
    <w:rsid w:val="006B0323"/>
    <w:rsid w:val="006B1113"/>
    <w:rsid w:val="006B11D2"/>
    <w:rsid w:val="006B1946"/>
    <w:rsid w:val="006B2412"/>
    <w:rsid w:val="006B2C44"/>
    <w:rsid w:val="006B565F"/>
    <w:rsid w:val="006B6D77"/>
    <w:rsid w:val="006C3FEE"/>
    <w:rsid w:val="006C649A"/>
    <w:rsid w:val="006C7B1C"/>
    <w:rsid w:val="006D0BF7"/>
    <w:rsid w:val="006D4CEC"/>
    <w:rsid w:val="006E01B4"/>
    <w:rsid w:val="006E4459"/>
    <w:rsid w:val="006E4518"/>
    <w:rsid w:val="006E5968"/>
    <w:rsid w:val="006E5DD2"/>
    <w:rsid w:val="006F1E5A"/>
    <w:rsid w:val="006F2698"/>
    <w:rsid w:val="006F458B"/>
    <w:rsid w:val="006F4D73"/>
    <w:rsid w:val="006F55A6"/>
    <w:rsid w:val="006F73F9"/>
    <w:rsid w:val="00700FCA"/>
    <w:rsid w:val="00703627"/>
    <w:rsid w:val="00703E09"/>
    <w:rsid w:val="00705C2B"/>
    <w:rsid w:val="00706291"/>
    <w:rsid w:val="00712B4E"/>
    <w:rsid w:val="00713894"/>
    <w:rsid w:val="00713B04"/>
    <w:rsid w:val="00713B1C"/>
    <w:rsid w:val="007140D2"/>
    <w:rsid w:val="00714AF3"/>
    <w:rsid w:val="007150A9"/>
    <w:rsid w:val="00715BF3"/>
    <w:rsid w:val="00720387"/>
    <w:rsid w:val="0072141F"/>
    <w:rsid w:val="00721DA7"/>
    <w:rsid w:val="00722572"/>
    <w:rsid w:val="00722B22"/>
    <w:rsid w:val="00724391"/>
    <w:rsid w:val="00724995"/>
    <w:rsid w:val="007264C3"/>
    <w:rsid w:val="00727C17"/>
    <w:rsid w:val="007324F6"/>
    <w:rsid w:val="00733FBD"/>
    <w:rsid w:val="007371AC"/>
    <w:rsid w:val="00743D03"/>
    <w:rsid w:val="0075483A"/>
    <w:rsid w:val="00754DAD"/>
    <w:rsid w:val="00755E66"/>
    <w:rsid w:val="00757856"/>
    <w:rsid w:val="00760265"/>
    <w:rsid w:val="007607AE"/>
    <w:rsid w:val="00760B23"/>
    <w:rsid w:val="00761AAE"/>
    <w:rsid w:val="00770BA8"/>
    <w:rsid w:val="00770DEA"/>
    <w:rsid w:val="00775B3C"/>
    <w:rsid w:val="007766E7"/>
    <w:rsid w:val="007816A0"/>
    <w:rsid w:val="007822D8"/>
    <w:rsid w:val="00782D32"/>
    <w:rsid w:val="00786B7C"/>
    <w:rsid w:val="00787B7D"/>
    <w:rsid w:val="00790C82"/>
    <w:rsid w:val="007917CA"/>
    <w:rsid w:val="0079200B"/>
    <w:rsid w:val="00793E15"/>
    <w:rsid w:val="007941F5"/>
    <w:rsid w:val="00794234"/>
    <w:rsid w:val="00795985"/>
    <w:rsid w:val="0079648D"/>
    <w:rsid w:val="007A11D7"/>
    <w:rsid w:val="007A3330"/>
    <w:rsid w:val="007A71C0"/>
    <w:rsid w:val="007B06D3"/>
    <w:rsid w:val="007B1D71"/>
    <w:rsid w:val="007B2090"/>
    <w:rsid w:val="007B36FF"/>
    <w:rsid w:val="007B5072"/>
    <w:rsid w:val="007B5BAA"/>
    <w:rsid w:val="007C144B"/>
    <w:rsid w:val="007C558D"/>
    <w:rsid w:val="007C5C1A"/>
    <w:rsid w:val="007C6943"/>
    <w:rsid w:val="007C78C8"/>
    <w:rsid w:val="007C796A"/>
    <w:rsid w:val="007D69B1"/>
    <w:rsid w:val="007D7A47"/>
    <w:rsid w:val="007E1F09"/>
    <w:rsid w:val="007E3CA1"/>
    <w:rsid w:val="007E42CC"/>
    <w:rsid w:val="007F3E89"/>
    <w:rsid w:val="007F5921"/>
    <w:rsid w:val="007F6CBE"/>
    <w:rsid w:val="0080150C"/>
    <w:rsid w:val="00801B7D"/>
    <w:rsid w:val="0080303A"/>
    <w:rsid w:val="00804A00"/>
    <w:rsid w:val="00804AC2"/>
    <w:rsid w:val="00804ACD"/>
    <w:rsid w:val="00806977"/>
    <w:rsid w:val="00806ACE"/>
    <w:rsid w:val="008071D9"/>
    <w:rsid w:val="00807AFB"/>
    <w:rsid w:val="0081050D"/>
    <w:rsid w:val="0081071B"/>
    <w:rsid w:val="008114B2"/>
    <w:rsid w:val="0081272E"/>
    <w:rsid w:val="008127C1"/>
    <w:rsid w:val="00820F09"/>
    <w:rsid w:val="00821262"/>
    <w:rsid w:val="00821C45"/>
    <w:rsid w:val="00821CE8"/>
    <w:rsid w:val="008232FC"/>
    <w:rsid w:val="00824394"/>
    <w:rsid w:val="008243D3"/>
    <w:rsid w:val="008254B6"/>
    <w:rsid w:val="008265BA"/>
    <w:rsid w:val="008268F1"/>
    <w:rsid w:val="00831C37"/>
    <w:rsid w:val="00832094"/>
    <w:rsid w:val="008325D3"/>
    <w:rsid w:val="00833404"/>
    <w:rsid w:val="00834051"/>
    <w:rsid w:val="00837728"/>
    <w:rsid w:val="00837F4D"/>
    <w:rsid w:val="00842B97"/>
    <w:rsid w:val="00844138"/>
    <w:rsid w:val="00846A90"/>
    <w:rsid w:val="00846A9B"/>
    <w:rsid w:val="00847425"/>
    <w:rsid w:val="00850F01"/>
    <w:rsid w:val="00855868"/>
    <w:rsid w:val="00861449"/>
    <w:rsid w:val="00861C54"/>
    <w:rsid w:val="00861CE7"/>
    <w:rsid w:val="00864599"/>
    <w:rsid w:val="00871771"/>
    <w:rsid w:val="00871C72"/>
    <w:rsid w:val="008720A5"/>
    <w:rsid w:val="00872874"/>
    <w:rsid w:val="00873F8D"/>
    <w:rsid w:val="00874571"/>
    <w:rsid w:val="00875276"/>
    <w:rsid w:val="0087679A"/>
    <w:rsid w:val="00876F4B"/>
    <w:rsid w:val="00877623"/>
    <w:rsid w:val="008818BC"/>
    <w:rsid w:val="008832BB"/>
    <w:rsid w:val="0089044B"/>
    <w:rsid w:val="008911D1"/>
    <w:rsid w:val="00891200"/>
    <w:rsid w:val="008917F5"/>
    <w:rsid w:val="0089215D"/>
    <w:rsid w:val="00893E68"/>
    <w:rsid w:val="0089588C"/>
    <w:rsid w:val="00896881"/>
    <w:rsid w:val="00896AE8"/>
    <w:rsid w:val="008A35D5"/>
    <w:rsid w:val="008A4A48"/>
    <w:rsid w:val="008A7500"/>
    <w:rsid w:val="008A76EA"/>
    <w:rsid w:val="008A7A18"/>
    <w:rsid w:val="008B2885"/>
    <w:rsid w:val="008B5DD4"/>
    <w:rsid w:val="008C2132"/>
    <w:rsid w:val="008C27D4"/>
    <w:rsid w:val="008C5907"/>
    <w:rsid w:val="008D32E6"/>
    <w:rsid w:val="008D3666"/>
    <w:rsid w:val="008D4447"/>
    <w:rsid w:val="008D530F"/>
    <w:rsid w:val="008E4BDE"/>
    <w:rsid w:val="008E4BED"/>
    <w:rsid w:val="008F5451"/>
    <w:rsid w:val="00901A38"/>
    <w:rsid w:val="00903880"/>
    <w:rsid w:val="00904CBF"/>
    <w:rsid w:val="009072FB"/>
    <w:rsid w:val="00907EBD"/>
    <w:rsid w:val="009149C6"/>
    <w:rsid w:val="00914FD3"/>
    <w:rsid w:val="00920C01"/>
    <w:rsid w:val="0092466A"/>
    <w:rsid w:val="00931755"/>
    <w:rsid w:val="00932113"/>
    <w:rsid w:val="00932371"/>
    <w:rsid w:val="0093245F"/>
    <w:rsid w:val="00933BFF"/>
    <w:rsid w:val="00937344"/>
    <w:rsid w:val="009404A5"/>
    <w:rsid w:val="00940ED3"/>
    <w:rsid w:val="0094595C"/>
    <w:rsid w:val="00945D2B"/>
    <w:rsid w:val="00946429"/>
    <w:rsid w:val="009476AE"/>
    <w:rsid w:val="00947740"/>
    <w:rsid w:val="00953495"/>
    <w:rsid w:val="009548B8"/>
    <w:rsid w:val="0095582D"/>
    <w:rsid w:val="0096105B"/>
    <w:rsid w:val="009623EE"/>
    <w:rsid w:val="00963C8F"/>
    <w:rsid w:val="0096456E"/>
    <w:rsid w:val="009671DC"/>
    <w:rsid w:val="00970ADB"/>
    <w:rsid w:val="00971151"/>
    <w:rsid w:val="00972AFB"/>
    <w:rsid w:val="00973CE5"/>
    <w:rsid w:val="00974811"/>
    <w:rsid w:val="00974B00"/>
    <w:rsid w:val="0097693A"/>
    <w:rsid w:val="00980B39"/>
    <w:rsid w:val="00980D88"/>
    <w:rsid w:val="00981AF1"/>
    <w:rsid w:val="009828DD"/>
    <w:rsid w:val="009839BD"/>
    <w:rsid w:val="00983D81"/>
    <w:rsid w:val="00985F86"/>
    <w:rsid w:val="009867B5"/>
    <w:rsid w:val="0099033E"/>
    <w:rsid w:val="00991831"/>
    <w:rsid w:val="00994C8F"/>
    <w:rsid w:val="00995AA0"/>
    <w:rsid w:val="009962C7"/>
    <w:rsid w:val="00996AFB"/>
    <w:rsid w:val="00997F6A"/>
    <w:rsid w:val="009A153D"/>
    <w:rsid w:val="009A2629"/>
    <w:rsid w:val="009A4E33"/>
    <w:rsid w:val="009A4F65"/>
    <w:rsid w:val="009B0D26"/>
    <w:rsid w:val="009B2E97"/>
    <w:rsid w:val="009B7303"/>
    <w:rsid w:val="009B75D2"/>
    <w:rsid w:val="009C1E0F"/>
    <w:rsid w:val="009C3022"/>
    <w:rsid w:val="009C3031"/>
    <w:rsid w:val="009C5D61"/>
    <w:rsid w:val="009C6E6E"/>
    <w:rsid w:val="009D5348"/>
    <w:rsid w:val="009D7759"/>
    <w:rsid w:val="009D7B86"/>
    <w:rsid w:val="009E0903"/>
    <w:rsid w:val="009E0CF4"/>
    <w:rsid w:val="009E1249"/>
    <w:rsid w:val="009E3D47"/>
    <w:rsid w:val="009E43C5"/>
    <w:rsid w:val="009E6AD0"/>
    <w:rsid w:val="009E703D"/>
    <w:rsid w:val="009F0DC4"/>
    <w:rsid w:val="009F44B1"/>
    <w:rsid w:val="00A02943"/>
    <w:rsid w:val="00A02E18"/>
    <w:rsid w:val="00A06B6C"/>
    <w:rsid w:val="00A0741E"/>
    <w:rsid w:val="00A07508"/>
    <w:rsid w:val="00A07B65"/>
    <w:rsid w:val="00A10CD0"/>
    <w:rsid w:val="00A1110C"/>
    <w:rsid w:val="00A12C31"/>
    <w:rsid w:val="00A16566"/>
    <w:rsid w:val="00A2299C"/>
    <w:rsid w:val="00A23578"/>
    <w:rsid w:val="00A23793"/>
    <w:rsid w:val="00A2457E"/>
    <w:rsid w:val="00A31B85"/>
    <w:rsid w:val="00A3212F"/>
    <w:rsid w:val="00A33D88"/>
    <w:rsid w:val="00A3558F"/>
    <w:rsid w:val="00A361F7"/>
    <w:rsid w:val="00A369D2"/>
    <w:rsid w:val="00A3704A"/>
    <w:rsid w:val="00A40EFB"/>
    <w:rsid w:val="00A4122B"/>
    <w:rsid w:val="00A42342"/>
    <w:rsid w:val="00A43392"/>
    <w:rsid w:val="00A44733"/>
    <w:rsid w:val="00A45A88"/>
    <w:rsid w:val="00A548A1"/>
    <w:rsid w:val="00A55592"/>
    <w:rsid w:val="00A574EC"/>
    <w:rsid w:val="00A57ACE"/>
    <w:rsid w:val="00A60019"/>
    <w:rsid w:val="00A650EE"/>
    <w:rsid w:val="00A67031"/>
    <w:rsid w:val="00A71472"/>
    <w:rsid w:val="00A77147"/>
    <w:rsid w:val="00A83382"/>
    <w:rsid w:val="00A853EB"/>
    <w:rsid w:val="00A85A4A"/>
    <w:rsid w:val="00A91310"/>
    <w:rsid w:val="00A921DF"/>
    <w:rsid w:val="00A92725"/>
    <w:rsid w:val="00A95DC8"/>
    <w:rsid w:val="00A96440"/>
    <w:rsid w:val="00A96B4B"/>
    <w:rsid w:val="00A97DE8"/>
    <w:rsid w:val="00AA2675"/>
    <w:rsid w:val="00AA293A"/>
    <w:rsid w:val="00AA39C3"/>
    <w:rsid w:val="00AA3D8F"/>
    <w:rsid w:val="00AA59F1"/>
    <w:rsid w:val="00AB36E6"/>
    <w:rsid w:val="00AB43C0"/>
    <w:rsid w:val="00AB4813"/>
    <w:rsid w:val="00AB5791"/>
    <w:rsid w:val="00AB6B86"/>
    <w:rsid w:val="00AC0AE7"/>
    <w:rsid w:val="00AC1095"/>
    <w:rsid w:val="00AC32C3"/>
    <w:rsid w:val="00AC3C67"/>
    <w:rsid w:val="00AC45F7"/>
    <w:rsid w:val="00AC4E42"/>
    <w:rsid w:val="00AC70DF"/>
    <w:rsid w:val="00AD041A"/>
    <w:rsid w:val="00AD7100"/>
    <w:rsid w:val="00AE09FF"/>
    <w:rsid w:val="00AE0C3F"/>
    <w:rsid w:val="00AE1547"/>
    <w:rsid w:val="00AE4A3B"/>
    <w:rsid w:val="00AE5752"/>
    <w:rsid w:val="00AE5B9D"/>
    <w:rsid w:val="00AF101D"/>
    <w:rsid w:val="00AF1A9E"/>
    <w:rsid w:val="00B00782"/>
    <w:rsid w:val="00B01D6E"/>
    <w:rsid w:val="00B02C9F"/>
    <w:rsid w:val="00B02FC9"/>
    <w:rsid w:val="00B0429F"/>
    <w:rsid w:val="00B05349"/>
    <w:rsid w:val="00B05456"/>
    <w:rsid w:val="00B0577E"/>
    <w:rsid w:val="00B05A81"/>
    <w:rsid w:val="00B05B02"/>
    <w:rsid w:val="00B105A1"/>
    <w:rsid w:val="00B13E61"/>
    <w:rsid w:val="00B151B1"/>
    <w:rsid w:val="00B15573"/>
    <w:rsid w:val="00B17430"/>
    <w:rsid w:val="00B2125D"/>
    <w:rsid w:val="00B243A9"/>
    <w:rsid w:val="00B25943"/>
    <w:rsid w:val="00B25D14"/>
    <w:rsid w:val="00B26372"/>
    <w:rsid w:val="00B32936"/>
    <w:rsid w:val="00B329B4"/>
    <w:rsid w:val="00B33471"/>
    <w:rsid w:val="00B35A19"/>
    <w:rsid w:val="00B41368"/>
    <w:rsid w:val="00B422FF"/>
    <w:rsid w:val="00B46F66"/>
    <w:rsid w:val="00B50D27"/>
    <w:rsid w:val="00B51075"/>
    <w:rsid w:val="00B54EFF"/>
    <w:rsid w:val="00B552E3"/>
    <w:rsid w:val="00B562BC"/>
    <w:rsid w:val="00B56608"/>
    <w:rsid w:val="00B5790C"/>
    <w:rsid w:val="00B61F5A"/>
    <w:rsid w:val="00B6320E"/>
    <w:rsid w:val="00B6380F"/>
    <w:rsid w:val="00B6490D"/>
    <w:rsid w:val="00B6494D"/>
    <w:rsid w:val="00B65E0E"/>
    <w:rsid w:val="00B660DA"/>
    <w:rsid w:val="00B66C86"/>
    <w:rsid w:val="00B67519"/>
    <w:rsid w:val="00B67BB0"/>
    <w:rsid w:val="00B703E5"/>
    <w:rsid w:val="00B704F3"/>
    <w:rsid w:val="00B7470F"/>
    <w:rsid w:val="00B74D69"/>
    <w:rsid w:val="00B7530F"/>
    <w:rsid w:val="00B75AEE"/>
    <w:rsid w:val="00B76C2E"/>
    <w:rsid w:val="00B76DE3"/>
    <w:rsid w:val="00B7736F"/>
    <w:rsid w:val="00B77B3D"/>
    <w:rsid w:val="00B77F6C"/>
    <w:rsid w:val="00B80C99"/>
    <w:rsid w:val="00B81A88"/>
    <w:rsid w:val="00B8203B"/>
    <w:rsid w:val="00B87ADF"/>
    <w:rsid w:val="00B91EAF"/>
    <w:rsid w:val="00B92937"/>
    <w:rsid w:val="00B93884"/>
    <w:rsid w:val="00B94E45"/>
    <w:rsid w:val="00B96790"/>
    <w:rsid w:val="00B971E0"/>
    <w:rsid w:val="00BA0E31"/>
    <w:rsid w:val="00BA2E58"/>
    <w:rsid w:val="00BA4333"/>
    <w:rsid w:val="00BA4C37"/>
    <w:rsid w:val="00BA784D"/>
    <w:rsid w:val="00BB17E4"/>
    <w:rsid w:val="00BB2590"/>
    <w:rsid w:val="00BB4249"/>
    <w:rsid w:val="00BB5865"/>
    <w:rsid w:val="00BB5A66"/>
    <w:rsid w:val="00BB5C0C"/>
    <w:rsid w:val="00BB5E8F"/>
    <w:rsid w:val="00BC1306"/>
    <w:rsid w:val="00BC3119"/>
    <w:rsid w:val="00BC43B9"/>
    <w:rsid w:val="00BD07B8"/>
    <w:rsid w:val="00BD0937"/>
    <w:rsid w:val="00BD302C"/>
    <w:rsid w:val="00BD516B"/>
    <w:rsid w:val="00BD5E42"/>
    <w:rsid w:val="00BD625E"/>
    <w:rsid w:val="00BE169E"/>
    <w:rsid w:val="00BE1D29"/>
    <w:rsid w:val="00BE27C3"/>
    <w:rsid w:val="00BE628F"/>
    <w:rsid w:val="00BE67A0"/>
    <w:rsid w:val="00BE6ABC"/>
    <w:rsid w:val="00BE70BC"/>
    <w:rsid w:val="00BF00F3"/>
    <w:rsid w:val="00BF084F"/>
    <w:rsid w:val="00BF0E08"/>
    <w:rsid w:val="00BF1C6E"/>
    <w:rsid w:val="00BF37A6"/>
    <w:rsid w:val="00BF391D"/>
    <w:rsid w:val="00BF3B8C"/>
    <w:rsid w:val="00C00954"/>
    <w:rsid w:val="00C00997"/>
    <w:rsid w:val="00C01BD3"/>
    <w:rsid w:val="00C113F6"/>
    <w:rsid w:val="00C23138"/>
    <w:rsid w:val="00C24626"/>
    <w:rsid w:val="00C260CD"/>
    <w:rsid w:val="00C26390"/>
    <w:rsid w:val="00C26EA8"/>
    <w:rsid w:val="00C27918"/>
    <w:rsid w:val="00C307B5"/>
    <w:rsid w:val="00C31008"/>
    <w:rsid w:val="00C31DA7"/>
    <w:rsid w:val="00C31FCB"/>
    <w:rsid w:val="00C33066"/>
    <w:rsid w:val="00C33A64"/>
    <w:rsid w:val="00C37233"/>
    <w:rsid w:val="00C40DB0"/>
    <w:rsid w:val="00C40FB0"/>
    <w:rsid w:val="00C43C21"/>
    <w:rsid w:val="00C47595"/>
    <w:rsid w:val="00C507CE"/>
    <w:rsid w:val="00C52784"/>
    <w:rsid w:val="00C531E4"/>
    <w:rsid w:val="00C53B5E"/>
    <w:rsid w:val="00C5571A"/>
    <w:rsid w:val="00C57433"/>
    <w:rsid w:val="00C6005C"/>
    <w:rsid w:val="00C607CA"/>
    <w:rsid w:val="00C61C1D"/>
    <w:rsid w:val="00C623FF"/>
    <w:rsid w:val="00C62BEE"/>
    <w:rsid w:val="00C630B5"/>
    <w:rsid w:val="00C6462E"/>
    <w:rsid w:val="00C64B61"/>
    <w:rsid w:val="00C7022E"/>
    <w:rsid w:val="00C70E00"/>
    <w:rsid w:val="00C71F3C"/>
    <w:rsid w:val="00C71F7F"/>
    <w:rsid w:val="00C73DDF"/>
    <w:rsid w:val="00C7417D"/>
    <w:rsid w:val="00C83260"/>
    <w:rsid w:val="00C93F92"/>
    <w:rsid w:val="00C94273"/>
    <w:rsid w:val="00C962D4"/>
    <w:rsid w:val="00CA2985"/>
    <w:rsid w:val="00CA2B22"/>
    <w:rsid w:val="00CA320E"/>
    <w:rsid w:val="00CA4AD1"/>
    <w:rsid w:val="00CA74DA"/>
    <w:rsid w:val="00CA7687"/>
    <w:rsid w:val="00CA7D84"/>
    <w:rsid w:val="00CB1B6A"/>
    <w:rsid w:val="00CB328B"/>
    <w:rsid w:val="00CB32AF"/>
    <w:rsid w:val="00CB4BB2"/>
    <w:rsid w:val="00CB5B92"/>
    <w:rsid w:val="00CC26B7"/>
    <w:rsid w:val="00CC6447"/>
    <w:rsid w:val="00CC6E1F"/>
    <w:rsid w:val="00CD1E4D"/>
    <w:rsid w:val="00CD2ADC"/>
    <w:rsid w:val="00CD3705"/>
    <w:rsid w:val="00CD3811"/>
    <w:rsid w:val="00CD672F"/>
    <w:rsid w:val="00CD7558"/>
    <w:rsid w:val="00CD77C0"/>
    <w:rsid w:val="00CE58D7"/>
    <w:rsid w:val="00CE5F34"/>
    <w:rsid w:val="00CE73F6"/>
    <w:rsid w:val="00CF2ABA"/>
    <w:rsid w:val="00CF3D40"/>
    <w:rsid w:val="00CF5B94"/>
    <w:rsid w:val="00D00ED0"/>
    <w:rsid w:val="00D0127D"/>
    <w:rsid w:val="00D03252"/>
    <w:rsid w:val="00D04C7A"/>
    <w:rsid w:val="00D06481"/>
    <w:rsid w:val="00D067A0"/>
    <w:rsid w:val="00D067A6"/>
    <w:rsid w:val="00D06D4B"/>
    <w:rsid w:val="00D10DFD"/>
    <w:rsid w:val="00D111C4"/>
    <w:rsid w:val="00D136CF"/>
    <w:rsid w:val="00D13AA2"/>
    <w:rsid w:val="00D142A0"/>
    <w:rsid w:val="00D14411"/>
    <w:rsid w:val="00D15FCF"/>
    <w:rsid w:val="00D162CF"/>
    <w:rsid w:val="00D16604"/>
    <w:rsid w:val="00D16EF3"/>
    <w:rsid w:val="00D16F81"/>
    <w:rsid w:val="00D20405"/>
    <w:rsid w:val="00D215D2"/>
    <w:rsid w:val="00D21D3E"/>
    <w:rsid w:val="00D224B7"/>
    <w:rsid w:val="00D230EE"/>
    <w:rsid w:val="00D23D86"/>
    <w:rsid w:val="00D2510D"/>
    <w:rsid w:val="00D25212"/>
    <w:rsid w:val="00D26F3E"/>
    <w:rsid w:val="00D303B9"/>
    <w:rsid w:val="00D312E6"/>
    <w:rsid w:val="00D3701C"/>
    <w:rsid w:val="00D42774"/>
    <w:rsid w:val="00D44896"/>
    <w:rsid w:val="00D448BD"/>
    <w:rsid w:val="00D45D88"/>
    <w:rsid w:val="00D46345"/>
    <w:rsid w:val="00D54B6C"/>
    <w:rsid w:val="00D54E7D"/>
    <w:rsid w:val="00D54FAD"/>
    <w:rsid w:val="00D55D1F"/>
    <w:rsid w:val="00D57C94"/>
    <w:rsid w:val="00D62BFE"/>
    <w:rsid w:val="00D649A6"/>
    <w:rsid w:val="00D64C83"/>
    <w:rsid w:val="00D6552D"/>
    <w:rsid w:val="00D6618A"/>
    <w:rsid w:val="00D677EE"/>
    <w:rsid w:val="00D70DB0"/>
    <w:rsid w:val="00D71808"/>
    <w:rsid w:val="00D71A24"/>
    <w:rsid w:val="00D72D7B"/>
    <w:rsid w:val="00D72EEC"/>
    <w:rsid w:val="00D736EC"/>
    <w:rsid w:val="00D7655F"/>
    <w:rsid w:val="00D80C95"/>
    <w:rsid w:val="00D83ED2"/>
    <w:rsid w:val="00D84586"/>
    <w:rsid w:val="00D849E4"/>
    <w:rsid w:val="00D84FF1"/>
    <w:rsid w:val="00D86813"/>
    <w:rsid w:val="00D86BCC"/>
    <w:rsid w:val="00D90ABB"/>
    <w:rsid w:val="00D914B9"/>
    <w:rsid w:val="00D91AF0"/>
    <w:rsid w:val="00D91E14"/>
    <w:rsid w:val="00D92C9C"/>
    <w:rsid w:val="00D93BDE"/>
    <w:rsid w:val="00D94330"/>
    <w:rsid w:val="00D970A0"/>
    <w:rsid w:val="00D97363"/>
    <w:rsid w:val="00D975CC"/>
    <w:rsid w:val="00DA1039"/>
    <w:rsid w:val="00DA1408"/>
    <w:rsid w:val="00DA156F"/>
    <w:rsid w:val="00DA17CE"/>
    <w:rsid w:val="00DA1C66"/>
    <w:rsid w:val="00DA21AE"/>
    <w:rsid w:val="00DA3170"/>
    <w:rsid w:val="00DA599A"/>
    <w:rsid w:val="00DA6AAE"/>
    <w:rsid w:val="00DA74B5"/>
    <w:rsid w:val="00DA75A3"/>
    <w:rsid w:val="00DB0168"/>
    <w:rsid w:val="00DB209B"/>
    <w:rsid w:val="00DB4180"/>
    <w:rsid w:val="00DC05D0"/>
    <w:rsid w:val="00DC0641"/>
    <w:rsid w:val="00DC274E"/>
    <w:rsid w:val="00DC4922"/>
    <w:rsid w:val="00DC4D34"/>
    <w:rsid w:val="00DC60AE"/>
    <w:rsid w:val="00DC77CA"/>
    <w:rsid w:val="00DD415C"/>
    <w:rsid w:val="00DD5C07"/>
    <w:rsid w:val="00DD63B9"/>
    <w:rsid w:val="00DE1688"/>
    <w:rsid w:val="00DE1E71"/>
    <w:rsid w:val="00DE3FA2"/>
    <w:rsid w:val="00DE54CA"/>
    <w:rsid w:val="00DE623D"/>
    <w:rsid w:val="00DF0255"/>
    <w:rsid w:val="00DF1B73"/>
    <w:rsid w:val="00DF39E9"/>
    <w:rsid w:val="00E0078E"/>
    <w:rsid w:val="00E027E3"/>
    <w:rsid w:val="00E02F45"/>
    <w:rsid w:val="00E0498C"/>
    <w:rsid w:val="00E06E33"/>
    <w:rsid w:val="00E07083"/>
    <w:rsid w:val="00E109B4"/>
    <w:rsid w:val="00E124A6"/>
    <w:rsid w:val="00E144CB"/>
    <w:rsid w:val="00E148CB"/>
    <w:rsid w:val="00E1545C"/>
    <w:rsid w:val="00E16C44"/>
    <w:rsid w:val="00E200E0"/>
    <w:rsid w:val="00E2039C"/>
    <w:rsid w:val="00E2199A"/>
    <w:rsid w:val="00E23CA5"/>
    <w:rsid w:val="00E23FAD"/>
    <w:rsid w:val="00E24AD0"/>
    <w:rsid w:val="00E27376"/>
    <w:rsid w:val="00E31EB1"/>
    <w:rsid w:val="00E327E9"/>
    <w:rsid w:val="00E33AF8"/>
    <w:rsid w:val="00E34777"/>
    <w:rsid w:val="00E34FE4"/>
    <w:rsid w:val="00E35011"/>
    <w:rsid w:val="00E36916"/>
    <w:rsid w:val="00E415C0"/>
    <w:rsid w:val="00E4229D"/>
    <w:rsid w:val="00E43C14"/>
    <w:rsid w:val="00E43E4F"/>
    <w:rsid w:val="00E44CC6"/>
    <w:rsid w:val="00E45B93"/>
    <w:rsid w:val="00E51C4B"/>
    <w:rsid w:val="00E52F47"/>
    <w:rsid w:val="00E57638"/>
    <w:rsid w:val="00E606A5"/>
    <w:rsid w:val="00E61941"/>
    <w:rsid w:val="00E644DE"/>
    <w:rsid w:val="00E6471F"/>
    <w:rsid w:val="00E65367"/>
    <w:rsid w:val="00E654BD"/>
    <w:rsid w:val="00E65649"/>
    <w:rsid w:val="00E66E7E"/>
    <w:rsid w:val="00E67712"/>
    <w:rsid w:val="00E73247"/>
    <w:rsid w:val="00E734E3"/>
    <w:rsid w:val="00E738D1"/>
    <w:rsid w:val="00E73DD1"/>
    <w:rsid w:val="00E74E37"/>
    <w:rsid w:val="00E774F8"/>
    <w:rsid w:val="00E80548"/>
    <w:rsid w:val="00E822F4"/>
    <w:rsid w:val="00E8262A"/>
    <w:rsid w:val="00E8584B"/>
    <w:rsid w:val="00E87580"/>
    <w:rsid w:val="00E87D66"/>
    <w:rsid w:val="00E913DC"/>
    <w:rsid w:val="00E94688"/>
    <w:rsid w:val="00E95F7C"/>
    <w:rsid w:val="00E961B7"/>
    <w:rsid w:val="00EA0F49"/>
    <w:rsid w:val="00EA4532"/>
    <w:rsid w:val="00EA4CA8"/>
    <w:rsid w:val="00EA50F2"/>
    <w:rsid w:val="00EA5108"/>
    <w:rsid w:val="00EA712B"/>
    <w:rsid w:val="00EA75A4"/>
    <w:rsid w:val="00EB16FB"/>
    <w:rsid w:val="00EB18E4"/>
    <w:rsid w:val="00EB2671"/>
    <w:rsid w:val="00EB7CDB"/>
    <w:rsid w:val="00EC105A"/>
    <w:rsid w:val="00EC197C"/>
    <w:rsid w:val="00EC5E9C"/>
    <w:rsid w:val="00EC733C"/>
    <w:rsid w:val="00ED1C01"/>
    <w:rsid w:val="00ED1E62"/>
    <w:rsid w:val="00ED218B"/>
    <w:rsid w:val="00ED2F30"/>
    <w:rsid w:val="00ED34FA"/>
    <w:rsid w:val="00ED4E56"/>
    <w:rsid w:val="00ED65C1"/>
    <w:rsid w:val="00EE08FB"/>
    <w:rsid w:val="00EE1FB7"/>
    <w:rsid w:val="00EE288D"/>
    <w:rsid w:val="00EE2A38"/>
    <w:rsid w:val="00EE348F"/>
    <w:rsid w:val="00EE3859"/>
    <w:rsid w:val="00EE4538"/>
    <w:rsid w:val="00EF036E"/>
    <w:rsid w:val="00EF0759"/>
    <w:rsid w:val="00EF1127"/>
    <w:rsid w:val="00EF142E"/>
    <w:rsid w:val="00EF22BD"/>
    <w:rsid w:val="00EF4360"/>
    <w:rsid w:val="00EF449C"/>
    <w:rsid w:val="00EF65BD"/>
    <w:rsid w:val="00F01EB7"/>
    <w:rsid w:val="00F02052"/>
    <w:rsid w:val="00F02081"/>
    <w:rsid w:val="00F030E6"/>
    <w:rsid w:val="00F04973"/>
    <w:rsid w:val="00F04B56"/>
    <w:rsid w:val="00F05BB8"/>
    <w:rsid w:val="00F11C46"/>
    <w:rsid w:val="00F12037"/>
    <w:rsid w:val="00F12CD8"/>
    <w:rsid w:val="00F14CFA"/>
    <w:rsid w:val="00F15784"/>
    <w:rsid w:val="00F162BE"/>
    <w:rsid w:val="00F1701A"/>
    <w:rsid w:val="00F21C8C"/>
    <w:rsid w:val="00F31D6C"/>
    <w:rsid w:val="00F32F70"/>
    <w:rsid w:val="00F33AB2"/>
    <w:rsid w:val="00F34084"/>
    <w:rsid w:val="00F34A34"/>
    <w:rsid w:val="00F358DB"/>
    <w:rsid w:val="00F35F53"/>
    <w:rsid w:val="00F35FDC"/>
    <w:rsid w:val="00F40CB9"/>
    <w:rsid w:val="00F41C53"/>
    <w:rsid w:val="00F43CF3"/>
    <w:rsid w:val="00F44FBF"/>
    <w:rsid w:val="00F45429"/>
    <w:rsid w:val="00F51DFE"/>
    <w:rsid w:val="00F5323C"/>
    <w:rsid w:val="00F53FBE"/>
    <w:rsid w:val="00F541C0"/>
    <w:rsid w:val="00F54392"/>
    <w:rsid w:val="00F552B4"/>
    <w:rsid w:val="00F6026A"/>
    <w:rsid w:val="00F6137B"/>
    <w:rsid w:val="00F61BF3"/>
    <w:rsid w:val="00F61E44"/>
    <w:rsid w:val="00F62FFA"/>
    <w:rsid w:val="00F63219"/>
    <w:rsid w:val="00F634CC"/>
    <w:rsid w:val="00F63B75"/>
    <w:rsid w:val="00F63CC7"/>
    <w:rsid w:val="00F67BA5"/>
    <w:rsid w:val="00F67FB4"/>
    <w:rsid w:val="00F7111C"/>
    <w:rsid w:val="00F7115E"/>
    <w:rsid w:val="00F71FA9"/>
    <w:rsid w:val="00F72B40"/>
    <w:rsid w:val="00F737F5"/>
    <w:rsid w:val="00F73CD0"/>
    <w:rsid w:val="00F7674F"/>
    <w:rsid w:val="00F76D95"/>
    <w:rsid w:val="00F80282"/>
    <w:rsid w:val="00F81DEF"/>
    <w:rsid w:val="00F8561A"/>
    <w:rsid w:val="00F87D63"/>
    <w:rsid w:val="00F92BF4"/>
    <w:rsid w:val="00F9440D"/>
    <w:rsid w:val="00FA052C"/>
    <w:rsid w:val="00FA2F1A"/>
    <w:rsid w:val="00FA592D"/>
    <w:rsid w:val="00FA701D"/>
    <w:rsid w:val="00FA7F3B"/>
    <w:rsid w:val="00FB0C25"/>
    <w:rsid w:val="00FB1107"/>
    <w:rsid w:val="00FB25D3"/>
    <w:rsid w:val="00FB71E8"/>
    <w:rsid w:val="00FC0AF0"/>
    <w:rsid w:val="00FC1337"/>
    <w:rsid w:val="00FC53EC"/>
    <w:rsid w:val="00FC660D"/>
    <w:rsid w:val="00FC6FE4"/>
    <w:rsid w:val="00FC73F7"/>
    <w:rsid w:val="00FD104C"/>
    <w:rsid w:val="00FD27DE"/>
    <w:rsid w:val="00FD3503"/>
    <w:rsid w:val="00FD4541"/>
    <w:rsid w:val="00FD520A"/>
    <w:rsid w:val="00FD58A3"/>
    <w:rsid w:val="00FE25A0"/>
    <w:rsid w:val="00FE31F6"/>
    <w:rsid w:val="00FE3AD9"/>
    <w:rsid w:val="00FE4A55"/>
    <w:rsid w:val="00FE5696"/>
    <w:rsid w:val="00FE6F70"/>
    <w:rsid w:val="00FE6FA2"/>
    <w:rsid w:val="00FF04D0"/>
    <w:rsid w:val="00FF0536"/>
    <w:rsid w:val="00FF1174"/>
    <w:rsid w:val="00FF22C3"/>
    <w:rsid w:val="00FF2AD6"/>
    <w:rsid w:val="00FF2F8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86AF2C"/>
  <w15:chartTrackingRefBased/>
  <w15:docId w15:val="{F2BFD7F4-8B00-4C06-9940-7995EE15C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pPr>
        <w:spacing w:before="120" w:after="120"/>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4777"/>
    <w:rPr>
      <w:lang w:eastAsia="en-US"/>
    </w:rPr>
  </w:style>
  <w:style w:type="paragraph" w:styleId="Heading1">
    <w:name w:val="heading 1"/>
    <w:aliases w:val="H1,h1"/>
    <w:basedOn w:val="Normal"/>
    <w:next w:val="Normal"/>
    <w:link w:val="Heading1Char"/>
    <w:qFormat/>
    <w:rsid w:val="00970ADB"/>
    <w:pPr>
      <w:keepNext/>
      <w:numPr>
        <w:numId w:val="8"/>
      </w:numPr>
      <w:spacing w:after="240"/>
      <w:ind w:left="360" w:right="284"/>
      <w:jc w:val="left"/>
      <w:outlineLvl w:val="0"/>
    </w:pPr>
    <w:rPr>
      <w:rFonts w:ascii="Arial" w:hAnsi="Arial"/>
      <w:b/>
      <w:sz w:val="28"/>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rsid w:val="00970ADB"/>
    <w:pPr>
      <w:keepNext/>
      <w:tabs>
        <w:tab w:val="left" w:pos="2694"/>
      </w:tabs>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720A5"/>
    <w:pPr>
      <w:spacing w:before="60" w:line="360" w:lineRule="atLeast"/>
      <w:ind w:left="800" w:hanging="284"/>
    </w:pPr>
    <w:rPr>
      <w:rFonts w:eastAsia="Batang" w:cs="Gulim"/>
      <w:lang w:val="en-US" w:eastAsia="ko-KR"/>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720A5"/>
    <w:rPr>
      <w:rFonts w:eastAsia="Batang" w:cs="Gulim"/>
      <w:lang w:val="en-US" w:eastAsia="ko-KR"/>
    </w:rPr>
  </w:style>
  <w:style w:type="paragraph" w:styleId="Caption">
    <w:name w:val="caption"/>
    <w:basedOn w:val="Normal"/>
    <w:next w:val="Normal"/>
    <w:uiPriority w:val="35"/>
    <w:unhideWhenUsed/>
    <w:qFormat/>
    <w:rsid w:val="00F34A34"/>
    <w:pPr>
      <w:spacing w:after="200"/>
    </w:pPr>
    <w:rPr>
      <w:i/>
      <w:iCs/>
      <w:color w:val="44546A" w:themeColor="text2"/>
      <w:sz w:val="18"/>
      <w:szCs w:val="18"/>
    </w:rPr>
  </w:style>
  <w:style w:type="paragraph" w:styleId="CommentSubject">
    <w:name w:val="annotation subject"/>
    <w:basedOn w:val="CommentText"/>
    <w:next w:val="CommentText"/>
    <w:link w:val="CommentSubjectChar"/>
    <w:uiPriority w:val="99"/>
    <w:semiHidden/>
    <w:unhideWhenUsed/>
    <w:rsid w:val="00432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3276F"/>
    <w:rPr>
      <w:rFonts w:ascii="Arial" w:hAnsi="Arial"/>
      <w:lang w:eastAsia="en-US"/>
    </w:rPr>
  </w:style>
  <w:style w:type="character" w:customStyle="1" w:styleId="CommentSubjectChar">
    <w:name w:val="Comment Subject Char"/>
    <w:basedOn w:val="CommentTextChar"/>
    <w:link w:val="CommentSubject"/>
    <w:uiPriority w:val="99"/>
    <w:semiHidden/>
    <w:rsid w:val="0043276F"/>
    <w:rPr>
      <w:rFonts w:ascii="Arial" w:hAnsi="Arial"/>
      <w:b/>
      <w:bCs/>
      <w:lang w:eastAsia="en-US"/>
    </w:rPr>
  </w:style>
  <w:style w:type="paragraph" w:customStyle="1" w:styleId="iReference">
    <w:name w:val="iReference"/>
    <w:basedOn w:val="Normal"/>
    <w:rsid w:val="00062DF5"/>
    <w:pPr>
      <w:numPr>
        <w:numId w:val="6"/>
      </w:numPr>
      <w:spacing w:before="24" w:after="24"/>
    </w:pPr>
    <w:rPr>
      <w:rFonts w:ascii="Arial" w:hAnsi="Arial" w:cs="Arial"/>
      <w:sz w:val="19"/>
      <w:lang w:val="en-US"/>
    </w:rPr>
  </w:style>
  <w:style w:type="paragraph" w:styleId="Revision">
    <w:name w:val="Revision"/>
    <w:hidden/>
    <w:uiPriority w:val="99"/>
    <w:semiHidden/>
    <w:rsid w:val="00AB36E6"/>
    <w:rPr>
      <w:lang w:eastAsia="en-US"/>
    </w:rPr>
  </w:style>
  <w:style w:type="character" w:customStyle="1" w:styleId="FooterChar">
    <w:name w:val="Footer Char"/>
    <w:basedOn w:val="DefaultParagraphFont"/>
    <w:link w:val="Footer"/>
    <w:uiPriority w:val="99"/>
    <w:rsid w:val="00FD3503"/>
    <w:rPr>
      <w:lang w:eastAsia="en-US"/>
    </w:rPr>
  </w:style>
  <w:style w:type="character" w:customStyle="1" w:styleId="3GPPAgreementsChar">
    <w:name w:val="3GPP Agreements Char"/>
    <w:link w:val="3GPPAgreements"/>
    <w:locked/>
    <w:rsid w:val="00995AA0"/>
    <w:rPr>
      <w:rFonts w:ascii="SimSun" w:eastAsia="SimSun" w:hAnsi="SimSun"/>
      <w:sz w:val="22"/>
    </w:rPr>
  </w:style>
  <w:style w:type="paragraph" w:customStyle="1" w:styleId="3GPPAgreements">
    <w:name w:val="3GPP Agreements"/>
    <w:basedOn w:val="Normal"/>
    <w:link w:val="3GPPAgreementsChar"/>
    <w:qFormat/>
    <w:rsid w:val="00995AA0"/>
    <w:pPr>
      <w:numPr>
        <w:numId w:val="7"/>
      </w:numPr>
      <w:overflowPunct w:val="0"/>
      <w:autoSpaceDE w:val="0"/>
      <w:autoSpaceDN w:val="0"/>
      <w:adjustRightInd w:val="0"/>
      <w:spacing w:before="60" w:after="60"/>
    </w:pPr>
    <w:rPr>
      <w:rFonts w:ascii="SimSun" w:eastAsia="SimSun" w:hAnsi="SimSun"/>
      <w:sz w:val="22"/>
      <w:lang w:eastAsia="en-GB"/>
    </w:rPr>
  </w:style>
  <w:style w:type="character" w:styleId="Emphasis">
    <w:name w:val="Emphasis"/>
    <w:basedOn w:val="DefaultParagraphFont"/>
    <w:uiPriority w:val="20"/>
    <w:qFormat/>
    <w:rsid w:val="005D3981"/>
    <w:rPr>
      <w:i/>
      <w:iCs/>
    </w:rPr>
  </w:style>
  <w:style w:type="character" w:customStyle="1" w:styleId="Heading1Char">
    <w:name w:val="Heading 1 Char"/>
    <w:aliases w:val="H1 Char,h1 Char"/>
    <w:basedOn w:val="DefaultParagraphFont"/>
    <w:link w:val="Heading1"/>
    <w:rsid w:val="00970ADB"/>
    <w:rPr>
      <w:rFonts w:ascii="Arial" w:hAnsi="Arial"/>
      <w:b/>
      <w:sz w:val="28"/>
      <w:lang w:eastAsia="en-US"/>
    </w:rPr>
  </w:style>
  <w:style w:type="paragraph" w:customStyle="1" w:styleId="PL">
    <w:name w:val="PL"/>
    <w:link w:val="PLChar"/>
    <w:qFormat/>
    <w:rsid w:val="000952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0" w:after="0"/>
      <w:jc w:val="left"/>
      <w:textAlignment w:val="baseline"/>
    </w:pPr>
    <w:rPr>
      <w:rFonts w:ascii="Courier New" w:hAnsi="Courier New"/>
      <w:noProof/>
      <w:sz w:val="16"/>
      <w:lang w:val="en-US" w:eastAsia="en-US"/>
    </w:rPr>
  </w:style>
  <w:style w:type="character" w:customStyle="1" w:styleId="PLChar">
    <w:name w:val="PL Char"/>
    <w:link w:val="PL"/>
    <w:qFormat/>
    <w:rsid w:val="00095298"/>
    <w:rPr>
      <w:rFonts w:ascii="Courier New" w:hAnsi="Courier New"/>
      <w:noProof/>
      <w:sz w:val="16"/>
      <w:lang w:val="en-US" w:eastAsia="en-US"/>
    </w:rPr>
  </w:style>
  <w:style w:type="paragraph" w:customStyle="1" w:styleId="TAL">
    <w:name w:val="TAL"/>
    <w:basedOn w:val="Normal"/>
    <w:link w:val="TALCar"/>
    <w:qFormat/>
    <w:rsid w:val="008818BC"/>
    <w:pPr>
      <w:keepNext/>
      <w:keepLines/>
      <w:spacing w:before="0" w:after="0"/>
      <w:jc w:val="left"/>
    </w:pPr>
    <w:rPr>
      <w:rFonts w:ascii="Arial" w:eastAsia="Malgun Gothic" w:hAnsi="Arial"/>
      <w:sz w:val="18"/>
    </w:rPr>
  </w:style>
  <w:style w:type="paragraph" w:customStyle="1" w:styleId="TAH">
    <w:name w:val="TAH"/>
    <w:basedOn w:val="Normal"/>
    <w:link w:val="TAHCar"/>
    <w:qFormat/>
    <w:rsid w:val="008818BC"/>
    <w:pPr>
      <w:keepNext/>
      <w:keepLines/>
      <w:spacing w:before="0" w:after="0"/>
      <w:jc w:val="center"/>
    </w:pPr>
    <w:rPr>
      <w:rFonts w:ascii="Arial" w:eastAsia="Malgun Gothic" w:hAnsi="Arial"/>
      <w:b/>
      <w:sz w:val="18"/>
      <w:lang w:val="x-none"/>
    </w:rPr>
  </w:style>
  <w:style w:type="character" w:customStyle="1" w:styleId="TALCar">
    <w:name w:val="TAL Car"/>
    <w:link w:val="TAL"/>
    <w:qFormat/>
    <w:rsid w:val="008818BC"/>
    <w:rPr>
      <w:rFonts w:ascii="Arial" w:eastAsia="Malgun Gothic" w:hAnsi="Arial"/>
      <w:sz w:val="18"/>
      <w:lang w:eastAsia="en-US"/>
    </w:rPr>
  </w:style>
  <w:style w:type="character" w:customStyle="1" w:styleId="TAHCar">
    <w:name w:val="TAH Car"/>
    <w:link w:val="TAH"/>
    <w:qFormat/>
    <w:locked/>
    <w:rsid w:val="008818BC"/>
    <w:rPr>
      <w:rFonts w:ascii="Arial" w:eastAsia="Malgun Gothic" w:hAnsi="Arial"/>
      <w:b/>
      <w:sz w:val="18"/>
      <w:lang w:val="x-none" w:eastAsia="en-US"/>
    </w:rPr>
  </w:style>
  <w:style w:type="paragraph" w:customStyle="1" w:styleId="ZA">
    <w:name w:val="ZA"/>
    <w:rsid w:val="00024B1D"/>
    <w:pPr>
      <w:framePr w:w="10206" w:h="794" w:hRule="exact" w:wrap="notBeside" w:vAnchor="page" w:hAnchor="margin" w:y="1135"/>
      <w:widowControl w:val="0"/>
      <w:pBdr>
        <w:bottom w:val="single" w:sz="12" w:space="1" w:color="auto"/>
      </w:pBdr>
      <w:spacing w:before="0" w:after="0"/>
      <w:jc w:val="right"/>
    </w:pPr>
    <w:rPr>
      <w:rFonts w:ascii="Arial" w:eastAsia="Malgun Gothic" w:hAnsi="Arial"/>
      <w:noProof/>
      <w:sz w:val="40"/>
      <w:lang w:eastAsia="en-US"/>
    </w:rPr>
  </w:style>
  <w:style w:type="table" w:styleId="TableGrid">
    <w:name w:val="Table Grid"/>
    <w:basedOn w:val="TableNormal"/>
    <w:uiPriority w:val="39"/>
    <w:rsid w:val="00E654BD"/>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rsid w:val="00EE08FB"/>
    <w:pPr>
      <w:keepNext/>
      <w:keepLines/>
      <w:spacing w:before="60" w:after="180"/>
      <w:jc w:val="center"/>
    </w:pPr>
    <w:rPr>
      <w:rFonts w:ascii="Arial" w:eastAsia="Yu Mincho" w:hAnsi="Arial"/>
      <w:b/>
    </w:rPr>
  </w:style>
  <w:style w:type="character" w:customStyle="1" w:styleId="THChar">
    <w:name w:val="TH Char"/>
    <w:link w:val="TH"/>
    <w:rsid w:val="00EE08FB"/>
    <w:rPr>
      <w:rFonts w:ascii="Arial" w:eastAsia="Yu Mincho" w:hAnsi="Arial"/>
      <w:b/>
      <w:lang w:eastAsia="en-US"/>
    </w:rPr>
  </w:style>
  <w:style w:type="character" w:customStyle="1" w:styleId="LGTdocChar">
    <w:name w:val="LGTdoc_본문 Char"/>
    <w:link w:val="LGTdoc"/>
    <w:qFormat/>
    <w:rsid w:val="00FE6FA2"/>
    <w:rPr>
      <w:kern w:val="2"/>
      <w:sz w:val="22"/>
      <w:szCs w:val="24"/>
      <w:lang w:eastAsia="ko-KR"/>
    </w:rPr>
  </w:style>
  <w:style w:type="paragraph" w:customStyle="1" w:styleId="LGTdoc">
    <w:name w:val="LGTdoc_본문"/>
    <w:basedOn w:val="Normal"/>
    <w:link w:val="LGTdocChar"/>
    <w:qFormat/>
    <w:rsid w:val="00FE6FA2"/>
    <w:pPr>
      <w:widowControl w:val="0"/>
      <w:autoSpaceDE w:val="0"/>
      <w:autoSpaceDN w:val="0"/>
      <w:adjustRightInd w:val="0"/>
      <w:snapToGrid w:val="0"/>
      <w:spacing w:before="0" w:afterLines="50" w:after="0" w:line="264" w:lineRule="auto"/>
    </w:pPr>
    <w:rPr>
      <w:kern w:val="2"/>
      <w:sz w:val="22"/>
      <w:szCs w:val="24"/>
      <w:lang w:eastAsia="ko-KR"/>
    </w:rPr>
  </w:style>
  <w:style w:type="paragraph" w:customStyle="1" w:styleId="0Maintext">
    <w:name w:val="0 Main text"/>
    <w:basedOn w:val="Normal"/>
    <w:link w:val="0MaintextChar"/>
    <w:qFormat/>
    <w:rsid w:val="00202075"/>
    <w:pPr>
      <w:spacing w:before="0" w:after="100" w:afterAutospacing="1" w:line="288" w:lineRule="auto"/>
      <w:ind w:firstLine="360"/>
    </w:pPr>
    <w:rPr>
      <w:rFonts w:eastAsia="Malgun Gothic" w:cs="Batang"/>
    </w:rPr>
  </w:style>
  <w:style w:type="character" w:customStyle="1" w:styleId="0MaintextChar">
    <w:name w:val="0 Main text Char"/>
    <w:link w:val="0Maintext"/>
    <w:rsid w:val="00202075"/>
    <w:rPr>
      <w:rFonts w:eastAsia="Malgun Gothic" w:cs="Batang"/>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207AF"/>
    <w:rPr>
      <w:lang w:eastAsia="en-US"/>
    </w:rPr>
  </w:style>
  <w:style w:type="character" w:styleId="Strong">
    <w:name w:val="Strong"/>
    <w:uiPriority w:val="22"/>
    <w:qFormat/>
    <w:rsid w:val="009E6AD0"/>
    <w:rPr>
      <w:b/>
      <w:bCs/>
    </w:rPr>
  </w:style>
  <w:style w:type="character" w:customStyle="1" w:styleId="apple-converted-space">
    <w:name w:val="apple-converted-space"/>
    <w:basedOn w:val="DefaultParagraphFont"/>
    <w:qFormat/>
    <w:rsid w:val="00E1545C"/>
  </w:style>
  <w:style w:type="paragraph" w:customStyle="1" w:styleId="xmsonormal">
    <w:name w:val="xmsonormal"/>
    <w:basedOn w:val="Normal"/>
    <w:uiPriority w:val="99"/>
    <w:rsid w:val="000F2537"/>
    <w:pPr>
      <w:spacing w:before="100" w:beforeAutospacing="1" w:after="100" w:afterAutospacing="1"/>
      <w:jc w:val="left"/>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191503">
      <w:bodyDiv w:val="1"/>
      <w:marLeft w:val="0"/>
      <w:marRight w:val="0"/>
      <w:marTop w:val="0"/>
      <w:marBottom w:val="0"/>
      <w:divBdr>
        <w:top w:val="none" w:sz="0" w:space="0" w:color="auto"/>
        <w:left w:val="none" w:sz="0" w:space="0" w:color="auto"/>
        <w:bottom w:val="none" w:sz="0" w:space="0" w:color="auto"/>
        <w:right w:val="none" w:sz="0" w:space="0" w:color="auto"/>
      </w:divBdr>
    </w:div>
    <w:div w:id="315914272">
      <w:bodyDiv w:val="1"/>
      <w:marLeft w:val="0"/>
      <w:marRight w:val="0"/>
      <w:marTop w:val="0"/>
      <w:marBottom w:val="0"/>
      <w:divBdr>
        <w:top w:val="none" w:sz="0" w:space="0" w:color="auto"/>
        <w:left w:val="none" w:sz="0" w:space="0" w:color="auto"/>
        <w:bottom w:val="none" w:sz="0" w:space="0" w:color="auto"/>
        <w:right w:val="none" w:sz="0" w:space="0" w:color="auto"/>
      </w:divBdr>
    </w:div>
    <w:div w:id="358626970">
      <w:bodyDiv w:val="1"/>
      <w:marLeft w:val="0"/>
      <w:marRight w:val="0"/>
      <w:marTop w:val="0"/>
      <w:marBottom w:val="0"/>
      <w:divBdr>
        <w:top w:val="none" w:sz="0" w:space="0" w:color="auto"/>
        <w:left w:val="none" w:sz="0" w:space="0" w:color="auto"/>
        <w:bottom w:val="none" w:sz="0" w:space="0" w:color="auto"/>
        <w:right w:val="none" w:sz="0" w:space="0" w:color="auto"/>
      </w:divBdr>
    </w:div>
    <w:div w:id="604000694">
      <w:bodyDiv w:val="1"/>
      <w:marLeft w:val="0"/>
      <w:marRight w:val="0"/>
      <w:marTop w:val="0"/>
      <w:marBottom w:val="0"/>
      <w:divBdr>
        <w:top w:val="none" w:sz="0" w:space="0" w:color="auto"/>
        <w:left w:val="none" w:sz="0" w:space="0" w:color="auto"/>
        <w:bottom w:val="none" w:sz="0" w:space="0" w:color="auto"/>
        <w:right w:val="none" w:sz="0" w:space="0" w:color="auto"/>
      </w:divBdr>
    </w:div>
    <w:div w:id="1498228562">
      <w:bodyDiv w:val="1"/>
      <w:marLeft w:val="0"/>
      <w:marRight w:val="0"/>
      <w:marTop w:val="0"/>
      <w:marBottom w:val="0"/>
      <w:divBdr>
        <w:top w:val="none" w:sz="0" w:space="0" w:color="auto"/>
        <w:left w:val="none" w:sz="0" w:space="0" w:color="auto"/>
        <w:bottom w:val="none" w:sz="0" w:space="0" w:color="auto"/>
        <w:right w:val="none" w:sz="0" w:space="0" w:color="auto"/>
      </w:divBdr>
      <w:divsChild>
        <w:div w:id="1302536690">
          <w:marLeft w:val="0"/>
          <w:marRight w:val="0"/>
          <w:marTop w:val="0"/>
          <w:marBottom w:val="0"/>
          <w:divBdr>
            <w:top w:val="none" w:sz="0" w:space="0" w:color="auto"/>
            <w:left w:val="none" w:sz="0" w:space="0" w:color="auto"/>
            <w:bottom w:val="none" w:sz="0" w:space="0" w:color="auto"/>
            <w:right w:val="none" w:sz="0" w:space="0" w:color="auto"/>
          </w:divBdr>
        </w:div>
      </w:divsChild>
    </w:div>
    <w:div w:id="1826630933">
      <w:bodyDiv w:val="1"/>
      <w:marLeft w:val="0"/>
      <w:marRight w:val="0"/>
      <w:marTop w:val="0"/>
      <w:marBottom w:val="0"/>
      <w:divBdr>
        <w:top w:val="none" w:sz="0" w:space="0" w:color="auto"/>
        <w:left w:val="none" w:sz="0" w:space="0" w:color="auto"/>
        <w:bottom w:val="none" w:sz="0" w:space="0" w:color="auto"/>
        <w:right w:val="none" w:sz="0" w:space="0" w:color="auto"/>
      </w:divBdr>
    </w:div>
    <w:div w:id="2076076572">
      <w:bodyDiv w:val="1"/>
      <w:marLeft w:val="0"/>
      <w:marRight w:val="0"/>
      <w:marTop w:val="0"/>
      <w:marBottom w:val="0"/>
      <w:divBdr>
        <w:top w:val="none" w:sz="0" w:space="0" w:color="auto"/>
        <w:left w:val="none" w:sz="0" w:space="0" w:color="auto"/>
        <w:bottom w:val="none" w:sz="0" w:space="0" w:color="auto"/>
        <w:right w:val="none" w:sz="0" w:space="0" w:color="auto"/>
      </w:divBdr>
      <w:divsChild>
        <w:div w:id="191477275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F71ED2-9E56-48B5-BABF-FBE7A3C9C48E}">
  <ds:schemaRefs>
    <ds:schemaRef ds:uri="http://schemas.openxmlformats.org/officeDocument/2006/bibliography"/>
  </ds:schemaRefs>
</ds:datastoreItem>
</file>

<file path=customXml/itemProps2.xml><?xml version="1.0" encoding="utf-8"?>
<ds:datastoreItem xmlns:ds="http://schemas.openxmlformats.org/officeDocument/2006/customXml" ds:itemID="{4D290023-7058-4343-BEA2-24EEA40213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2018A4-D1FD-4177-A9C9-50A7C9C5CE48}">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7F5B2384-028B-48F5-9B64-7B60F569ED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2876</Words>
  <Characters>16396</Characters>
  <Application>Microsoft Office Word</Application>
  <DocSecurity>4</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19234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Kyle Pan</cp:lastModifiedBy>
  <cp:revision>2</cp:revision>
  <cp:lastPrinted>2002-04-23T07:10:00Z</cp:lastPrinted>
  <dcterms:created xsi:type="dcterms:W3CDTF">2021-08-07T01:47:00Z</dcterms:created>
  <dcterms:modified xsi:type="dcterms:W3CDTF">2021-08-07T01:47:00Z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0x0101003244A18A50E4D44392C0F13FE4390A30</vt:lpwstr>
  </property>
</Properties>
</file>