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2AA08" w14:textId="7151D83B" w:rsidR="00C613CC" w:rsidRPr="00620D8C" w:rsidRDefault="00C613CC" w:rsidP="00C613CC">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#105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Pr="00F2741F">
        <w:rPr>
          <w:rFonts w:ascii="Arial" w:hAnsi="Arial" w:cs="Arial" w:hint="eastAsia"/>
          <w:b/>
          <w:bCs/>
        </w:rPr>
        <w:t>R1-210</w:t>
      </w:r>
      <w:r w:rsidR="00D14654">
        <w:rPr>
          <w:rFonts w:ascii="Arial" w:hAnsi="Arial" w:cs="Arial"/>
          <w:b/>
          <w:bCs/>
        </w:rPr>
        <w:t>5621</w:t>
      </w:r>
    </w:p>
    <w:p w14:paraId="5B31CF32" w14:textId="77777777" w:rsidR="00C613CC" w:rsidRPr="00F4047E" w:rsidRDefault="00C613CC" w:rsidP="00C613CC">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b/>
          <w:bCs/>
          <w:lang w:eastAsia="zh-CN"/>
        </w:rPr>
        <w:t>May</w:t>
      </w:r>
      <w:r>
        <w:rPr>
          <w:rFonts w:ascii="Arial" w:hAnsi="Arial" w:cs="Arial"/>
          <w:b/>
          <w:bCs/>
        </w:rPr>
        <w:t xml:space="preserve"> 10</w:t>
      </w:r>
      <w:r w:rsidRPr="00AF68B0">
        <w:rPr>
          <w:rFonts w:ascii="Arial" w:hAnsi="Arial" w:cs="Arial"/>
          <w:b/>
          <w:bCs/>
          <w:vertAlign w:val="superscript"/>
        </w:rPr>
        <w:t>th</w:t>
      </w:r>
      <w:r>
        <w:rPr>
          <w:rFonts w:ascii="Arial" w:hAnsi="Arial" w:cs="Arial"/>
          <w:b/>
          <w:bCs/>
        </w:rPr>
        <w:t xml:space="preserve"> – </w:t>
      </w:r>
      <w:r>
        <w:rPr>
          <w:rFonts w:ascii="Arial" w:hAnsi="Arial" w:cs="Arial"/>
          <w:b/>
          <w:bCs/>
          <w:lang w:eastAsia="zh-CN"/>
        </w:rPr>
        <w:t>May</w:t>
      </w:r>
      <w:r>
        <w:rPr>
          <w:rFonts w:ascii="Arial" w:hAnsi="Arial" w:cs="Arial"/>
          <w:b/>
          <w:bCs/>
        </w:rPr>
        <w:t xml:space="preserve"> 27</w:t>
      </w:r>
      <w:r w:rsidRPr="00276D59">
        <w:rPr>
          <w:rFonts w:ascii="Arial" w:hAnsi="Arial" w:cs="Arial"/>
          <w:b/>
          <w:bCs/>
          <w:vertAlign w:val="superscript"/>
        </w:rPr>
        <w:t>th</w:t>
      </w:r>
      <w:r w:rsidRPr="009C7296">
        <w:rPr>
          <w:rFonts w:ascii="Arial" w:hAnsi="Arial" w:cs="Arial"/>
          <w:b/>
          <w:bCs/>
        </w:rPr>
        <w:t>, 202</w:t>
      </w:r>
      <w:r>
        <w:rPr>
          <w:rFonts w:ascii="Arial" w:hAnsi="Arial" w:cs="Arial"/>
          <w:b/>
          <w:bCs/>
        </w:rPr>
        <w:t>1</w:t>
      </w:r>
    </w:p>
    <w:p w14:paraId="6199D4BF" w14:textId="77777777" w:rsidR="009C0564" w:rsidRPr="00C613CC" w:rsidRDefault="009C0564" w:rsidP="00071D7D">
      <w:pPr>
        <w:pBdr>
          <w:top w:val="single" w:sz="4" w:space="1" w:color="auto"/>
        </w:pBdr>
        <w:spacing w:after="0"/>
        <w:jc w:val="left"/>
        <w:rPr>
          <w:rFonts w:ascii="Arial" w:hAnsi="Arial" w:cs="Arial"/>
          <w:b/>
          <w:kern w:val="2"/>
          <w:sz w:val="24"/>
          <w:lang w:eastAsia="zh-CN"/>
        </w:rPr>
      </w:pPr>
    </w:p>
    <w:p w14:paraId="6583807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1524A0">
        <w:rPr>
          <w:rFonts w:ascii="Arial" w:hAnsi="Arial" w:cs="Arial"/>
          <w:b/>
          <w:bCs/>
          <w:szCs w:val="20"/>
          <w:lang w:val="en-GB" w:eastAsia="zh-CN"/>
        </w:rPr>
        <w:t>4</w:t>
      </w:r>
    </w:p>
    <w:p w14:paraId="00E3862F"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339F7AB6" w14:textId="77777777"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93BB3">
        <w:rPr>
          <w:rFonts w:ascii="Arial" w:hAnsi="Arial" w:cs="Arial" w:hint="eastAsia"/>
          <w:b/>
          <w:bCs/>
          <w:szCs w:val="20"/>
          <w:lang w:val="en-GB" w:eastAsia="zh-CN"/>
        </w:rPr>
        <w:t>HARQ</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08337675"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3954196B"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6A5FF4D3"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E4027CD" w14:textId="7777777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RAN#8</w:t>
      </w:r>
      <w:r>
        <w:rPr>
          <w:rFonts w:eastAsia="等线"/>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 xml:space="preserve">a study 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w:t>
      </w:r>
      <w:proofErr w:type="gramStart"/>
      <w:r w:rsidRPr="00A1361D">
        <w:rPr>
          <w:bCs/>
          <w:sz w:val="20"/>
          <w:szCs w:val="20"/>
        </w:rPr>
        <w:t>objective</w:t>
      </w:r>
      <w:proofErr w:type="gramEnd"/>
      <w:r w:rsidRPr="00A1361D">
        <w:rPr>
          <w:bCs/>
          <w:sz w:val="20"/>
          <w:szCs w:val="20"/>
        </w:rPr>
        <w:t xml:space="preserve"> is to specify the following enhancements to </w:t>
      </w:r>
      <w:r>
        <w:rPr>
          <w:bCs/>
          <w:sz w:val="20"/>
          <w:szCs w:val="20"/>
          <w:lang w:eastAsia="zh-CN"/>
        </w:rPr>
        <w:t xml:space="preserve">NBIoT/eMTC on </w:t>
      </w:r>
      <w:r>
        <w:rPr>
          <w:rFonts w:hint="eastAsia"/>
          <w:bCs/>
          <w:sz w:val="20"/>
          <w:szCs w:val="20"/>
          <w:lang w:eastAsia="zh-CN"/>
        </w:rPr>
        <w:t>NTN</w:t>
      </w:r>
      <w:r w:rsidRPr="00A1361D">
        <w:rPr>
          <w:bCs/>
          <w:sz w:val="20"/>
          <w:szCs w:val="20"/>
        </w:rPr>
        <w:t>.</w:t>
      </w:r>
    </w:p>
    <w:p w14:paraId="7E43EBEA" w14:textId="77777777" w:rsidR="005E6D60" w:rsidRDefault="005E6D60" w:rsidP="005E6D60">
      <w:pPr>
        <w:spacing w:after="0"/>
        <w:rPr>
          <w:rFonts w:eastAsiaTheme="minorEastAsia"/>
          <w:sz w:val="20"/>
          <w:szCs w:val="20"/>
          <w:lang w:eastAsia="zh-CN"/>
        </w:rPr>
      </w:pPr>
    </w:p>
    <w:p w14:paraId="0EBE675F" w14:textId="77777777" w:rsidR="005E6D60" w:rsidRPr="00B3106E" w:rsidRDefault="005E6D60" w:rsidP="005E6D60">
      <w:pPr>
        <w:spacing w:after="0"/>
        <w:rPr>
          <w:i/>
          <w:sz w:val="20"/>
          <w:szCs w:val="20"/>
        </w:rPr>
      </w:pPr>
      <w:r w:rsidRPr="00B3106E">
        <w:rPr>
          <w:i/>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99068A0" w14:textId="77777777" w:rsidR="005E6D60" w:rsidRPr="00B3106E" w:rsidRDefault="005E6D60" w:rsidP="005E6D60">
      <w:pPr>
        <w:pStyle w:val="B1"/>
        <w:spacing w:after="0"/>
        <w:rPr>
          <w:i/>
        </w:rPr>
      </w:pPr>
      <w:r w:rsidRPr="00B3106E">
        <w:rPr>
          <w:i/>
        </w:rPr>
        <w:t>-</w:t>
      </w:r>
      <w:r w:rsidRPr="00B3106E">
        <w:rPr>
          <w:i/>
        </w:rPr>
        <w:tab/>
        <w:t>Aspects related to random access procedure/signals [RAN1, RAN2]</w:t>
      </w:r>
    </w:p>
    <w:p w14:paraId="740A960B" w14:textId="77777777" w:rsidR="005E6D60" w:rsidRPr="00B3106E" w:rsidRDefault="005E6D60" w:rsidP="005E6D60">
      <w:pPr>
        <w:pStyle w:val="B1"/>
        <w:spacing w:after="0"/>
        <w:rPr>
          <w:i/>
        </w:rPr>
      </w:pPr>
      <w:r w:rsidRPr="00B3106E">
        <w:rPr>
          <w:i/>
        </w:rPr>
        <w:t>-</w:t>
      </w:r>
      <w:r w:rsidRPr="00B3106E">
        <w:rPr>
          <w:i/>
        </w:rPr>
        <w:tab/>
        <w:t>Mechanisms for time/frequency adjustment including Timing Advance, and UL frequency compensation indication [RAN1, RAN2]</w:t>
      </w:r>
    </w:p>
    <w:p w14:paraId="552B0E9E" w14:textId="77777777" w:rsidR="005E6D60" w:rsidRPr="00B3106E" w:rsidRDefault="005E6D60" w:rsidP="005E6D60">
      <w:pPr>
        <w:pStyle w:val="B1"/>
        <w:spacing w:after="0"/>
        <w:rPr>
          <w:i/>
        </w:rPr>
      </w:pPr>
      <w:r w:rsidRPr="00B3106E">
        <w:rPr>
          <w:i/>
        </w:rPr>
        <w:t>-</w:t>
      </w:r>
      <w:r w:rsidRPr="00B3106E">
        <w:rPr>
          <w:i/>
        </w:rPr>
        <w:tab/>
        <w:t>Timing offset related to scheduling and HARQ-ACK feedback [RAN1, RAN2]</w:t>
      </w:r>
    </w:p>
    <w:p w14:paraId="6FDCAF84" w14:textId="77777777" w:rsidR="005E6D60" w:rsidRPr="00B3106E" w:rsidRDefault="005E6D60" w:rsidP="005E6D60">
      <w:pPr>
        <w:pStyle w:val="B1"/>
        <w:spacing w:after="0"/>
        <w:rPr>
          <w:i/>
        </w:rPr>
      </w:pPr>
      <w:r w:rsidRPr="00B3106E">
        <w:rPr>
          <w:i/>
        </w:rPr>
        <w:t>-    Aspects related to HARQ operation [RAN2, RAN1]</w:t>
      </w:r>
    </w:p>
    <w:p w14:paraId="00465F48" w14:textId="77777777" w:rsidR="005E6D60" w:rsidRPr="00B3106E" w:rsidRDefault="005E6D60" w:rsidP="005E6D60">
      <w:pPr>
        <w:pStyle w:val="B1"/>
        <w:spacing w:after="0"/>
        <w:rPr>
          <w:i/>
        </w:rPr>
      </w:pPr>
      <w:r w:rsidRPr="00B3106E">
        <w:rPr>
          <w:i/>
        </w:rPr>
        <w:t>-</w:t>
      </w:r>
      <w:r w:rsidRPr="00B3106E">
        <w:rPr>
          <w:i/>
        </w:rPr>
        <w:tab/>
        <w:t>General aspects related to timers (e.g. SR, DRX, etc.) [RAN2]</w:t>
      </w:r>
    </w:p>
    <w:p w14:paraId="26C1F83E" w14:textId="77777777" w:rsidR="005E6D60" w:rsidRPr="00B3106E" w:rsidRDefault="005E6D60" w:rsidP="005E6D60">
      <w:pPr>
        <w:pStyle w:val="B1"/>
        <w:spacing w:after="0"/>
        <w:rPr>
          <w:i/>
        </w:rPr>
      </w:pPr>
      <w:r w:rsidRPr="00B3106E">
        <w:rPr>
          <w:i/>
        </w:rPr>
        <w:t>-</w:t>
      </w:r>
      <w:r w:rsidRPr="00B3106E">
        <w:rPr>
          <w:i/>
        </w:rPr>
        <w:tab/>
        <w:t>RAN2 aspects related to idle mode and connected mode mobility [RAN2]</w:t>
      </w:r>
    </w:p>
    <w:p w14:paraId="7A5D2702" w14:textId="77777777" w:rsidR="005E6D60" w:rsidRPr="00B3106E" w:rsidRDefault="005E6D60" w:rsidP="005E6D60">
      <w:pPr>
        <w:pStyle w:val="B2"/>
        <w:spacing w:after="0"/>
        <w:rPr>
          <w:i/>
        </w:rPr>
      </w:pPr>
      <w:r w:rsidRPr="00B3106E">
        <w:rPr>
          <w:i/>
        </w:rPr>
        <w:t>-</w:t>
      </w:r>
      <w:r w:rsidRPr="00B3106E">
        <w:rPr>
          <w:i/>
        </w:rPr>
        <w:tab/>
        <w:t>RLF-based for NB-IoT</w:t>
      </w:r>
    </w:p>
    <w:p w14:paraId="62AE60B3" w14:textId="77777777" w:rsidR="005E6D60" w:rsidRPr="00B3106E" w:rsidRDefault="005E6D60" w:rsidP="005E6D60">
      <w:pPr>
        <w:pStyle w:val="B2"/>
        <w:spacing w:after="0"/>
        <w:rPr>
          <w:i/>
        </w:rPr>
      </w:pPr>
      <w:r w:rsidRPr="00B3106E">
        <w:rPr>
          <w:i/>
        </w:rPr>
        <w:t>-</w:t>
      </w:r>
      <w:r w:rsidRPr="00B3106E">
        <w:rPr>
          <w:i/>
        </w:rPr>
        <w:tab/>
        <w:t>Handover-based for eMTC</w:t>
      </w:r>
    </w:p>
    <w:p w14:paraId="56C09F4C" w14:textId="77777777" w:rsidR="005E6D60" w:rsidRPr="00B3106E" w:rsidRDefault="005E6D60" w:rsidP="005E6D60">
      <w:pPr>
        <w:pStyle w:val="B1"/>
        <w:spacing w:after="0"/>
        <w:rPr>
          <w:i/>
        </w:rPr>
      </w:pPr>
      <w:r w:rsidRPr="00B3106E">
        <w:rPr>
          <w:i/>
        </w:rPr>
        <w:t>-</w:t>
      </w:r>
      <w:r w:rsidRPr="00B3106E">
        <w:rPr>
          <w:i/>
        </w:rPr>
        <w:tab/>
        <w:t>System information enhancements [RAN2]</w:t>
      </w:r>
    </w:p>
    <w:p w14:paraId="36AC1282" w14:textId="77777777" w:rsidR="005E6D60" w:rsidRPr="00B3106E" w:rsidRDefault="005E6D60" w:rsidP="005E6D60">
      <w:pPr>
        <w:pStyle w:val="B1"/>
        <w:spacing w:after="0"/>
        <w:rPr>
          <w:i/>
        </w:rPr>
      </w:pPr>
      <w:r w:rsidRPr="00B3106E">
        <w:rPr>
          <w:i/>
        </w:rPr>
        <w:t>-</w:t>
      </w:r>
      <w:r w:rsidRPr="00B3106E">
        <w:rPr>
          <w:i/>
        </w:rPr>
        <w:tab/>
        <w:t>Tracking area enhancements [RAN2]</w:t>
      </w:r>
    </w:p>
    <w:p w14:paraId="024ECE49" w14:textId="77777777" w:rsidR="00864327" w:rsidRDefault="005E6D60" w:rsidP="00864327">
      <w:pPr>
        <w:pStyle w:val="NO"/>
        <w:spacing w:after="0"/>
        <w:rPr>
          <w:i/>
        </w:rPr>
      </w:pPr>
      <w:r w:rsidRPr="00B3106E">
        <w:rPr>
          <w:i/>
        </w:rPr>
        <w:t xml:space="preserve">NOTE 3: </w:t>
      </w:r>
      <w:r w:rsidRPr="00B3106E">
        <w:rPr>
          <w:i/>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244C7DD2" w14:textId="77777777" w:rsidR="00EC554A" w:rsidRDefault="00EC554A" w:rsidP="00EC554A">
      <w:pPr>
        <w:spacing w:after="0"/>
        <w:rPr>
          <w:sz w:val="20"/>
          <w:lang w:eastAsia="zh-CN"/>
        </w:rPr>
      </w:pPr>
    </w:p>
    <w:p w14:paraId="258396B8" w14:textId="5F963387" w:rsidR="00EC554A" w:rsidRDefault="00EC554A" w:rsidP="00EC554A">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656C32">
        <w:rPr>
          <w:sz w:val="20"/>
          <w:lang w:eastAsia="zh-CN"/>
        </w:rPr>
        <w:t>HARQ enhancement</w:t>
      </w:r>
      <w:r>
        <w:rPr>
          <w:sz w:val="20"/>
          <w:lang w:eastAsia="zh-CN"/>
        </w:rPr>
        <w:t xml:space="preserve"> for IoT NTN</w:t>
      </w:r>
      <w:r w:rsidRPr="00C114C3">
        <w:rPr>
          <w:sz w:val="20"/>
          <w:lang w:eastAsia="zh-CN"/>
        </w:rPr>
        <w:t xml:space="preserve"> were achieved</w:t>
      </w:r>
      <w:r>
        <w:rPr>
          <w:sz w:val="20"/>
          <w:lang w:eastAsia="zh-CN"/>
        </w:rPr>
        <w:t>:</w:t>
      </w:r>
    </w:p>
    <w:p w14:paraId="2043B97B" w14:textId="77777777" w:rsidR="0038036D" w:rsidRDefault="0038036D" w:rsidP="00EC554A">
      <w:pPr>
        <w:spacing w:after="0"/>
        <w:rPr>
          <w:sz w:val="20"/>
          <w:lang w:eastAsia="zh-CN"/>
        </w:rPr>
      </w:pPr>
    </w:p>
    <w:p w14:paraId="2BDF3AE5" w14:textId="77777777" w:rsidR="006522C1" w:rsidRPr="0038036D" w:rsidRDefault="006522C1" w:rsidP="0038036D">
      <w:pPr>
        <w:spacing w:after="0"/>
        <w:rPr>
          <w:sz w:val="20"/>
          <w:szCs w:val="20"/>
          <w:lang w:eastAsia="x-none"/>
        </w:rPr>
      </w:pPr>
      <w:r w:rsidRPr="0038036D">
        <w:rPr>
          <w:sz w:val="20"/>
          <w:szCs w:val="20"/>
          <w:highlight w:val="green"/>
          <w:lang w:eastAsia="x-none"/>
        </w:rPr>
        <w:t>Agreement:</w:t>
      </w:r>
    </w:p>
    <w:p w14:paraId="2DE33D55" w14:textId="77777777" w:rsidR="006522C1" w:rsidRPr="0038036D" w:rsidRDefault="006522C1" w:rsidP="0038036D">
      <w:pPr>
        <w:spacing w:after="0"/>
        <w:rPr>
          <w:sz w:val="20"/>
          <w:szCs w:val="20"/>
          <w:lang w:eastAsia="x-none"/>
        </w:rPr>
      </w:pPr>
      <w:r w:rsidRPr="0038036D">
        <w:rPr>
          <w:sz w:val="20"/>
          <w:szCs w:val="20"/>
          <w:lang w:eastAsia="x-none"/>
        </w:rPr>
        <w:t>Increasing the number of HARQ processes for NB-IoT and for eMTC in NTN is recommended not to be supported in Rel-17.</w:t>
      </w:r>
    </w:p>
    <w:p w14:paraId="56DB2AE8" w14:textId="77777777" w:rsidR="006522C1" w:rsidRPr="0038036D" w:rsidRDefault="006522C1" w:rsidP="0038036D">
      <w:pPr>
        <w:spacing w:after="0"/>
        <w:rPr>
          <w:rFonts w:eastAsia="等线"/>
          <w:sz w:val="16"/>
          <w:szCs w:val="16"/>
          <w:lang w:eastAsia="zh-CN"/>
        </w:rPr>
      </w:pPr>
    </w:p>
    <w:p w14:paraId="4ABAE70A" w14:textId="5D45B91B"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Pr>
          <w:sz w:val="20"/>
          <w:szCs w:val="20"/>
          <w:lang w:eastAsia="zh-CN"/>
        </w:rPr>
        <w:t>HARQ enhancement are presented</w:t>
      </w:r>
      <w:r>
        <w:rPr>
          <w:rFonts w:hint="eastAsia"/>
          <w:sz w:val="20"/>
          <w:szCs w:val="20"/>
          <w:lang w:eastAsia="zh-CN"/>
        </w:rPr>
        <w:t>.</w:t>
      </w:r>
    </w:p>
    <w:p w14:paraId="7F3E47B1" w14:textId="77777777" w:rsidR="00D30DDA" w:rsidRPr="005E6D60" w:rsidRDefault="00D30DDA" w:rsidP="00E722BE">
      <w:pPr>
        <w:spacing w:after="0"/>
        <w:rPr>
          <w:sz w:val="20"/>
          <w:szCs w:val="20"/>
          <w:lang w:eastAsia="zh-CN"/>
        </w:rPr>
      </w:pPr>
    </w:p>
    <w:p w14:paraId="13514212"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F606E41" w14:textId="77777777" w:rsidR="00C36807" w:rsidRDefault="00A11D3F" w:rsidP="00C3680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HARQ enhancement on IoT NTN</w:t>
      </w:r>
    </w:p>
    <w:p w14:paraId="02B570F0" w14:textId="77777777" w:rsidR="00A86584" w:rsidRPr="005F67C7" w:rsidRDefault="00A86584" w:rsidP="00A11D3F">
      <w:pPr>
        <w:rPr>
          <w:rFonts w:eastAsiaTheme="minorEastAsia"/>
          <w:sz w:val="20"/>
          <w:szCs w:val="20"/>
          <w:u w:val="single"/>
          <w:lang w:eastAsia="zh-CN"/>
        </w:rPr>
      </w:pPr>
      <w:r w:rsidRPr="005F67C7">
        <w:rPr>
          <w:rFonts w:eastAsiaTheme="minorEastAsia"/>
          <w:sz w:val="20"/>
          <w:szCs w:val="20"/>
          <w:u w:val="single"/>
          <w:lang w:eastAsia="zh-CN"/>
        </w:rPr>
        <w:t>Disabling HARQ feedback</w:t>
      </w:r>
    </w:p>
    <w:p w14:paraId="05BA45FD" w14:textId="34211398" w:rsidR="0016744B" w:rsidRDefault="007B44AB" w:rsidP="00A11D3F">
      <w:pPr>
        <w:rPr>
          <w:rFonts w:eastAsiaTheme="minorEastAsia"/>
          <w:sz w:val="20"/>
          <w:szCs w:val="20"/>
        </w:rPr>
      </w:pPr>
      <w:r w:rsidRPr="005F67C7">
        <w:rPr>
          <w:rFonts w:eastAsia="Calibri"/>
          <w:sz w:val="20"/>
          <w:szCs w:val="20"/>
        </w:rPr>
        <w:t xml:space="preserve">For the long satellite round trip delay, there are a lot of HARQ enhancement solutions proposed in NR NTN. </w:t>
      </w:r>
      <w:r>
        <w:rPr>
          <w:rFonts w:eastAsia="Calibri"/>
          <w:sz w:val="20"/>
          <w:szCs w:val="20"/>
        </w:rPr>
        <w:t>One</w:t>
      </w:r>
      <w:r w:rsidR="00A11D3F" w:rsidRPr="005F67C7">
        <w:rPr>
          <w:rFonts w:eastAsia="Calibri"/>
          <w:sz w:val="20"/>
          <w:szCs w:val="20"/>
        </w:rPr>
        <w:t xml:space="preserve"> solution is to disable UL HARQ feedback to avoid stop-and-wait in HARQ procedure and rely on RLC ARQ for reliability.</w:t>
      </w:r>
      <w:r w:rsidR="00A11D3F" w:rsidRPr="005F67C7">
        <w:rPr>
          <w:rFonts w:hint="eastAsia"/>
          <w:noProof/>
          <w:sz w:val="20"/>
          <w:szCs w:val="20"/>
          <w:lang w:eastAsia="zh-CN"/>
        </w:rPr>
        <w:t xml:space="preserve"> From </w:t>
      </w:r>
      <w:r w:rsidR="00A11D3F" w:rsidRPr="005F67C7">
        <w:rPr>
          <w:noProof/>
          <w:sz w:val="20"/>
          <w:szCs w:val="20"/>
          <w:lang w:eastAsia="zh-CN"/>
        </w:rPr>
        <w:t>NR NTN study</w:t>
      </w:r>
      <w:r w:rsidR="00A11D3F" w:rsidRPr="005F67C7">
        <w:rPr>
          <w:rFonts w:hint="eastAsia"/>
          <w:noProof/>
          <w:sz w:val="20"/>
          <w:szCs w:val="20"/>
          <w:lang w:eastAsia="zh-CN"/>
        </w:rPr>
        <w:t xml:space="preserve">, HARQ </w:t>
      </w:r>
      <w:r w:rsidR="00A11D3F" w:rsidRPr="005F67C7">
        <w:rPr>
          <w:noProof/>
          <w:sz w:val="20"/>
          <w:szCs w:val="20"/>
          <w:lang w:eastAsia="zh-CN"/>
        </w:rPr>
        <w:t xml:space="preserve">feedback </w:t>
      </w:r>
      <w:r w:rsidR="00A11D3F" w:rsidRPr="005F67C7">
        <w:rPr>
          <w:rFonts w:hint="eastAsia"/>
          <w:noProof/>
          <w:sz w:val="20"/>
          <w:szCs w:val="20"/>
          <w:lang w:eastAsia="zh-CN"/>
        </w:rPr>
        <w:t xml:space="preserve">process disabling </w:t>
      </w:r>
      <w:r w:rsidR="00A11D3F" w:rsidRPr="005F67C7">
        <w:rPr>
          <w:noProof/>
          <w:sz w:val="20"/>
          <w:szCs w:val="20"/>
          <w:lang w:eastAsia="zh-CN"/>
        </w:rPr>
        <w:t xml:space="preserve">is configured </w:t>
      </w:r>
      <w:r w:rsidR="00A11D3F" w:rsidRPr="005F67C7">
        <w:rPr>
          <w:rFonts w:hint="eastAsia"/>
          <w:noProof/>
          <w:sz w:val="20"/>
          <w:szCs w:val="20"/>
          <w:lang w:eastAsia="zh-CN"/>
        </w:rPr>
        <w:t>per UE and per</w:t>
      </w:r>
      <w:r w:rsidR="00A11D3F" w:rsidRPr="005F67C7">
        <w:rPr>
          <w:noProof/>
          <w:sz w:val="20"/>
          <w:szCs w:val="20"/>
          <w:lang w:eastAsia="zh-CN"/>
        </w:rPr>
        <w:t xml:space="preserve"> HARQ process</w:t>
      </w:r>
      <w:r w:rsidR="00A11D3F" w:rsidRPr="005F67C7">
        <w:rPr>
          <w:rFonts w:hint="eastAsia"/>
          <w:noProof/>
          <w:sz w:val="20"/>
          <w:szCs w:val="20"/>
          <w:lang w:eastAsia="zh-CN"/>
        </w:rPr>
        <w:t>.</w:t>
      </w:r>
      <w:r w:rsidR="00A11D3F" w:rsidRPr="005F67C7">
        <w:rPr>
          <w:noProof/>
          <w:sz w:val="20"/>
          <w:szCs w:val="20"/>
          <w:lang w:eastAsia="zh-CN"/>
        </w:rPr>
        <w:t xml:space="preserve"> </w:t>
      </w:r>
      <w:r w:rsidR="00787050" w:rsidRPr="005F67C7">
        <w:rPr>
          <w:noProof/>
          <w:sz w:val="20"/>
          <w:szCs w:val="20"/>
          <w:lang w:eastAsia="zh-CN"/>
        </w:rPr>
        <w:t>H</w:t>
      </w:r>
      <w:r w:rsidR="00787050" w:rsidRPr="005F67C7">
        <w:rPr>
          <w:rFonts w:hint="eastAsia"/>
          <w:noProof/>
          <w:sz w:val="20"/>
          <w:szCs w:val="20"/>
          <w:lang w:eastAsia="zh-CN"/>
        </w:rPr>
        <w:t>owever</w:t>
      </w:r>
      <w:r w:rsidR="00787050" w:rsidRPr="005F67C7">
        <w:rPr>
          <w:noProof/>
          <w:sz w:val="20"/>
          <w:szCs w:val="20"/>
          <w:lang w:eastAsia="zh-CN"/>
        </w:rPr>
        <w:t xml:space="preserve">, </w:t>
      </w:r>
      <w:r w:rsidR="00A43CC7" w:rsidRPr="005F67C7">
        <w:rPr>
          <w:rFonts w:eastAsiaTheme="minorEastAsia"/>
          <w:sz w:val="20"/>
          <w:szCs w:val="20"/>
        </w:rPr>
        <w:t xml:space="preserve">for ensuring the efficiency and reliability of transmission carrying the signaling, e.g., RRC configuration/MAC CE command, at least one HARQ process with feedback should be kept. </w:t>
      </w:r>
    </w:p>
    <w:p w14:paraId="561BA120" w14:textId="1CC0E38F" w:rsidR="00A11D3F" w:rsidRPr="005F67C7" w:rsidRDefault="00A11D3F" w:rsidP="00A11D3F">
      <w:pPr>
        <w:rPr>
          <w:rFonts w:eastAsia="Calibri"/>
          <w:sz w:val="20"/>
          <w:szCs w:val="20"/>
        </w:rPr>
      </w:pPr>
      <w:r w:rsidRPr="005F67C7">
        <w:rPr>
          <w:noProof/>
          <w:sz w:val="20"/>
          <w:szCs w:val="20"/>
          <w:lang w:eastAsia="zh-CN"/>
        </w:rPr>
        <w:t>For NBIoT</w:t>
      </w:r>
      <w:r w:rsidR="00FD7E77">
        <w:rPr>
          <w:noProof/>
          <w:sz w:val="20"/>
          <w:szCs w:val="20"/>
          <w:lang w:eastAsia="zh-CN"/>
        </w:rPr>
        <w:t xml:space="preserve"> with </w:t>
      </w:r>
      <w:r w:rsidR="00FD7E77" w:rsidRPr="00FD7E77">
        <w:rPr>
          <w:noProof/>
          <w:sz w:val="20"/>
          <w:szCs w:val="20"/>
          <w:lang w:eastAsia="zh-CN"/>
        </w:rPr>
        <w:t>intermittent delay-tolerant small packet transmissions</w:t>
      </w:r>
      <w:r w:rsidRPr="005F67C7">
        <w:rPr>
          <w:noProof/>
          <w:sz w:val="20"/>
          <w:szCs w:val="20"/>
          <w:lang w:eastAsia="zh-CN"/>
        </w:rPr>
        <w:t>, there are only up to 2 HARQ process number, it is not necessary to support disabling HARQ</w:t>
      </w:r>
      <w:r w:rsidR="00AD08E8" w:rsidRPr="005F67C7">
        <w:rPr>
          <w:noProof/>
          <w:sz w:val="20"/>
          <w:szCs w:val="20"/>
          <w:lang w:eastAsia="zh-CN"/>
        </w:rPr>
        <w:t xml:space="preserve"> due to limited </w:t>
      </w:r>
      <w:r w:rsidR="00787050" w:rsidRPr="005F67C7">
        <w:rPr>
          <w:noProof/>
          <w:sz w:val="20"/>
          <w:szCs w:val="20"/>
          <w:lang w:eastAsia="zh-CN"/>
        </w:rPr>
        <w:t xml:space="preserve">avaiable </w:t>
      </w:r>
      <w:r w:rsidR="00AD08E8" w:rsidRPr="005F67C7">
        <w:rPr>
          <w:noProof/>
          <w:sz w:val="20"/>
          <w:szCs w:val="20"/>
          <w:lang w:eastAsia="zh-CN"/>
        </w:rPr>
        <w:t>HARQ process number</w:t>
      </w:r>
      <w:r w:rsidR="00F24F40" w:rsidRPr="005F67C7">
        <w:rPr>
          <w:noProof/>
          <w:sz w:val="20"/>
          <w:szCs w:val="20"/>
          <w:lang w:eastAsia="zh-CN"/>
        </w:rPr>
        <w:t>.</w:t>
      </w:r>
      <w:r w:rsidRPr="005F67C7">
        <w:rPr>
          <w:noProof/>
          <w:sz w:val="20"/>
          <w:szCs w:val="20"/>
          <w:lang w:eastAsia="zh-CN"/>
        </w:rPr>
        <w:t xml:space="preserve">  </w:t>
      </w:r>
    </w:p>
    <w:p w14:paraId="7D012B84" w14:textId="77777777" w:rsidR="004C5533" w:rsidRPr="005F67C7" w:rsidRDefault="004C5533" w:rsidP="004C5533">
      <w:pPr>
        <w:rPr>
          <w:sz w:val="20"/>
          <w:szCs w:val="20"/>
        </w:rPr>
      </w:pPr>
      <w:r w:rsidRPr="005F67C7">
        <w:rPr>
          <w:noProof/>
          <w:sz w:val="20"/>
          <w:szCs w:val="20"/>
          <w:lang w:eastAsia="zh-CN"/>
        </w:rPr>
        <w:lastRenderedPageBreak/>
        <w:t>While for eMTC, there are up to 8 HARQ process number for FDD CE mode A and up to 2 HARQ process number for FDD CE mode B in Rel.13,</w:t>
      </w:r>
      <w:r w:rsidRPr="005F67C7">
        <w:rPr>
          <w:sz w:val="20"/>
          <w:szCs w:val="20"/>
        </w:rPr>
        <w:t xml:space="preserve"> the disabling HARQ process optimization</w:t>
      </w:r>
      <w:r w:rsidRPr="005F67C7">
        <w:rPr>
          <w:rFonts w:hint="eastAsia"/>
          <w:noProof/>
          <w:sz w:val="20"/>
          <w:szCs w:val="20"/>
          <w:lang w:eastAsia="zh-CN"/>
        </w:rPr>
        <w:t xml:space="preserve"> and</w:t>
      </w:r>
      <w:r w:rsidRPr="005F67C7">
        <w:rPr>
          <w:noProof/>
          <w:sz w:val="20"/>
          <w:szCs w:val="20"/>
          <w:lang w:eastAsia="zh-CN"/>
        </w:rPr>
        <w:t xml:space="preserve"> </w:t>
      </w:r>
      <w:r w:rsidRPr="005F67C7">
        <w:rPr>
          <w:rFonts w:hint="eastAsia"/>
          <w:noProof/>
          <w:sz w:val="20"/>
          <w:szCs w:val="20"/>
          <w:lang w:eastAsia="zh-CN"/>
        </w:rPr>
        <w:t>corresponding</w:t>
      </w:r>
      <w:r w:rsidRPr="005F67C7">
        <w:rPr>
          <w:noProof/>
          <w:sz w:val="20"/>
          <w:szCs w:val="20"/>
          <w:lang w:eastAsia="zh-CN"/>
        </w:rPr>
        <w:t xml:space="preserve"> </w:t>
      </w:r>
      <w:r w:rsidRPr="005F67C7">
        <w:rPr>
          <w:rFonts w:hint="eastAsia"/>
          <w:noProof/>
          <w:sz w:val="20"/>
          <w:szCs w:val="20"/>
          <w:lang w:eastAsia="zh-CN"/>
        </w:rPr>
        <w:t>HARQ</w:t>
      </w:r>
      <w:r w:rsidRPr="005F67C7">
        <w:rPr>
          <w:noProof/>
          <w:sz w:val="20"/>
          <w:szCs w:val="20"/>
          <w:lang w:eastAsia="zh-CN"/>
        </w:rPr>
        <w:t xml:space="preserve"> </w:t>
      </w:r>
      <w:r w:rsidRPr="005F67C7">
        <w:rPr>
          <w:rFonts w:hint="eastAsia"/>
          <w:noProof/>
          <w:sz w:val="20"/>
          <w:szCs w:val="20"/>
          <w:lang w:eastAsia="zh-CN"/>
        </w:rPr>
        <w:t>codebook</w:t>
      </w:r>
      <w:r w:rsidRPr="005F67C7">
        <w:rPr>
          <w:noProof/>
          <w:sz w:val="20"/>
          <w:szCs w:val="20"/>
          <w:lang w:eastAsia="zh-CN"/>
        </w:rPr>
        <w:t xml:space="preserve"> </w:t>
      </w:r>
      <w:r w:rsidRPr="005F67C7">
        <w:rPr>
          <w:rFonts w:hint="eastAsia"/>
          <w:noProof/>
          <w:sz w:val="20"/>
          <w:szCs w:val="20"/>
          <w:lang w:eastAsia="zh-CN"/>
        </w:rPr>
        <w:t>feedback</w:t>
      </w:r>
      <w:r w:rsidRPr="005F67C7">
        <w:rPr>
          <w:noProof/>
          <w:sz w:val="20"/>
          <w:szCs w:val="20"/>
          <w:lang w:eastAsia="zh-CN"/>
        </w:rPr>
        <w:t xml:space="preserve"> </w:t>
      </w:r>
      <w:r w:rsidRPr="005F67C7">
        <w:rPr>
          <w:rFonts w:hint="eastAsia"/>
          <w:noProof/>
          <w:sz w:val="20"/>
          <w:szCs w:val="20"/>
          <w:lang w:eastAsia="zh-CN"/>
        </w:rPr>
        <w:t>enhancement</w:t>
      </w:r>
      <w:r w:rsidRPr="005F67C7">
        <w:rPr>
          <w:noProof/>
          <w:sz w:val="20"/>
          <w:szCs w:val="20"/>
          <w:lang w:eastAsia="zh-CN"/>
        </w:rPr>
        <w:t xml:space="preserve"> can be for further study</w:t>
      </w:r>
      <w:r w:rsidR="00C749BC" w:rsidRPr="005F67C7">
        <w:rPr>
          <w:noProof/>
          <w:sz w:val="20"/>
          <w:szCs w:val="20"/>
          <w:lang w:eastAsia="zh-CN"/>
        </w:rPr>
        <w:t xml:space="preserve">. Considering the legacy </w:t>
      </w:r>
      <w:r w:rsidR="00C749BC" w:rsidRPr="005F67C7">
        <w:rPr>
          <w:sz w:val="20"/>
          <w:szCs w:val="20"/>
        </w:rPr>
        <w:t xml:space="preserve">ARQ re-transmissions in RLC have high latency, which might be acceptable as IoT services are generally delay tolerant, so the </w:t>
      </w:r>
      <w:r w:rsidR="00FE0A8A" w:rsidRPr="005F67C7">
        <w:rPr>
          <w:sz w:val="20"/>
          <w:szCs w:val="20"/>
        </w:rPr>
        <w:t>motivation</w:t>
      </w:r>
      <w:r w:rsidR="00C749BC" w:rsidRPr="005F67C7">
        <w:rPr>
          <w:sz w:val="20"/>
          <w:szCs w:val="20"/>
        </w:rPr>
        <w:t xml:space="preserve"> of disabling HARQ process is not strong</w:t>
      </w:r>
      <w:r w:rsidR="001F2331" w:rsidRPr="005F67C7">
        <w:rPr>
          <w:sz w:val="20"/>
          <w:szCs w:val="20"/>
        </w:rPr>
        <w:t xml:space="preserve"> as NR NT</w:t>
      </w:r>
      <w:r w:rsidR="007540D3" w:rsidRPr="005F67C7">
        <w:rPr>
          <w:sz w:val="20"/>
          <w:szCs w:val="20"/>
        </w:rPr>
        <w:t>N</w:t>
      </w:r>
      <w:r w:rsidR="00C749BC" w:rsidRPr="005F67C7">
        <w:rPr>
          <w:sz w:val="20"/>
          <w:szCs w:val="20"/>
        </w:rPr>
        <w:t>, and the optimization</w:t>
      </w:r>
      <w:r w:rsidR="00A73B80" w:rsidRPr="005F67C7">
        <w:rPr>
          <w:sz w:val="20"/>
          <w:szCs w:val="20"/>
        </w:rPr>
        <w:t xml:space="preserve"> of </w:t>
      </w:r>
      <w:r w:rsidR="0016744B">
        <w:rPr>
          <w:sz w:val="20"/>
          <w:szCs w:val="20"/>
        </w:rPr>
        <w:t xml:space="preserve">disabling </w:t>
      </w:r>
      <w:r w:rsidR="00A73B80" w:rsidRPr="005F67C7">
        <w:rPr>
          <w:sz w:val="20"/>
          <w:szCs w:val="20"/>
        </w:rPr>
        <w:t>HARQ</w:t>
      </w:r>
      <w:r w:rsidR="00C749BC" w:rsidRPr="005F67C7">
        <w:rPr>
          <w:sz w:val="20"/>
          <w:szCs w:val="20"/>
        </w:rPr>
        <w:t xml:space="preserve"> </w:t>
      </w:r>
      <w:r w:rsidRPr="005F67C7">
        <w:rPr>
          <w:sz w:val="20"/>
          <w:szCs w:val="20"/>
        </w:rPr>
        <w:t xml:space="preserve">can be deprioritized if no new requirements of data </w:t>
      </w:r>
      <w:r w:rsidR="00B62A5D" w:rsidRPr="005F67C7">
        <w:rPr>
          <w:sz w:val="20"/>
          <w:szCs w:val="20"/>
        </w:rPr>
        <w:t xml:space="preserve">traffic/service </w:t>
      </w:r>
      <w:r w:rsidRPr="005F67C7">
        <w:rPr>
          <w:sz w:val="20"/>
          <w:szCs w:val="20"/>
        </w:rPr>
        <w:t>are defined.</w:t>
      </w:r>
    </w:p>
    <w:p w14:paraId="30EF753E" w14:textId="7B7A3038" w:rsidR="00232058" w:rsidRDefault="004C5533" w:rsidP="00232058">
      <w:pPr>
        <w:rPr>
          <w:b/>
          <w:i/>
          <w:sz w:val="20"/>
          <w:szCs w:val="20"/>
        </w:rPr>
      </w:pPr>
      <w:r w:rsidRPr="005F67C7">
        <w:rPr>
          <w:b/>
          <w:i/>
          <w:sz w:val="20"/>
          <w:szCs w:val="20"/>
        </w:rPr>
        <w:t xml:space="preserve">Proposal </w:t>
      </w:r>
      <w:r w:rsidR="009C5E1B">
        <w:rPr>
          <w:b/>
          <w:i/>
          <w:sz w:val="20"/>
          <w:szCs w:val="20"/>
        </w:rPr>
        <w:t>1</w:t>
      </w:r>
      <w:r w:rsidRPr="005F67C7">
        <w:rPr>
          <w:b/>
          <w:i/>
          <w:sz w:val="20"/>
          <w:szCs w:val="20"/>
        </w:rPr>
        <w:t>: At least for NBIoT NTN, disabling HARQ is not supported</w:t>
      </w:r>
      <w:r w:rsidR="00863762">
        <w:rPr>
          <w:b/>
          <w:i/>
          <w:sz w:val="20"/>
          <w:szCs w:val="20"/>
        </w:rPr>
        <w:t xml:space="preserve">, and for </w:t>
      </w:r>
      <w:r w:rsidR="00177FA0">
        <w:rPr>
          <w:b/>
          <w:i/>
          <w:sz w:val="20"/>
          <w:szCs w:val="20"/>
        </w:rPr>
        <w:t>eMTC</w:t>
      </w:r>
      <w:r w:rsidR="006D57CC">
        <w:rPr>
          <w:b/>
          <w:i/>
          <w:sz w:val="20"/>
          <w:szCs w:val="20"/>
        </w:rPr>
        <w:t xml:space="preserve">, especially </w:t>
      </w:r>
      <w:r w:rsidR="00177FA0">
        <w:rPr>
          <w:b/>
          <w:i/>
          <w:sz w:val="20"/>
          <w:szCs w:val="20"/>
        </w:rPr>
        <w:t xml:space="preserve">CE mode A, disabling HARQ </w:t>
      </w:r>
      <w:r w:rsidR="003041A8">
        <w:rPr>
          <w:b/>
          <w:i/>
          <w:sz w:val="20"/>
          <w:szCs w:val="20"/>
        </w:rPr>
        <w:t>can be considered in Rel.18 due to limited time for this release</w:t>
      </w:r>
      <w:r w:rsidR="00E45966">
        <w:rPr>
          <w:b/>
          <w:i/>
          <w:sz w:val="20"/>
          <w:szCs w:val="20"/>
        </w:rPr>
        <w:t>.</w:t>
      </w:r>
    </w:p>
    <w:p w14:paraId="05B1F596" w14:textId="77777777" w:rsidR="00D8171D" w:rsidRPr="005A0FE4" w:rsidRDefault="00D8171D" w:rsidP="00232058">
      <w:pPr>
        <w:rPr>
          <w:b/>
          <w:i/>
          <w:sz w:val="20"/>
          <w:szCs w:val="20"/>
        </w:rPr>
      </w:pPr>
    </w:p>
    <w:p w14:paraId="6D71A2F6" w14:textId="77777777" w:rsidR="006A1E23" w:rsidRPr="005F67C7" w:rsidRDefault="00D87213" w:rsidP="00232058">
      <w:pPr>
        <w:rPr>
          <w:sz w:val="20"/>
          <w:szCs w:val="20"/>
          <w:u w:val="single"/>
        </w:rPr>
      </w:pPr>
      <w:r w:rsidRPr="005F67C7">
        <w:rPr>
          <w:sz w:val="20"/>
          <w:szCs w:val="20"/>
          <w:u w:val="single"/>
        </w:rPr>
        <w:t>R</w:t>
      </w:r>
      <w:r w:rsidR="00A86584" w:rsidRPr="005F67C7">
        <w:rPr>
          <w:sz w:val="20"/>
          <w:szCs w:val="20"/>
          <w:u w:val="single"/>
        </w:rPr>
        <w:t>educing PDCCH monitoring</w:t>
      </w:r>
    </w:p>
    <w:p w14:paraId="3B85B699" w14:textId="77777777" w:rsidR="00CD402E" w:rsidRPr="005F67C7" w:rsidRDefault="00CD402E" w:rsidP="00CD402E">
      <w:pPr>
        <w:rPr>
          <w:sz w:val="20"/>
          <w:szCs w:val="20"/>
          <w:lang w:val="en-GB"/>
        </w:rPr>
      </w:pPr>
      <w:r w:rsidRPr="005F67C7">
        <w:rPr>
          <w:sz w:val="20"/>
          <w:szCs w:val="20"/>
          <w:lang w:eastAsia="zh-TW"/>
        </w:rPr>
        <w:t xml:space="preserve">In legacy NPDCCH monitoring, if an NB-IoT UE is configured with one HARQ processes, UE </w:t>
      </w:r>
      <w:r w:rsidRPr="005F67C7">
        <w:rPr>
          <w:sz w:val="20"/>
          <w:szCs w:val="20"/>
          <w:lang w:val="en-GB"/>
        </w:rPr>
        <w:t xml:space="preserve">detects NPDCCH with DCI Format N0 ending in subframe n, and the corresponding NPUSCH format 1 transmission starts from </w:t>
      </w:r>
      <w:proofErr w:type="spellStart"/>
      <w:r w:rsidRPr="005F67C7">
        <w:rPr>
          <w:i/>
          <w:sz w:val="20"/>
          <w:szCs w:val="20"/>
          <w:lang w:val="en-GB"/>
        </w:rPr>
        <w:t>n+k</w:t>
      </w:r>
      <w:proofErr w:type="spellEnd"/>
      <w:r w:rsidRPr="005F67C7">
        <w:rPr>
          <w:sz w:val="20"/>
          <w:szCs w:val="20"/>
          <w:lang w:val="en-GB"/>
        </w:rPr>
        <w:t xml:space="preserve">, UE is not required to monitor NPDCCH in any subframe starting from subframe n+1 to subframe n+k-1. </w:t>
      </w:r>
    </w:p>
    <w:p w14:paraId="13BACF8C" w14:textId="77777777" w:rsidR="00A817A3" w:rsidRPr="005F67C7" w:rsidRDefault="00A817A3" w:rsidP="00A817A3">
      <w:pPr>
        <w:jc w:val="center"/>
        <w:rPr>
          <w:sz w:val="20"/>
          <w:szCs w:val="20"/>
          <w:lang w:val="en-GB"/>
        </w:rPr>
      </w:pPr>
      <w:r w:rsidRPr="005F67C7">
        <w:rPr>
          <w:noProof/>
          <w:sz w:val="20"/>
          <w:szCs w:val="20"/>
          <w:lang w:eastAsia="zh-CN"/>
        </w:rPr>
        <w:drawing>
          <wp:inline distT="0" distB="0" distL="0" distR="0" wp14:anchorId="0D891A00" wp14:editId="5FB73908">
            <wp:extent cx="2123954" cy="5262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183" cy="538654"/>
                    </a:xfrm>
                    <a:prstGeom prst="rect">
                      <a:avLst/>
                    </a:prstGeom>
                    <a:noFill/>
                  </pic:spPr>
                </pic:pic>
              </a:graphicData>
            </a:graphic>
          </wp:inline>
        </w:drawing>
      </w:r>
    </w:p>
    <w:p w14:paraId="00B8D7AC" w14:textId="77777777" w:rsidR="00A817A3" w:rsidRPr="005F67C7" w:rsidRDefault="00A817A3" w:rsidP="00A817A3">
      <w:pPr>
        <w:jc w:val="center"/>
        <w:rPr>
          <w:sz w:val="20"/>
          <w:szCs w:val="20"/>
          <w:lang w:val="en-GB"/>
        </w:rPr>
      </w:pPr>
      <w:r w:rsidRPr="005F67C7">
        <w:rPr>
          <w:rFonts w:hint="eastAsia"/>
          <w:sz w:val="20"/>
          <w:szCs w:val="20"/>
          <w:lang w:eastAsia="zh-CN"/>
        </w:rPr>
        <w:t>F</w:t>
      </w:r>
      <w:r w:rsidRPr="005F67C7">
        <w:rPr>
          <w:sz w:val="20"/>
          <w:szCs w:val="20"/>
          <w:lang w:eastAsia="zh-CN"/>
        </w:rPr>
        <w:t xml:space="preserve">igure 1 </w:t>
      </w:r>
      <w:r w:rsidRPr="005F67C7">
        <w:rPr>
          <w:sz w:val="20"/>
          <w:szCs w:val="20"/>
        </w:rPr>
        <w:t>Legacy NPDCCH monitoring</w:t>
      </w:r>
      <w:r w:rsidR="00083D1F">
        <w:rPr>
          <w:sz w:val="20"/>
          <w:szCs w:val="20"/>
        </w:rPr>
        <w:t xml:space="preserve"> </w:t>
      </w:r>
      <w:r w:rsidRPr="005F67C7">
        <w:rPr>
          <w:sz w:val="20"/>
          <w:szCs w:val="20"/>
        </w:rPr>
        <w:t>(HARQ process=1)</w:t>
      </w:r>
    </w:p>
    <w:p w14:paraId="4E36A299" w14:textId="20534D14" w:rsidR="00F60271" w:rsidRPr="005F67C7" w:rsidRDefault="00CD402E" w:rsidP="00232058">
      <w:pPr>
        <w:rPr>
          <w:sz w:val="20"/>
          <w:szCs w:val="20"/>
          <w:lang w:val="en-GB"/>
        </w:rPr>
      </w:pPr>
      <w:r w:rsidRPr="005F67C7">
        <w:rPr>
          <w:sz w:val="20"/>
          <w:szCs w:val="20"/>
          <w:lang w:val="en-GB" w:eastAsia="zh-TW"/>
        </w:rPr>
        <w:t xml:space="preserve">In IoT NTN networks, </w:t>
      </w:r>
      <w:r w:rsidR="00F60271" w:rsidRPr="005F67C7">
        <w:rPr>
          <w:sz w:val="20"/>
          <w:szCs w:val="20"/>
          <w:lang w:eastAsia="zh-TW"/>
        </w:rPr>
        <w:t xml:space="preserve">the scheduling delay of NPDCCH and corresponding NPUSCH is extended </w:t>
      </w:r>
      <w:proofErr w:type="spellStart"/>
      <w:r w:rsidR="00F60271" w:rsidRPr="005F67C7">
        <w:rPr>
          <w:i/>
          <w:sz w:val="20"/>
          <w:szCs w:val="20"/>
          <w:lang w:eastAsia="zh-TW"/>
        </w:rPr>
        <w:t>K</w:t>
      </w:r>
      <w:r w:rsidR="00F60271" w:rsidRPr="005F67C7">
        <w:rPr>
          <w:i/>
          <w:sz w:val="20"/>
          <w:szCs w:val="20"/>
          <w:vertAlign w:val="subscript"/>
          <w:lang w:eastAsia="zh-TW"/>
        </w:rPr>
        <w:t>offset</w:t>
      </w:r>
      <w:proofErr w:type="spellEnd"/>
      <w:r w:rsidR="00F60271" w:rsidRPr="005F67C7">
        <w:rPr>
          <w:sz w:val="20"/>
          <w:szCs w:val="20"/>
          <w:lang w:eastAsia="zh-TW"/>
        </w:rPr>
        <w:t xml:space="preserve"> due to long propagation delay </w:t>
      </w:r>
      <w:r w:rsidR="00F60271" w:rsidRPr="005F67C7">
        <w:rPr>
          <w:rFonts w:hint="eastAsia"/>
          <w:sz w:val="20"/>
          <w:szCs w:val="20"/>
          <w:lang w:eastAsia="zh-CN"/>
        </w:rPr>
        <w:t>as</w:t>
      </w:r>
      <w:r w:rsidR="00F60271" w:rsidRPr="005F67C7">
        <w:rPr>
          <w:sz w:val="20"/>
          <w:szCs w:val="20"/>
          <w:lang w:eastAsia="zh-TW"/>
        </w:rPr>
        <w:t xml:space="preserve"> shown in Figure </w:t>
      </w:r>
      <w:r w:rsidR="00A817A3" w:rsidRPr="005F67C7">
        <w:rPr>
          <w:sz w:val="20"/>
          <w:szCs w:val="20"/>
          <w:lang w:eastAsia="zh-TW"/>
        </w:rPr>
        <w:t>2</w:t>
      </w:r>
      <w:r w:rsidR="00494EAF" w:rsidRPr="005F67C7">
        <w:rPr>
          <w:sz w:val="20"/>
          <w:szCs w:val="20"/>
          <w:lang w:eastAsia="zh-TW"/>
        </w:rPr>
        <w:t>.</w:t>
      </w:r>
      <w:r w:rsidR="00F60271" w:rsidRPr="005F67C7">
        <w:rPr>
          <w:sz w:val="20"/>
          <w:szCs w:val="20"/>
          <w:lang w:val="en-GB"/>
        </w:rPr>
        <w:t xml:space="preserve"> </w:t>
      </w:r>
      <w:r w:rsidRPr="005F67C7">
        <w:rPr>
          <w:sz w:val="20"/>
          <w:szCs w:val="20"/>
          <w:lang w:val="en-GB"/>
        </w:rPr>
        <w:t xml:space="preserve">The NPDCCH monitoring should be optimized and </w:t>
      </w:r>
      <w:r w:rsidR="00F60271" w:rsidRPr="005F67C7">
        <w:rPr>
          <w:sz w:val="20"/>
          <w:szCs w:val="20"/>
          <w:lang w:val="en-GB"/>
        </w:rPr>
        <w:t xml:space="preserve">NB-IoT </w:t>
      </w:r>
      <w:r w:rsidR="00F60271" w:rsidRPr="005F67C7">
        <w:rPr>
          <w:rFonts w:hint="eastAsia"/>
          <w:sz w:val="20"/>
          <w:szCs w:val="20"/>
          <w:lang w:val="en-GB" w:eastAsia="zh-CN"/>
        </w:rPr>
        <w:t>UE</w:t>
      </w:r>
      <w:r w:rsidR="00F60271" w:rsidRPr="005F67C7">
        <w:rPr>
          <w:sz w:val="20"/>
          <w:szCs w:val="20"/>
          <w:lang w:val="en-GB"/>
        </w:rPr>
        <w:t xml:space="preserve"> is to </w:t>
      </w:r>
      <w:r w:rsidR="00F60271" w:rsidRPr="005F67C7">
        <w:rPr>
          <w:sz w:val="20"/>
          <w:szCs w:val="20"/>
        </w:rPr>
        <w:t>skip NPDCCH monitoring for an HARQ process for a longer time interval than the time interval in TN</w:t>
      </w:r>
      <w:r w:rsidR="00903B1C">
        <w:rPr>
          <w:sz w:val="20"/>
          <w:szCs w:val="20"/>
          <w:lang w:eastAsia="zh-CN"/>
        </w:rPr>
        <w:t>,</w:t>
      </w:r>
      <w:r w:rsidR="00AE3D1F">
        <w:rPr>
          <w:sz w:val="20"/>
          <w:szCs w:val="20"/>
          <w:lang w:eastAsia="zh-CN"/>
        </w:rPr>
        <w:t xml:space="preserve"> </w:t>
      </w:r>
      <w:r w:rsidR="00903B1C">
        <w:rPr>
          <w:sz w:val="20"/>
          <w:szCs w:val="20"/>
          <w:lang w:eastAsia="zh-CN"/>
        </w:rPr>
        <w:t>e.g.,</w:t>
      </w:r>
      <w:r w:rsidR="00903B1C">
        <w:rPr>
          <w:sz w:val="20"/>
          <w:szCs w:val="20"/>
        </w:rPr>
        <w:t xml:space="preserve"> </w:t>
      </w:r>
      <w:r w:rsidR="00A82F8F" w:rsidRPr="00A82F8F">
        <w:rPr>
          <w:sz w:val="20"/>
          <w:szCs w:val="20"/>
        </w:rPr>
        <w:t>UE does not monitor PDCCH until the RTT time has elapsed from the end of the PUSCH</w:t>
      </w:r>
      <w:r w:rsidR="00624E30" w:rsidRPr="005F67C7">
        <w:rPr>
          <w:sz w:val="20"/>
          <w:szCs w:val="20"/>
        </w:rPr>
        <w:t xml:space="preserve"> as shown in Figure </w:t>
      </w:r>
      <w:r w:rsidR="005B2361">
        <w:rPr>
          <w:sz w:val="20"/>
          <w:szCs w:val="20"/>
        </w:rPr>
        <w:t>2</w:t>
      </w:r>
      <w:r w:rsidRPr="005F67C7">
        <w:rPr>
          <w:sz w:val="20"/>
          <w:szCs w:val="20"/>
        </w:rPr>
        <w:t>.</w:t>
      </w:r>
    </w:p>
    <w:p w14:paraId="21089B81" w14:textId="77777777" w:rsidR="003B3561" w:rsidRPr="005F67C7" w:rsidRDefault="003B3561" w:rsidP="003B3561">
      <w:pPr>
        <w:jc w:val="center"/>
        <w:rPr>
          <w:sz w:val="20"/>
          <w:szCs w:val="20"/>
          <w:u w:val="single"/>
        </w:rPr>
      </w:pPr>
      <w:r w:rsidRPr="005F67C7">
        <w:rPr>
          <w:noProof/>
          <w:sz w:val="20"/>
          <w:szCs w:val="20"/>
          <w:lang w:eastAsia="zh-CN"/>
        </w:rPr>
        <w:drawing>
          <wp:inline distT="0" distB="0" distL="0" distR="0" wp14:anchorId="1313E03F" wp14:editId="7C8E796B">
            <wp:extent cx="2552277" cy="5783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5398" cy="597146"/>
                    </a:xfrm>
                    <a:prstGeom prst="rect">
                      <a:avLst/>
                    </a:prstGeom>
                    <a:noFill/>
                  </pic:spPr>
                </pic:pic>
              </a:graphicData>
            </a:graphic>
          </wp:inline>
        </w:drawing>
      </w:r>
    </w:p>
    <w:p w14:paraId="62427396" w14:textId="77777777" w:rsidR="003B3561" w:rsidRPr="005F67C7" w:rsidRDefault="003B3561" w:rsidP="003B3561">
      <w:pPr>
        <w:jc w:val="center"/>
        <w:rPr>
          <w:sz w:val="20"/>
          <w:szCs w:val="20"/>
          <w:lang w:eastAsia="zh-CN"/>
        </w:rPr>
      </w:pPr>
      <w:r w:rsidRPr="005F67C7">
        <w:rPr>
          <w:rFonts w:hint="eastAsia"/>
          <w:sz w:val="20"/>
          <w:szCs w:val="20"/>
          <w:lang w:eastAsia="zh-CN"/>
        </w:rPr>
        <w:t>F</w:t>
      </w:r>
      <w:r w:rsidRPr="005F67C7">
        <w:rPr>
          <w:sz w:val="20"/>
          <w:szCs w:val="20"/>
          <w:lang w:eastAsia="zh-CN"/>
        </w:rPr>
        <w:t xml:space="preserve">igure </w:t>
      </w:r>
      <w:r w:rsidR="00A817A3" w:rsidRPr="005F67C7">
        <w:rPr>
          <w:sz w:val="20"/>
          <w:szCs w:val="20"/>
          <w:lang w:eastAsia="zh-CN"/>
        </w:rPr>
        <w:t>2</w:t>
      </w:r>
      <w:r w:rsidRPr="005F67C7">
        <w:rPr>
          <w:sz w:val="20"/>
          <w:szCs w:val="20"/>
          <w:lang w:eastAsia="zh-CN"/>
        </w:rPr>
        <w:t xml:space="preserve"> Scheduling delay extension</w:t>
      </w:r>
    </w:p>
    <w:p w14:paraId="2A592586" w14:textId="77777777" w:rsidR="00494EAF" w:rsidRPr="005F67C7" w:rsidRDefault="00494EAF" w:rsidP="003B3561">
      <w:pPr>
        <w:jc w:val="center"/>
        <w:rPr>
          <w:sz w:val="20"/>
          <w:szCs w:val="20"/>
          <w:u w:val="single"/>
          <w:lang w:eastAsia="zh-CN"/>
        </w:rPr>
      </w:pPr>
    </w:p>
    <w:p w14:paraId="39014BF7" w14:textId="77777777" w:rsidR="006A1E23" w:rsidRPr="005F67C7" w:rsidRDefault="00CA5D8E" w:rsidP="00624E30">
      <w:pPr>
        <w:jc w:val="center"/>
        <w:rPr>
          <w:sz w:val="20"/>
          <w:szCs w:val="20"/>
        </w:rPr>
      </w:pPr>
      <w:r>
        <w:object w:dxaOrig="14250" w:dyaOrig="4610" w14:anchorId="00D50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04pt" o:ole="">
            <v:imagedata r:id="rId10" o:title=""/>
          </v:shape>
          <o:OLEObject Type="Embed" ProgID="Visio.Drawing.15" ShapeID="_x0000_i1025" DrawAspect="Content" ObjectID="_1682248009" r:id="rId11"/>
        </w:object>
      </w:r>
    </w:p>
    <w:p w14:paraId="01CC04BF" w14:textId="77777777" w:rsidR="006A1E23" w:rsidRPr="005F67C7" w:rsidRDefault="00624E30" w:rsidP="00C9666C">
      <w:pPr>
        <w:jc w:val="center"/>
        <w:rPr>
          <w:sz w:val="20"/>
          <w:szCs w:val="20"/>
        </w:rPr>
      </w:pPr>
      <w:r w:rsidRPr="005F67C7">
        <w:rPr>
          <w:sz w:val="20"/>
          <w:szCs w:val="20"/>
        </w:rPr>
        <w:t xml:space="preserve">Figure </w:t>
      </w:r>
      <w:r w:rsidR="00A817A3" w:rsidRPr="005F67C7">
        <w:rPr>
          <w:sz w:val="20"/>
          <w:szCs w:val="20"/>
        </w:rPr>
        <w:t>3</w:t>
      </w:r>
      <w:r w:rsidRPr="005F67C7">
        <w:rPr>
          <w:sz w:val="20"/>
          <w:szCs w:val="20"/>
        </w:rPr>
        <w:t xml:space="preserve"> NPDCCH monitoring optimization</w:t>
      </w:r>
      <w:r w:rsidR="00083D1F">
        <w:rPr>
          <w:sz w:val="20"/>
          <w:szCs w:val="20"/>
        </w:rPr>
        <w:t xml:space="preserve"> </w:t>
      </w:r>
      <w:r w:rsidR="00083D1F" w:rsidRPr="005F67C7">
        <w:rPr>
          <w:sz w:val="20"/>
          <w:szCs w:val="20"/>
        </w:rPr>
        <w:t>(HARQ process=1)</w:t>
      </w:r>
    </w:p>
    <w:p w14:paraId="0ADEC7D7" w14:textId="13A79430" w:rsidR="00891306" w:rsidRPr="005F67C7" w:rsidRDefault="00532402" w:rsidP="00232058">
      <w:pPr>
        <w:rPr>
          <w:sz w:val="20"/>
          <w:szCs w:val="20"/>
          <w:lang w:eastAsia="zh-TW"/>
        </w:rPr>
      </w:pPr>
      <w:r w:rsidRPr="005F67C7">
        <w:rPr>
          <w:sz w:val="20"/>
          <w:szCs w:val="20"/>
          <w:lang w:eastAsia="zh-TW"/>
        </w:rPr>
        <w:t>In legacy NPDCCH monitoring, i</w:t>
      </w:r>
      <w:r w:rsidR="00891306" w:rsidRPr="005F67C7">
        <w:rPr>
          <w:sz w:val="20"/>
          <w:szCs w:val="20"/>
          <w:lang w:eastAsia="zh-TW"/>
        </w:rPr>
        <w:t xml:space="preserve">f an NB-IoT UE is configured with two HARQ processes, </w:t>
      </w:r>
      <w:r w:rsidR="00EC7183" w:rsidRPr="005F67C7">
        <w:rPr>
          <w:sz w:val="20"/>
          <w:szCs w:val="20"/>
          <w:lang w:eastAsia="zh-TW"/>
        </w:rPr>
        <w:t xml:space="preserve">and UE detects NPDCCH with DCI Format N0 ending in subframe n, and if the corresponding NPUSCH format 1 transmission starts from </w:t>
      </w:r>
      <w:proofErr w:type="spellStart"/>
      <w:r w:rsidR="00EC7183" w:rsidRPr="005F67C7">
        <w:rPr>
          <w:sz w:val="20"/>
          <w:szCs w:val="20"/>
          <w:lang w:eastAsia="zh-TW"/>
        </w:rPr>
        <w:t>n+k</w:t>
      </w:r>
      <w:proofErr w:type="spellEnd"/>
      <w:r w:rsidR="00EC7183" w:rsidRPr="005F67C7">
        <w:rPr>
          <w:sz w:val="20"/>
          <w:szCs w:val="20"/>
          <w:lang w:eastAsia="zh-TW"/>
        </w:rPr>
        <w:t>, the UE is not required to monitor an NPDCCH candidate in any subframe starting from subframe n+k-2 to subframe n+k-1</w:t>
      </w:r>
      <w:r w:rsidR="00C06119">
        <w:rPr>
          <w:sz w:val="20"/>
          <w:szCs w:val="20"/>
          <w:lang w:eastAsia="zh-TW"/>
        </w:rPr>
        <w:t xml:space="preserve"> as shown in Figure 4</w:t>
      </w:r>
      <w:r w:rsidR="00EC7183" w:rsidRPr="005F67C7">
        <w:rPr>
          <w:sz w:val="20"/>
          <w:szCs w:val="20"/>
          <w:lang w:eastAsia="zh-TW"/>
        </w:rPr>
        <w:t>.</w:t>
      </w:r>
      <w:r w:rsidR="00C9666C" w:rsidRPr="005F67C7">
        <w:rPr>
          <w:sz w:val="20"/>
          <w:szCs w:val="20"/>
          <w:lang w:val="en-GB"/>
        </w:rPr>
        <w:t xml:space="preserve"> </w:t>
      </w:r>
    </w:p>
    <w:p w14:paraId="1FA53C48" w14:textId="77777777" w:rsidR="00A86584" w:rsidRPr="005F67C7" w:rsidRDefault="00A86584" w:rsidP="00C9666C">
      <w:pPr>
        <w:jc w:val="center"/>
        <w:rPr>
          <w:sz w:val="20"/>
          <w:szCs w:val="20"/>
          <w:lang w:eastAsia="zh-CN"/>
        </w:rPr>
      </w:pPr>
      <w:r w:rsidRPr="005F67C7">
        <w:rPr>
          <w:noProof/>
          <w:sz w:val="20"/>
          <w:szCs w:val="20"/>
          <w:lang w:eastAsia="zh-CN"/>
        </w:rPr>
        <w:drawing>
          <wp:inline distT="0" distB="0" distL="0" distR="0" wp14:anchorId="07ADBEDC" wp14:editId="2F7FBBD1">
            <wp:extent cx="2211703" cy="7281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4260" cy="735559"/>
                    </a:xfrm>
                    <a:prstGeom prst="rect">
                      <a:avLst/>
                    </a:prstGeom>
                    <a:noFill/>
                    <a:ln>
                      <a:noFill/>
                    </a:ln>
                  </pic:spPr>
                </pic:pic>
              </a:graphicData>
            </a:graphic>
          </wp:inline>
        </w:drawing>
      </w:r>
    </w:p>
    <w:p w14:paraId="772D3548" w14:textId="1EA3D862" w:rsidR="00C06119" w:rsidRDefault="00686F11" w:rsidP="00911B47">
      <w:pPr>
        <w:jc w:val="center"/>
        <w:rPr>
          <w:sz w:val="20"/>
          <w:szCs w:val="20"/>
        </w:rPr>
      </w:pPr>
      <w:r w:rsidRPr="005F67C7">
        <w:rPr>
          <w:rFonts w:hint="eastAsia"/>
          <w:sz w:val="20"/>
          <w:szCs w:val="20"/>
        </w:rPr>
        <w:t>F</w:t>
      </w:r>
      <w:r w:rsidRPr="005F67C7">
        <w:rPr>
          <w:sz w:val="20"/>
          <w:szCs w:val="20"/>
        </w:rPr>
        <w:t xml:space="preserve">igure </w:t>
      </w:r>
      <w:r w:rsidR="00B96E2C">
        <w:rPr>
          <w:sz w:val="20"/>
          <w:szCs w:val="20"/>
        </w:rPr>
        <w:t>4</w:t>
      </w:r>
      <w:r w:rsidRPr="005F67C7">
        <w:rPr>
          <w:sz w:val="20"/>
          <w:szCs w:val="20"/>
        </w:rPr>
        <w:t xml:space="preserve"> </w:t>
      </w:r>
      <w:r w:rsidR="00E91B19" w:rsidRPr="005F67C7">
        <w:rPr>
          <w:sz w:val="20"/>
          <w:szCs w:val="20"/>
        </w:rPr>
        <w:t xml:space="preserve">Legacy </w:t>
      </w:r>
      <w:r w:rsidRPr="005F67C7">
        <w:rPr>
          <w:sz w:val="20"/>
          <w:szCs w:val="20"/>
        </w:rPr>
        <w:t xml:space="preserve">NPDCCH monitoring </w:t>
      </w:r>
      <w:r w:rsidR="00A817A3" w:rsidRPr="005F67C7">
        <w:rPr>
          <w:sz w:val="20"/>
          <w:szCs w:val="20"/>
        </w:rPr>
        <w:t>(HARQ process =2)</w:t>
      </w:r>
    </w:p>
    <w:p w14:paraId="7A3E3F59" w14:textId="77777777" w:rsidR="00C06119" w:rsidRPr="005F67C7" w:rsidRDefault="00C06119" w:rsidP="00C06119">
      <w:pPr>
        <w:rPr>
          <w:sz w:val="20"/>
          <w:szCs w:val="20"/>
          <w:lang w:eastAsia="zh-TW"/>
        </w:rPr>
      </w:pPr>
      <w:r w:rsidRPr="005F67C7">
        <w:rPr>
          <w:sz w:val="20"/>
          <w:szCs w:val="20"/>
          <w:lang w:val="en-GB" w:eastAsia="zh-TW"/>
        </w:rPr>
        <w:t xml:space="preserve">In IoT NTN networks, </w:t>
      </w:r>
      <w:r w:rsidRPr="005F67C7">
        <w:rPr>
          <w:sz w:val="20"/>
          <w:szCs w:val="20"/>
          <w:lang w:eastAsia="zh-TW"/>
        </w:rPr>
        <w:t xml:space="preserve">the scheduling delay of NPDCCH and NPUSCH is extended </w:t>
      </w:r>
      <w:proofErr w:type="spellStart"/>
      <w:r w:rsidRPr="005F67C7">
        <w:rPr>
          <w:i/>
          <w:sz w:val="20"/>
          <w:szCs w:val="20"/>
          <w:lang w:eastAsia="zh-TW"/>
        </w:rPr>
        <w:t>K</w:t>
      </w:r>
      <w:r w:rsidRPr="005F67C7">
        <w:rPr>
          <w:i/>
          <w:sz w:val="20"/>
          <w:szCs w:val="20"/>
          <w:vertAlign w:val="subscript"/>
          <w:lang w:eastAsia="zh-TW"/>
        </w:rPr>
        <w:t>offset</w:t>
      </w:r>
      <w:proofErr w:type="spellEnd"/>
      <w:r w:rsidRPr="005F67C7">
        <w:rPr>
          <w:sz w:val="20"/>
          <w:szCs w:val="20"/>
          <w:lang w:eastAsia="zh-TW"/>
        </w:rPr>
        <w:t xml:space="preserve"> and </w:t>
      </w:r>
      <w:r w:rsidRPr="005F67C7">
        <w:rPr>
          <w:sz w:val="20"/>
          <w:szCs w:val="20"/>
          <w:lang w:val="en-GB"/>
        </w:rPr>
        <w:t>the corresponding NPDCCH monitoring reduction/restriction should be optimized</w:t>
      </w:r>
      <w:r>
        <w:rPr>
          <w:sz w:val="20"/>
          <w:szCs w:val="20"/>
          <w:lang w:val="en-GB"/>
        </w:rPr>
        <w:t xml:space="preserve"> due to NBIoT UE H-FDD feature</w:t>
      </w:r>
      <w:r w:rsidRPr="005F67C7">
        <w:rPr>
          <w:sz w:val="20"/>
          <w:szCs w:val="20"/>
          <w:lang w:val="en-GB"/>
        </w:rPr>
        <w:t>.</w:t>
      </w:r>
    </w:p>
    <w:p w14:paraId="772FA79E" w14:textId="57B12212" w:rsidR="00C06119" w:rsidRPr="00865C91" w:rsidRDefault="00E56978" w:rsidP="007F2D3B">
      <w:pPr>
        <w:pStyle w:val="af6"/>
        <w:numPr>
          <w:ilvl w:val="0"/>
          <w:numId w:val="48"/>
        </w:numPr>
        <w:jc w:val="both"/>
        <w:rPr>
          <w:rFonts w:ascii="Times New Roman" w:hAnsi="Times New Roman"/>
          <w:sz w:val="20"/>
          <w:szCs w:val="20"/>
          <w:lang w:eastAsia="zh-CN"/>
        </w:rPr>
      </w:pPr>
      <w:r>
        <w:rPr>
          <w:rFonts w:ascii="Times New Roman" w:hAnsi="Times New Roman"/>
          <w:sz w:val="20"/>
          <w:szCs w:val="20"/>
          <w:lang w:eastAsia="zh-CN"/>
        </w:rPr>
        <w:lastRenderedPageBreak/>
        <w:t>Different from legacy terrestrial network, d</w:t>
      </w:r>
      <w:r w:rsidR="00AA5092" w:rsidRPr="00865C91">
        <w:rPr>
          <w:rFonts w:ascii="Times New Roman" w:hAnsi="Times New Roman"/>
          <w:sz w:val="20"/>
          <w:szCs w:val="20"/>
          <w:lang w:eastAsia="zh-CN"/>
        </w:rPr>
        <w:t xml:space="preserve">ue to the unknown of the TA adopted by UE, </w:t>
      </w:r>
      <w:proofErr w:type="spellStart"/>
      <w:r w:rsidR="00AA5092" w:rsidRPr="00865C91">
        <w:rPr>
          <w:rFonts w:ascii="Times New Roman" w:hAnsi="Times New Roman"/>
          <w:sz w:val="20"/>
          <w:szCs w:val="20"/>
          <w:lang w:eastAsia="zh-CN"/>
        </w:rPr>
        <w:t>eNB</w:t>
      </w:r>
      <w:proofErr w:type="spellEnd"/>
      <w:r w:rsidR="00AA5092" w:rsidRPr="00865C91">
        <w:rPr>
          <w:rFonts w:ascii="Times New Roman" w:hAnsi="Times New Roman"/>
          <w:sz w:val="20"/>
          <w:szCs w:val="20"/>
          <w:lang w:eastAsia="zh-CN"/>
        </w:rPr>
        <w:t xml:space="preserve"> doesn’t know the exact time for</w:t>
      </w:r>
      <w:r w:rsidR="00746E7C">
        <w:rPr>
          <w:rFonts w:ascii="Times New Roman" w:hAnsi="Times New Roman"/>
          <w:sz w:val="20"/>
          <w:szCs w:val="20"/>
          <w:lang w:eastAsia="zh-CN"/>
        </w:rPr>
        <w:t xml:space="preserve"> UE</w:t>
      </w:r>
      <w:r w:rsidR="00AA5092" w:rsidRPr="00865C91">
        <w:rPr>
          <w:rFonts w:ascii="Times New Roman" w:hAnsi="Times New Roman"/>
          <w:sz w:val="20"/>
          <w:szCs w:val="20"/>
          <w:lang w:eastAsia="zh-CN"/>
        </w:rPr>
        <w:t xml:space="preserve"> </w:t>
      </w:r>
      <w:r w:rsidR="00DE7DAB">
        <w:rPr>
          <w:rFonts w:ascii="Times New Roman" w:hAnsi="Times New Roman"/>
          <w:sz w:val="20"/>
          <w:szCs w:val="20"/>
          <w:lang w:eastAsia="zh-CN"/>
        </w:rPr>
        <w:t>N</w:t>
      </w:r>
      <w:r w:rsidR="00AA5092" w:rsidRPr="00865C91">
        <w:rPr>
          <w:rFonts w:ascii="Times New Roman" w:hAnsi="Times New Roman"/>
          <w:sz w:val="20"/>
          <w:szCs w:val="20"/>
          <w:lang w:eastAsia="zh-CN"/>
        </w:rPr>
        <w:t xml:space="preserve">PUSCH transmission, it is necessary to </w:t>
      </w:r>
      <w:r w:rsidR="007729FB">
        <w:rPr>
          <w:rFonts w:ascii="Times New Roman" w:hAnsi="Times New Roman"/>
          <w:sz w:val="20"/>
          <w:szCs w:val="20"/>
          <w:lang w:eastAsia="zh-CN"/>
        </w:rPr>
        <w:t xml:space="preserve">align the UE and </w:t>
      </w:r>
      <w:proofErr w:type="spellStart"/>
      <w:r w:rsidR="007729FB">
        <w:rPr>
          <w:rFonts w:ascii="Times New Roman" w:hAnsi="Times New Roman"/>
          <w:sz w:val="20"/>
          <w:szCs w:val="20"/>
          <w:lang w:eastAsia="zh-CN"/>
        </w:rPr>
        <w:t>eNB</w:t>
      </w:r>
      <w:proofErr w:type="spellEnd"/>
      <w:r w:rsidR="007729FB">
        <w:rPr>
          <w:rFonts w:ascii="Times New Roman" w:hAnsi="Times New Roman"/>
          <w:sz w:val="20"/>
          <w:szCs w:val="20"/>
          <w:lang w:eastAsia="zh-CN"/>
        </w:rPr>
        <w:t xml:space="preserve"> </w:t>
      </w:r>
      <w:r w:rsidR="008D62B7">
        <w:rPr>
          <w:rFonts w:ascii="Times New Roman" w:hAnsi="Times New Roman"/>
          <w:sz w:val="20"/>
          <w:szCs w:val="20"/>
          <w:lang w:eastAsia="zh-CN"/>
        </w:rPr>
        <w:t>behavior</w:t>
      </w:r>
      <w:r w:rsidR="007729FB">
        <w:rPr>
          <w:rFonts w:ascii="Times New Roman" w:hAnsi="Times New Roman"/>
          <w:sz w:val="20"/>
          <w:szCs w:val="20"/>
          <w:lang w:eastAsia="zh-CN"/>
        </w:rPr>
        <w:t xml:space="preserve"> and </w:t>
      </w:r>
      <w:r w:rsidR="00AA5092" w:rsidRPr="00865C91">
        <w:rPr>
          <w:rFonts w:ascii="Times New Roman" w:hAnsi="Times New Roman"/>
          <w:sz w:val="20"/>
          <w:szCs w:val="20"/>
          <w:lang w:eastAsia="zh-CN"/>
        </w:rPr>
        <w:t xml:space="preserve">specify the exact </w:t>
      </w:r>
      <w:r w:rsidR="009624D5" w:rsidRPr="00865C91">
        <w:rPr>
          <w:rFonts w:ascii="Times New Roman" w:hAnsi="Times New Roman"/>
          <w:sz w:val="20"/>
          <w:szCs w:val="20"/>
          <w:lang w:eastAsia="zh-CN"/>
        </w:rPr>
        <w:t>time</w:t>
      </w:r>
      <w:r w:rsidR="00AA5092" w:rsidRPr="00865C91">
        <w:rPr>
          <w:rFonts w:ascii="Times New Roman" w:hAnsi="Times New Roman"/>
          <w:sz w:val="20"/>
          <w:szCs w:val="20"/>
          <w:lang w:eastAsia="zh-CN"/>
        </w:rPr>
        <w:t xml:space="preserve"> that UE doesn’t need to monitor NPDCCH, e.g., REGION C</w:t>
      </w:r>
      <w:r w:rsidR="00DC60DB">
        <w:rPr>
          <w:rFonts w:ascii="Times New Roman" w:hAnsi="Times New Roman"/>
          <w:sz w:val="20"/>
          <w:szCs w:val="20"/>
          <w:lang w:eastAsia="zh-CN"/>
        </w:rPr>
        <w:t>.</w:t>
      </w:r>
    </w:p>
    <w:p w14:paraId="6EB8F387" w14:textId="0059901D" w:rsidR="00AA5092" w:rsidRPr="00865C91" w:rsidRDefault="003E67FF" w:rsidP="007F2D3B">
      <w:pPr>
        <w:pStyle w:val="af6"/>
        <w:numPr>
          <w:ilvl w:val="0"/>
          <w:numId w:val="48"/>
        </w:numPr>
        <w:jc w:val="both"/>
        <w:rPr>
          <w:rFonts w:ascii="Times New Roman" w:hAnsi="Times New Roman"/>
          <w:sz w:val="20"/>
          <w:szCs w:val="20"/>
          <w:lang w:eastAsia="zh-CN"/>
        </w:rPr>
      </w:pPr>
      <w:r w:rsidRPr="00865C91">
        <w:rPr>
          <w:rFonts w:ascii="Times New Roman" w:hAnsi="Times New Roman"/>
          <w:sz w:val="20"/>
          <w:szCs w:val="20"/>
          <w:lang w:eastAsia="zh-CN"/>
        </w:rPr>
        <w:t xml:space="preserve">For the NPDCCH monitoring period in REGION A and REGION B, </w:t>
      </w:r>
      <w:r w:rsidR="00B574D7">
        <w:rPr>
          <w:rFonts w:ascii="Times New Roman" w:hAnsi="Times New Roman"/>
          <w:sz w:val="20"/>
          <w:szCs w:val="20"/>
          <w:lang w:eastAsia="zh-CN"/>
        </w:rPr>
        <w:t>does the UE still need to monitor the NPDCCH with the potential another HARQ process? I</w:t>
      </w:r>
      <w:r w:rsidRPr="00865C91">
        <w:rPr>
          <w:rFonts w:ascii="Times New Roman" w:hAnsi="Times New Roman"/>
          <w:sz w:val="20"/>
          <w:szCs w:val="20"/>
          <w:lang w:eastAsia="zh-CN"/>
        </w:rPr>
        <w:t xml:space="preserve">t is not necessary to </w:t>
      </w:r>
      <w:r w:rsidR="008D62B7">
        <w:rPr>
          <w:rFonts w:ascii="Times New Roman" w:hAnsi="Times New Roman"/>
          <w:sz w:val="20"/>
          <w:szCs w:val="20"/>
          <w:lang w:eastAsia="zh-CN"/>
        </w:rPr>
        <w:t>mandate</w:t>
      </w:r>
      <w:r w:rsidRPr="00865C91">
        <w:rPr>
          <w:rFonts w:ascii="Times New Roman" w:hAnsi="Times New Roman"/>
          <w:sz w:val="20"/>
          <w:szCs w:val="20"/>
          <w:lang w:eastAsia="zh-CN"/>
        </w:rPr>
        <w:t xml:space="preserve"> UE to monitor all the time for UE power saving consideration. Given that </w:t>
      </w:r>
      <w:r w:rsidR="00F92459">
        <w:rPr>
          <w:rFonts w:ascii="Times New Roman" w:hAnsi="Times New Roman"/>
          <w:sz w:val="20"/>
          <w:szCs w:val="20"/>
          <w:lang w:eastAsia="zh-CN"/>
        </w:rPr>
        <w:t xml:space="preserve">if </w:t>
      </w:r>
      <w:r w:rsidRPr="00865C91">
        <w:rPr>
          <w:rFonts w:ascii="Times New Roman" w:hAnsi="Times New Roman"/>
          <w:sz w:val="20"/>
          <w:szCs w:val="20"/>
          <w:lang w:eastAsia="zh-CN"/>
        </w:rPr>
        <w:t xml:space="preserve">UE </w:t>
      </w:r>
      <w:r w:rsidR="00F92459">
        <w:rPr>
          <w:rFonts w:ascii="Times New Roman" w:hAnsi="Times New Roman"/>
          <w:sz w:val="20"/>
          <w:szCs w:val="20"/>
          <w:lang w:eastAsia="zh-CN"/>
        </w:rPr>
        <w:t>receives</w:t>
      </w:r>
      <w:r w:rsidRPr="00865C91">
        <w:rPr>
          <w:rFonts w:ascii="Times New Roman" w:hAnsi="Times New Roman"/>
          <w:sz w:val="20"/>
          <w:szCs w:val="20"/>
          <w:lang w:eastAsia="zh-CN"/>
        </w:rPr>
        <w:t xml:space="preserve"> another NPDCCH in REGION A, UE will waste the power to </w:t>
      </w:r>
      <w:r w:rsidR="00F92459">
        <w:rPr>
          <w:rFonts w:ascii="Times New Roman" w:hAnsi="Times New Roman"/>
          <w:sz w:val="20"/>
          <w:szCs w:val="20"/>
          <w:lang w:eastAsia="zh-CN"/>
        </w:rPr>
        <w:t xml:space="preserve">continue </w:t>
      </w:r>
      <w:r w:rsidRPr="00865C91">
        <w:rPr>
          <w:rFonts w:ascii="Times New Roman" w:hAnsi="Times New Roman"/>
          <w:sz w:val="20"/>
          <w:szCs w:val="20"/>
          <w:lang w:eastAsia="zh-CN"/>
        </w:rPr>
        <w:t>monitor</w:t>
      </w:r>
      <w:r w:rsidR="00F92459">
        <w:rPr>
          <w:rFonts w:ascii="Times New Roman" w:hAnsi="Times New Roman"/>
          <w:sz w:val="20"/>
          <w:szCs w:val="20"/>
          <w:lang w:eastAsia="zh-CN"/>
        </w:rPr>
        <w:t>ing</w:t>
      </w:r>
      <w:r w:rsidRPr="00865C91">
        <w:rPr>
          <w:rFonts w:ascii="Times New Roman" w:hAnsi="Times New Roman"/>
          <w:sz w:val="20"/>
          <w:szCs w:val="20"/>
          <w:lang w:eastAsia="zh-CN"/>
        </w:rPr>
        <w:t xml:space="preserve"> NPDCCH in REGION B due to no </w:t>
      </w:r>
      <w:r w:rsidR="00FA5E3A">
        <w:rPr>
          <w:rFonts w:ascii="Times New Roman" w:hAnsi="Times New Roman"/>
          <w:sz w:val="20"/>
          <w:szCs w:val="20"/>
          <w:lang w:eastAsia="zh-CN"/>
        </w:rPr>
        <w:t xml:space="preserve">more </w:t>
      </w:r>
      <w:r w:rsidRPr="00865C91">
        <w:rPr>
          <w:rFonts w:ascii="Times New Roman" w:hAnsi="Times New Roman"/>
          <w:sz w:val="20"/>
          <w:szCs w:val="20"/>
          <w:lang w:eastAsia="zh-CN"/>
        </w:rPr>
        <w:t xml:space="preserve">HARQ process available. </w:t>
      </w:r>
      <w:r w:rsidR="000637D9" w:rsidRPr="00865C91">
        <w:rPr>
          <w:rFonts w:ascii="Times New Roman" w:hAnsi="Times New Roman"/>
          <w:sz w:val="20"/>
          <w:szCs w:val="20"/>
          <w:lang w:eastAsia="zh-CN"/>
        </w:rPr>
        <w:t>So,</w:t>
      </w:r>
      <w:r w:rsidR="00E10971">
        <w:rPr>
          <w:rFonts w:ascii="Times New Roman" w:hAnsi="Times New Roman"/>
          <w:sz w:val="20"/>
          <w:szCs w:val="20"/>
          <w:lang w:eastAsia="zh-CN"/>
        </w:rPr>
        <w:t xml:space="preserve"> the</w:t>
      </w:r>
      <w:r w:rsidRPr="00865C91">
        <w:rPr>
          <w:rFonts w:ascii="Times New Roman" w:hAnsi="Times New Roman"/>
          <w:sz w:val="20"/>
          <w:szCs w:val="20"/>
          <w:lang w:eastAsia="zh-CN"/>
        </w:rPr>
        <w:t xml:space="preserve"> optimiz</w:t>
      </w:r>
      <w:r w:rsidR="007F2D3B">
        <w:rPr>
          <w:rFonts w:ascii="Times New Roman" w:hAnsi="Times New Roman"/>
          <w:sz w:val="20"/>
          <w:szCs w:val="20"/>
          <w:lang w:eastAsia="zh-CN"/>
        </w:rPr>
        <w:t>ation</w:t>
      </w:r>
      <w:r w:rsidRPr="00865C91">
        <w:rPr>
          <w:rFonts w:ascii="Times New Roman" w:hAnsi="Times New Roman"/>
          <w:sz w:val="20"/>
          <w:szCs w:val="20"/>
          <w:lang w:eastAsia="zh-CN"/>
        </w:rPr>
        <w:t xml:space="preserve"> the NPDCCH monitoring </w:t>
      </w:r>
      <w:r w:rsidR="007F2D3B">
        <w:rPr>
          <w:rFonts w:ascii="Times New Roman" w:hAnsi="Times New Roman"/>
          <w:sz w:val="20"/>
          <w:szCs w:val="20"/>
          <w:lang w:eastAsia="zh-CN"/>
        </w:rPr>
        <w:t xml:space="preserve">reduction along with </w:t>
      </w:r>
      <w:r w:rsidR="007F2D3B" w:rsidRPr="00865C91">
        <w:rPr>
          <w:rFonts w:ascii="Times New Roman" w:hAnsi="Times New Roman"/>
          <w:sz w:val="20"/>
          <w:szCs w:val="20"/>
          <w:lang w:eastAsia="zh-CN"/>
        </w:rPr>
        <w:t xml:space="preserve">the </w:t>
      </w:r>
      <w:r w:rsidR="00B574D7">
        <w:rPr>
          <w:rFonts w:ascii="Times New Roman" w:hAnsi="Times New Roman"/>
          <w:sz w:val="20"/>
          <w:szCs w:val="20"/>
          <w:lang w:eastAsia="zh-CN"/>
        </w:rPr>
        <w:t xml:space="preserve">potential </w:t>
      </w:r>
      <w:r w:rsidR="007F2D3B" w:rsidRPr="00865C91">
        <w:rPr>
          <w:rFonts w:ascii="Times New Roman" w:hAnsi="Times New Roman"/>
          <w:sz w:val="20"/>
          <w:szCs w:val="20"/>
          <w:lang w:eastAsia="zh-CN"/>
        </w:rPr>
        <w:t>uplink grant and downlink scheduling</w:t>
      </w:r>
      <w:r w:rsidR="007F2D3B">
        <w:rPr>
          <w:rFonts w:ascii="Times New Roman" w:hAnsi="Times New Roman"/>
          <w:sz w:val="20"/>
          <w:szCs w:val="20"/>
          <w:lang w:eastAsia="zh-CN"/>
        </w:rPr>
        <w:t xml:space="preserve"> should be studied</w:t>
      </w:r>
      <w:r w:rsidR="00B574D7">
        <w:rPr>
          <w:rFonts w:ascii="Times New Roman" w:hAnsi="Times New Roman"/>
          <w:sz w:val="20"/>
          <w:szCs w:val="20"/>
          <w:lang w:eastAsia="zh-CN"/>
        </w:rPr>
        <w:t>.</w:t>
      </w:r>
    </w:p>
    <w:p w14:paraId="76798E63" w14:textId="77777777" w:rsidR="00865C91" w:rsidRPr="00AA5092" w:rsidRDefault="00865C91" w:rsidP="00865C91">
      <w:pPr>
        <w:pStyle w:val="af6"/>
        <w:ind w:left="360"/>
        <w:rPr>
          <w:sz w:val="20"/>
          <w:szCs w:val="20"/>
          <w:lang w:eastAsia="zh-CN"/>
        </w:rPr>
      </w:pPr>
    </w:p>
    <w:p w14:paraId="0A5CF4E1" w14:textId="3D164081" w:rsidR="00083D1F" w:rsidRDefault="00AA5092" w:rsidP="00C9666C">
      <w:pPr>
        <w:jc w:val="center"/>
        <w:rPr>
          <w:sz w:val="20"/>
          <w:szCs w:val="20"/>
        </w:rPr>
      </w:pPr>
      <w:r>
        <w:object w:dxaOrig="11460" w:dyaOrig="4440" w14:anchorId="52550140">
          <v:shape id="_x0000_i1026" type="#_x0000_t75" style="width:308.5pt;height:119.5pt" o:ole="">
            <v:imagedata r:id="rId13" o:title=""/>
          </v:shape>
          <o:OLEObject Type="Embed" ProgID="Visio.Drawing.15" ShapeID="_x0000_i1026" DrawAspect="Content" ObjectID="_1682248010" r:id="rId14"/>
        </w:object>
      </w:r>
    </w:p>
    <w:p w14:paraId="2B2B0F1A" w14:textId="77777777" w:rsidR="00083D1F" w:rsidRDefault="00083D1F" w:rsidP="00C9666C">
      <w:pPr>
        <w:jc w:val="center"/>
        <w:rPr>
          <w:sz w:val="20"/>
          <w:szCs w:val="20"/>
        </w:rPr>
      </w:pPr>
      <w:r w:rsidRPr="005F67C7">
        <w:rPr>
          <w:sz w:val="20"/>
          <w:szCs w:val="20"/>
        </w:rPr>
        <w:t xml:space="preserve">Figure </w:t>
      </w:r>
      <w:r>
        <w:rPr>
          <w:sz w:val="20"/>
          <w:szCs w:val="20"/>
        </w:rPr>
        <w:t>5</w:t>
      </w:r>
      <w:r w:rsidRPr="005F67C7">
        <w:rPr>
          <w:sz w:val="20"/>
          <w:szCs w:val="20"/>
        </w:rPr>
        <w:t xml:space="preserve"> NPDCCH monitoring optimization (HARQ process=</w:t>
      </w:r>
      <w:r w:rsidR="008661A8">
        <w:rPr>
          <w:sz w:val="20"/>
          <w:szCs w:val="20"/>
        </w:rPr>
        <w:t>2</w:t>
      </w:r>
      <w:r w:rsidRPr="005F67C7">
        <w:rPr>
          <w:sz w:val="20"/>
          <w:szCs w:val="20"/>
        </w:rPr>
        <w:t>)</w:t>
      </w:r>
    </w:p>
    <w:p w14:paraId="2DEF32D9" w14:textId="0F6A0929" w:rsidR="00103754" w:rsidRPr="00F94200" w:rsidRDefault="00103754" w:rsidP="00103754">
      <w:pPr>
        <w:rPr>
          <w:b/>
          <w:i/>
          <w:sz w:val="20"/>
          <w:szCs w:val="20"/>
        </w:rPr>
      </w:pPr>
      <w:r w:rsidRPr="00F94200">
        <w:rPr>
          <w:b/>
          <w:i/>
          <w:sz w:val="20"/>
          <w:szCs w:val="20"/>
        </w:rPr>
        <w:t xml:space="preserve">Proposal </w:t>
      </w:r>
      <w:r w:rsidR="001C0042">
        <w:rPr>
          <w:b/>
          <w:i/>
          <w:sz w:val="20"/>
          <w:szCs w:val="20"/>
        </w:rPr>
        <w:t>2</w:t>
      </w:r>
      <w:r w:rsidRPr="00F94200">
        <w:rPr>
          <w:b/>
          <w:i/>
          <w:sz w:val="20"/>
          <w:szCs w:val="20"/>
        </w:rPr>
        <w:t>:</w:t>
      </w:r>
      <w:r w:rsidR="00A25620" w:rsidRPr="00F94200">
        <w:rPr>
          <w:b/>
          <w:i/>
          <w:sz w:val="20"/>
          <w:szCs w:val="20"/>
          <w:lang w:val="en-GB"/>
        </w:rPr>
        <w:t xml:space="preserve"> NB-IoT </w:t>
      </w:r>
      <w:r w:rsidR="00A25620" w:rsidRPr="00F94200">
        <w:rPr>
          <w:rFonts w:hint="eastAsia"/>
          <w:b/>
          <w:i/>
          <w:sz w:val="20"/>
          <w:szCs w:val="20"/>
          <w:lang w:val="en-GB" w:eastAsia="zh-CN"/>
        </w:rPr>
        <w:t>UE</w:t>
      </w:r>
      <w:r w:rsidR="00A25620" w:rsidRPr="00F94200">
        <w:rPr>
          <w:b/>
          <w:i/>
          <w:sz w:val="20"/>
          <w:szCs w:val="20"/>
          <w:lang w:val="en-GB"/>
        </w:rPr>
        <w:t xml:space="preserve"> is to </w:t>
      </w:r>
      <w:r w:rsidR="00A25620" w:rsidRPr="00F94200">
        <w:rPr>
          <w:b/>
          <w:i/>
          <w:sz w:val="20"/>
          <w:szCs w:val="20"/>
        </w:rPr>
        <w:t>skip NPDCCH monitoring for an HARQ process for a longer time interval than the time interval in TN</w:t>
      </w:r>
      <w:r w:rsidR="00F94200" w:rsidRPr="00F94200">
        <w:rPr>
          <w:b/>
          <w:i/>
          <w:sz w:val="20"/>
          <w:szCs w:val="20"/>
        </w:rPr>
        <w:t>.</w:t>
      </w:r>
    </w:p>
    <w:p w14:paraId="4C7E7B39" w14:textId="77777777" w:rsidR="00F96A92" w:rsidRPr="005F67C7" w:rsidRDefault="00F96A92" w:rsidP="00232058">
      <w:pPr>
        <w:rPr>
          <w:sz w:val="20"/>
          <w:szCs w:val="20"/>
        </w:rPr>
      </w:pPr>
    </w:p>
    <w:p w14:paraId="2B4A075F"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52099895" w14:textId="77777777"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3B5178B5" w14:textId="77777777" w:rsidR="00580FB7" w:rsidRDefault="00580FB7" w:rsidP="00580FB7">
      <w:pPr>
        <w:rPr>
          <w:b/>
          <w:i/>
          <w:sz w:val="20"/>
          <w:szCs w:val="20"/>
        </w:rPr>
      </w:pPr>
      <w:r w:rsidRPr="005F67C7">
        <w:rPr>
          <w:b/>
          <w:i/>
          <w:sz w:val="20"/>
          <w:szCs w:val="20"/>
        </w:rPr>
        <w:t xml:space="preserve">Proposal </w:t>
      </w:r>
      <w:r>
        <w:rPr>
          <w:b/>
          <w:i/>
          <w:sz w:val="20"/>
          <w:szCs w:val="20"/>
        </w:rPr>
        <w:t>1</w:t>
      </w:r>
      <w:r w:rsidRPr="005F67C7">
        <w:rPr>
          <w:b/>
          <w:i/>
          <w:sz w:val="20"/>
          <w:szCs w:val="20"/>
        </w:rPr>
        <w:t>: At least for NBIoT NTN, disabling HARQ is not supported</w:t>
      </w:r>
      <w:r>
        <w:rPr>
          <w:b/>
          <w:i/>
          <w:sz w:val="20"/>
          <w:szCs w:val="20"/>
        </w:rPr>
        <w:t>, and for eMTC, especially CE mode A, disabling HARQ can be considered in Rel.18 due to limited time for this release.</w:t>
      </w:r>
    </w:p>
    <w:p w14:paraId="29B90AA3" w14:textId="590546E7" w:rsidR="00BE70CC" w:rsidRPr="00F94200" w:rsidRDefault="00BE70CC" w:rsidP="00BE70CC">
      <w:pPr>
        <w:rPr>
          <w:b/>
          <w:i/>
          <w:sz w:val="20"/>
          <w:szCs w:val="20"/>
        </w:rPr>
      </w:pPr>
      <w:r w:rsidRPr="00F94200">
        <w:rPr>
          <w:b/>
          <w:i/>
          <w:sz w:val="20"/>
          <w:szCs w:val="20"/>
        </w:rPr>
        <w:t xml:space="preserve">Proposal </w:t>
      </w:r>
      <w:r w:rsidR="001C0042">
        <w:rPr>
          <w:b/>
          <w:i/>
          <w:sz w:val="20"/>
          <w:szCs w:val="20"/>
        </w:rPr>
        <w:t>2</w:t>
      </w:r>
      <w:r w:rsidRPr="00F94200">
        <w:rPr>
          <w:b/>
          <w:i/>
          <w:sz w:val="20"/>
          <w:szCs w:val="20"/>
        </w:rPr>
        <w:t>:</w:t>
      </w:r>
      <w:r w:rsidRPr="00F94200">
        <w:rPr>
          <w:b/>
          <w:i/>
          <w:sz w:val="20"/>
          <w:szCs w:val="20"/>
          <w:lang w:val="en-GB"/>
        </w:rPr>
        <w:t xml:space="preserve"> NB-IoT </w:t>
      </w:r>
      <w:r w:rsidRPr="00F94200">
        <w:rPr>
          <w:rFonts w:hint="eastAsia"/>
          <w:b/>
          <w:i/>
          <w:sz w:val="20"/>
          <w:szCs w:val="20"/>
          <w:lang w:val="en-GB" w:eastAsia="zh-CN"/>
        </w:rPr>
        <w:t>UE</w:t>
      </w:r>
      <w:r w:rsidRPr="00F94200">
        <w:rPr>
          <w:b/>
          <w:i/>
          <w:sz w:val="20"/>
          <w:szCs w:val="20"/>
          <w:lang w:val="en-GB"/>
        </w:rPr>
        <w:t xml:space="preserve"> is to </w:t>
      </w:r>
      <w:r w:rsidRPr="00F94200">
        <w:rPr>
          <w:b/>
          <w:i/>
          <w:sz w:val="20"/>
          <w:szCs w:val="20"/>
        </w:rPr>
        <w:t>skip NPDCCH monitoring for an HARQ process for a longer time interval than the time interval in TN.</w:t>
      </w:r>
    </w:p>
    <w:p w14:paraId="3AD9D101" w14:textId="77777777" w:rsidR="001B6145" w:rsidRPr="00BE70CC" w:rsidRDefault="001B6145" w:rsidP="000E1369">
      <w:pPr>
        <w:pStyle w:val="PropObs"/>
        <w:numPr>
          <w:ilvl w:val="0"/>
          <w:numId w:val="0"/>
        </w:numPr>
        <w:spacing w:afterLines="50" w:after="120"/>
        <w:rPr>
          <w:rFonts w:ascii="Times New Roman" w:eastAsiaTheme="minorEastAsia" w:hAnsi="Times New Roman"/>
          <w:i/>
          <w:lang w:val="en-US" w:eastAsia="zh-CN"/>
        </w:rPr>
      </w:pPr>
    </w:p>
    <w:p w14:paraId="5133D945"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2317F6" w14:textId="77777777" w:rsidR="005F04C9" w:rsidRPr="00F55B76" w:rsidRDefault="005F04C9" w:rsidP="005F04C9">
      <w:pPr>
        <w:pStyle w:val="References"/>
      </w:pPr>
      <w:r w:rsidRPr="00180438">
        <w:t>3GPP TR 38.821 V</w:t>
      </w:r>
      <w:r>
        <w:t>1</w:t>
      </w:r>
      <w:r w:rsidRPr="00180438">
        <w:t>.</w:t>
      </w:r>
      <w:r>
        <w:t>0</w:t>
      </w:r>
      <w:r w:rsidRPr="00180438">
        <w:t xml:space="preserve">.0 </w:t>
      </w:r>
      <w:r w:rsidRPr="00F55B76">
        <w:t>(2019-12)</w:t>
      </w:r>
    </w:p>
    <w:p w14:paraId="565B27C9" w14:textId="77777777" w:rsidR="005F04C9" w:rsidRDefault="005F04C9" w:rsidP="005F04C9">
      <w:pPr>
        <w:pStyle w:val="References"/>
      </w:pPr>
      <w:r w:rsidRPr="006D7BD1">
        <w:rPr>
          <w:szCs w:val="20"/>
          <w:lang w:eastAsia="zh-CN"/>
        </w:rPr>
        <w:t>RP-201</w:t>
      </w:r>
      <w:r>
        <w:rPr>
          <w:szCs w:val="20"/>
          <w:lang w:eastAsia="zh-CN"/>
        </w:rPr>
        <w:t>256</w:t>
      </w:r>
      <w:r w:rsidRPr="000114BC">
        <w:rPr>
          <w:rFonts w:hint="eastAsia"/>
        </w:rPr>
        <w:t xml:space="preserve">, </w:t>
      </w:r>
      <w:r w:rsidRPr="000114BC">
        <w:t>“</w:t>
      </w:r>
      <w:r w:rsidRPr="006D7BD1">
        <w:t xml:space="preserve">WID revision: </w:t>
      </w:r>
      <w:r w:rsidRPr="009F5994">
        <w:t>Solutions for NR to support non-terrestrial networks (NTN)</w:t>
      </w:r>
      <w:r w:rsidRPr="000114BC">
        <w:t>”</w:t>
      </w:r>
      <w:r w:rsidRPr="000114BC">
        <w:rPr>
          <w:rFonts w:hint="eastAsia"/>
        </w:rPr>
        <w:t xml:space="preserve">, </w:t>
      </w:r>
      <w:r w:rsidRPr="00713FCE">
        <w:t>Thales</w:t>
      </w:r>
      <w:r>
        <w:rPr>
          <w:rFonts w:hint="eastAsia"/>
        </w:rPr>
        <w:t>, RAN</w:t>
      </w:r>
      <w:r w:rsidRPr="000114BC">
        <w:rPr>
          <w:rFonts w:hint="eastAsia"/>
        </w:rPr>
        <w:t>#</w:t>
      </w:r>
      <w:r>
        <w:t>88e</w:t>
      </w:r>
    </w:p>
    <w:p w14:paraId="021227AF" w14:textId="4714FA0A" w:rsidR="00517042" w:rsidRDefault="005F04C9" w:rsidP="00517042">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proofErr w:type="spellStart"/>
      <w:r w:rsidRPr="0086620D">
        <w:t>Mediatek</w:t>
      </w:r>
      <w:proofErr w:type="spellEnd"/>
      <w:r>
        <w:rPr>
          <w:rFonts w:hint="eastAsia"/>
        </w:rPr>
        <w:t>, RAN</w:t>
      </w:r>
      <w:r w:rsidRPr="000114BC">
        <w:rPr>
          <w:rFonts w:hint="eastAsia"/>
        </w:rPr>
        <w:t>#</w:t>
      </w:r>
      <w:r>
        <w:t>86</w:t>
      </w:r>
    </w:p>
    <w:p w14:paraId="0AC93178" w14:textId="77777777" w:rsidR="00BD735B" w:rsidRPr="00BD735B" w:rsidRDefault="00BD735B" w:rsidP="00BD735B"/>
    <w:sectPr w:rsidR="00BD735B" w:rsidRPr="00BD73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D4D66" w14:textId="77777777" w:rsidR="00B82523" w:rsidRDefault="00B82523">
      <w:r>
        <w:separator/>
      </w:r>
    </w:p>
  </w:endnote>
  <w:endnote w:type="continuationSeparator" w:id="0">
    <w:p w14:paraId="4FBF5072" w14:textId="77777777" w:rsidR="00B82523" w:rsidRDefault="00B8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6DEFF" w14:textId="77777777" w:rsidR="00B82523" w:rsidRDefault="00B82523">
      <w:r>
        <w:separator/>
      </w:r>
    </w:p>
  </w:footnote>
  <w:footnote w:type="continuationSeparator" w:id="0">
    <w:p w14:paraId="77AA5715" w14:textId="77777777" w:rsidR="00B82523" w:rsidRDefault="00B82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C4CC7"/>
    <w:multiLevelType w:val="hybridMultilevel"/>
    <w:tmpl w:val="86666B6A"/>
    <w:lvl w:ilvl="0" w:tplc="6964A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43"/>
  </w:num>
  <w:num w:numId="3">
    <w:abstractNumId w:val="40"/>
  </w:num>
  <w:num w:numId="4">
    <w:abstractNumId w:val="0"/>
  </w:num>
  <w:num w:numId="5">
    <w:abstractNumId w:val="34"/>
  </w:num>
  <w:num w:numId="6">
    <w:abstractNumId w:val="29"/>
  </w:num>
  <w:num w:numId="7">
    <w:abstractNumId w:val="44"/>
  </w:num>
  <w:num w:numId="8">
    <w:abstractNumId w:val="30"/>
  </w:num>
  <w:num w:numId="9">
    <w:abstractNumId w:val="27"/>
  </w:num>
  <w:num w:numId="10">
    <w:abstractNumId w:val="41"/>
  </w:num>
  <w:num w:numId="11">
    <w:abstractNumId w:val="23"/>
  </w:num>
  <w:num w:numId="12">
    <w:abstractNumId w:val="19"/>
  </w:num>
  <w:num w:numId="13">
    <w:abstractNumId w:val="33"/>
  </w:num>
  <w:num w:numId="14">
    <w:abstractNumId w:val="16"/>
  </w:num>
  <w:num w:numId="15">
    <w:abstractNumId w:val="14"/>
  </w:num>
  <w:num w:numId="16">
    <w:abstractNumId w:val="6"/>
  </w:num>
  <w:num w:numId="17">
    <w:abstractNumId w:val="10"/>
  </w:num>
  <w:num w:numId="18">
    <w:abstractNumId w:val="18"/>
  </w:num>
  <w:num w:numId="19">
    <w:abstractNumId w:val="3"/>
  </w:num>
  <w:num w:numId="20">
    <w:abstractNumId w:val="20"/>
  </w:num>
  <w:num w:numId="21">
    <w:abstractNumId w:val="22"/>
  </w:num>
  <w:num w:numId="22">
    <w:abstractNumId w:val="5"/>
  </w:num>
  <w:num w:numId="23">
    <w:abstractNumId w:val="28"/>
  </w:num>
  <w:num w:numId="24">
    <w:abstractNumId w:val="16"/>
  </w:num>
  <w:num w:numId="25">
    <w:abstractNumId w:val="9"/>
  </w:num>
  <w:num w:numId="26">
    <w:abstractNumId w:val="0"/>
  </w:num>
  <w:num w:numId="27">
    <w:abstractNumId w:val="0"/>
  </w:num>
  <w:num w:numId="28">
    <w:abstractNumId w:val="32"/>
  </w:num>
  <w:num w:numId="29">
    <w:abstractNumId w:val="36"/>
  </w:num>
  <w:num w:numId="30">
    <w:abstractNumId w:val="1"/>
  </w:num>
  <w:num w:numId="31">
    <w:abstractNumId w:val="7"/>
  </w:num>
  <w:num w:numId="32">
    <w:abstractNumId w:val="37"/>
  </w:num>
  <w:num w:numId="33">
    <w:abstractNumId w:val="39"/>
  </w:num>
  <w:num w:numId="34">
    <w:abstractNumId w:val="38"/>
  </w:num>
  <w:num w:numId="35">
    <w:abstractNumId w:val="17"/>
  </w:num>
  <w:num w:numId="36">
    <w:abstractNumId w:val="24"/>
  </w:num>
  <w:num w:numId="37">
    <w:abstractNumId w:val="13"/>
  </w:num>
  <w:num w:numId="38">
    <w:abstractNumId w:val="12"/>
  </w:num>
  <w:num w:numId="39">
    <w:abstractNumId w:val="25"/>
  </w:num>
  <w:num w:numId="40">
    <w:abstractNumId w:val="42"/>
  </w:num>
  <w:num w:numId="41">
    <w:abstractNumId w:val="2"/>
  </w:num>
  <w:num w:numId="42">
    <w:abstractNumId w:val="26"/>
  </w:num>
  <w:num w:numId="43">
    <w:abstractNumId w:val="35"/>
  </w:num>
  <w:num w:numId="44">
    <w:abstractNumId w:val="15"/>
  </w:num>
  <w:num w:numId="45">
    <w:abstractNumId w:val="11"/>
  </w:num>
  <w:num w:numId="46">
    <w:abstractNumId w:val="31"/>
  </w:num>
  <w:num w:numId="47">
    <w:abstractNumId w:val="4"/>
  </w:num>
  <w:num w:numId="4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7D9"/>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C30"/>
    <w:rsid w:val="00175C41"/>
    <w:rsid w:val="0017600A"/>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A0"/>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BA"/>
    <w:rsid w:val="00191614"/>
    <w:rsid w:val="00191BF1"/>
    <w:rsid w:val="00191C91"/>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042"/>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C9A"/>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1A8"/>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47DF8"/>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6D"/>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7FF"/>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1D98"/>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0D9"/>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533"/>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51C"/>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BE8"/>
    <w:rsid w:val="00554D73"/>
    <w:rsid w:val="00554DA5"/>
    <w:rsid w:val="00554E03"/>
    <w:rsid w:val="00554E4B"/>
    <w:rsid w:val="0055525E"/>
    <w:rsid w:val="00555362"/>
    <w:rsid w:val="00555406"/>
    <w:rsid w:val="00555745"/>
    <w:rsid w:val="00555905"/>
    <w:rsid w:val="00555C91"/>
    <w:rsid w:val="00555EB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0FB7"/>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B4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F22"/>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361"/>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2C1"/>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B42"/>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1E23"/>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7CC"/>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A30"/>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6E7C"/>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9BF"/>
    <w:rsid w:val="007729FB"/>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4AB"/>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5EA"/>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2D3B"/>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62"/>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C91"/>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2BD"/>
    <w:rsid w:val="008C647A"/>
    <w:rsid w:val="008C649B"/>
    <w:rsid w:val="008C65F3"/>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2B7"/>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B1C"/>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B4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6B7"/>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4D5"/>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5E1B"/>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BFF"/>
    <w:rsid w:val="00A24C05"/>
    <w:rsid w:val="00A24EB4"/>
    <w:rsid w:val="00A2508D"/>
    <w:rsid w:val="00A25294"/>
    <w:rsid w:val="00A254EE"/>
    <w:rsid w:val="00A25620"/>
    <w:rsid w:val="00A25830"/>
    <w:rsid w:val="00A25BE7"/>
    <w:rsid w:val="00A25D0A"/>
    <w:rsid w:val="00A26172"/>
    <w:rsid w:val="00A26260"/>
    <w:rsid w:val="00A263E4"/>
    <w:rsid w:val="00A26549"/>
    <w:rsid w:val="00A267FD"/>
    <w:rsid w:val="00A26AFD"/>
    <w:rsid w:val="00A26E25"/>
    <w:rsid w:val="00A26F64"/>
    <w:rsid w:val="00A27008"/>
    <w:rsid w:val="00A270F5"/>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7A4"/>
    <w:rsid w:val="00A8281F"/>
    <w:rsid w:val="00A82C7E"/>
    <w:rsid w:val="00A82D58"/>
    <w:rsid w:val="00A82F8F"/>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92"/>
    <w:rsid w:val="00AA50E4"/>
    <w:rsid w:val="00AA51F5"/>
    <w:rsid w:val="00AA533B"/>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49D"/>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D1F"/>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6A"/>
    <w:rsid w:val="00B549A4"/>
    <w:rsid w:val="00B54ACC"/>
    <w:rsid w:val="00B54DCB"/>
    <w:rsid w:val="00B5509E"/>
    <w:rsid w:val="00B55AC2"/>
    <w:rsid w:val="00B55B41"/>
    <w:rsid w:val="00B55E9C"/>
    <w:rsid w:val="00B560C9"/>
    <w:rsid w:val="00B560F9"/>
    <w:rsid w:val="00B562ED"/>
    <w:rsid w:val="00B564C7"/>
    <w:rsid w:val="00B56533"/>
    <w:rsid w:val="00B5681C"/>
    <w:rsid w:val="00B56B0E"/>
    <w:rsid w:val="00B56CFC"/>
    <w:rsid w:val="00B574D7"/>
    <w:rsid w:val="00B57589"/>
    <w:rsid w:val="00B57777"/>
    <w:rsid w:val="00B577A1"/>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23"/>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35B"/>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5BE"/>
    <w:rsid w:val="00BE2956"/>
    <w:rsid w:val="00BE2B4F"/>
    <w:rsid w:val="00BE2F39"/>
    <w:rsid w:val="00BE332D"/>
    <w:rsid w:val="00BE3CF1"/>
    <w:rsid w:val="00BE3E65"/>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486"/>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19"/>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3CC"/>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654"/>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1D"/>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0DB"/>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E7DAB"/>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971"/>
    <w:rsid w:val="00E10DFA"/>
    <w:rsid w:val="00E10F03"/>
    <w:rsid w:val="00E1100D"/>
    <w:rsid w:val="00E11970"/>
    <w:rsid w:val="00E11B68"/>
    <w:rsid w:val="00E11EFE"/>
    <w:rsid w:val="00E11FC2"/>
    <w:rsid w:val="00E12235"/>
    <w:rsid w:val="00E122FD"/>
    <w:rsid w:val="00E12A22"/>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66"/>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978"/>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435"/>
    <w:rsid w:val="00E9277D"/>
    <w:rsid w:val="00E9339B"/>
    <w:rsid w:val="00E93B8A"/>
    <w:rsid w:val="00E93D23"/>
    <w:rsid w:val="00E93F3B"/>
    <w:rsid w:val="00E94118"/>
    <w:rsid w:val="00E945D3"/>
    <w:rsid w:val="00E94903"/>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E09"/>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3D3"/>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DA7"/>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ABD"/>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459"/>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CFC"/>
    <w:rsid w:val="00FA1F76"/>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5E3A"/>
    <w:rsid w:val="00FA61B5"/>
    <w:rsid w:val="00FA627C"/>
    <w:rsid w:val="00FA66FC"/>
    <w:rsid w:val="00FA6884"/>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77"/>
    <w:rsid w:val="00FD7EA3"/>
    <w:rsid w:val="00FD7EAA"/>
    <w:rsid w:val="00FD7FDC"/>
    <w:rsid w:val="00FD7FEF"/>
    <w:rsid w:val="00FE02B0"/>
    <w:rsid w:val="00FE0A8A"/>
    <w:rsid w:val="00FE0B51"/>
    <w:rsid w:val="00FE0B78"/>
    <w:rsid w:val="00FE0C35"/>
    <w:rsid w:val="00FE0ED4"/>
    <w:rsid w:val="00FE0F7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471B313"/>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131</cp:revision>
  <cp:lastPrinted>2015-09-18T07:21:00Z</cp:lastPrinted>
  <dcterms:created xsi:type="dcterms:W3CDTF">2021-05-06T03:03:00Z</dcterms:created>
  <dcterms:modified xsi:type="dcterms:W3CDTF">2021-05-11T06:19:00Z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