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BEC85" w14:textId="13084DD6" w:rsidR="007B6063" w:rsidRPr="00836D48" w:rsidRDefault="0076284A" w:rsidP="61F632BB">
      <w:pPr>
        <w:tabs>
          <w:tab w:val="center" w:pos="4536"/>
          <w:tab w:val="right" w:pos="8280"/>
          <w:tab w:val="right" w:pos="9639"/>
        </w:tabs>
        <w:spacing w:after="0"/>
        <w:ind w:right="2"/>
        <w:rPr>
          <w:rFonts w:ascii="Arial" w:hAnsi="Arial" w:cs="Arial"/>
          <w:b/>
          <w:bCs/>
          <w:sz w:val="24"/>
          <w:szCs w:val="24"/>
          <w:lang w:val="en-US"/>
        </w:rPr>
      </w:pPr>
      <w:r w:rsidRPr="61F632BB">
        <w:rPr>
          <w:rFonts w:ascii="Arial" w:hAnsi="Arial" w:cs="Arial"/>
          <w:b/>
          <w:bCs/>
          <w:sz w:val="24"/>
          <w:szCs w:val="24"/>
          <w:lang w:val="en-US"/>
        </w:rPr>
        <w:t>3GPP TSG RAN WG1 #105-e</w:t>
      </w:r>
      <w:r>
        <w:tab/>
      </w:r>
      <w:r>
        <w:tab/>
      </w:r>
      <w:r>
        <w:tab/>
      </w:r>
      <w:r w:rsidR="007B6063" w:rsidRPr="61F632BB">
        <w:rPr>
          <w:rFonts w:ascii="Arial" w:hAnsi="Arial" w:cs="Arial"/>
          <w:b/>
          <w:bCs/>
          <w:sz w:val="24"/>
          <w:szCs w:val="24"/>
          <w:lang w:val="en-US"/>
        </w:rPr>
        <w:t>R1-2105618</w:t>
      </w:r>
    </w:p>
    <w:p w14:paraId="4FBEBF2B" w14:textId="77777777" w:rsidR="0076284A" w:rsidRPr="00836D48" w:rsidRDefault="0076284A" w:rsidP="61F632BB">
      <w:pPr>
        <w:tabs>
          <w:tab w:val="center" w:pos="4536"/>
          <w:tab w:val="right" w:pos="8280"/>
          <w:tab w:val="right" w:pos="9639"/>
        </w:tabs>
        <w:spacing w:after="0"/>
        <w:ind w:right="2"/>
        <w:rPr>
          <w:rFonts w:ascii="Arial" w:eastAsia="MS Mincho" w:hAnsi="Arial" w:cs="Arial"/>
          <w:b/>
          <w:bCs/>
          <w:sz w:val="24"/>
          <w:szCs w:val="24"/>
          <w:lang w:val="en-US" w:eastAsia="ja-JP"/>
        </w:rPr>
      </w:pPr>
      <w:r w:rsidRPr="61F632BB">
        <w:rPr>
          <w:rFonts w:ascii="Arial" w:eastAsia="MS Mincho" w:hAnsi="Arial" w:cs="Arial"/>
          <w:b/>
          <w:bCs/>
          <w:sz w:val="24"/>
          <w:szCs w:val="24"/>
          <w:lang w:val="en-US" w:eastAsia="ja-JP"/>
        </w:rPr>
        <w:t>e-Meeting, May 10</w:t>
      </w:r>
      <w:r w:rsidRPr="61F632BB">
        <w:rPr>
          <w:rFonts w:ascii="Arial" w:eastAsia="MS Mincho" w:hAnsi="Arial" w:cs="Arial"/>
          <w:b/>
          <w:bCs/>
          <w:sz w:val="24"/>
          <w:szCs w:val="24"/>
          <w:vertAlign w:val="superscript"/>
          <w:lang w:val="en-US" w:eastAsia="ja-JP"/>
        </w:rPr>
        <w:t>th</w:t>
      </w:r>
      <w:r w:rsidRPr="61F632BB">
        <w:rPr>
          <w:rFonts w:ascii="Arial" w:eastAsia="MS Mincho" w:hAnsi="Arial" w:cs="Arial"/>
          <w:b/>
          <w:bCs/>
          <w:sz w:val="24"/>
          <w:szCs w:val="24"/>
          <w:lang w:val="en-US" w:eastAsia="ja-JP"/>
        </w:rPr>
        <w:t xml:space="preserve"> – 27</w:t>
      </w:r>
      <w:r w:rsidRPr="61F632BB">
        <w:rPr>
          <w:rFonts w:ascii="Arial" w:eastAsia="MS Mincho" w:hAnsi="Arial" w:cs="Arial"/>
          <w:b/>
          <w:bCs/>
          <w:sz w:val="24"/>
          <w:szCs w:val="24"/>
          <w:vertAlign w:val="superscript"/>
          <w:lang w:val="en-US" w:eastAsia="ja-JP"/>
        </w:rPr>
        <w:t>th</w:t>
      </w:r>
      <w:r w:rsidRPr="61F632BB">
        <w:rPr>
          <w:rFonts w:ascii="Arial" w:eastAsia="MS Mincho" w:hAnsi="Arial" w:cs="Arial"/>
          <w:b/>
          <w:bCs/>
          <w:sz w:val="24"/>
          <w:szCs w:val="24"/>
          <w:lang w:val="en-US" w:eastAsia="ja-JP"/>
        </w:rPr>
        <w:t>, 2021</w:t>
      </w:r>
    </w:p>
    <w:p w14:paraId="453C577B" w14:textId="77777777" w:rsidR="005834A0" w:rsidRPr="00173827" w:rsidRDefault="005834A0" w:rsidP="61F632BB">
      <w:pPr>
        <w:pStyle w:val="Header"/>
        <w:rPr>
          <w:noProof w:val="0"/>
          <w:sz w:val="24"/>
          <w:szCs w:val="24"/>
          <w:lang w:eastAsia="ja-JP"/>
        </w:rPr>
      </w:pPr>
    </w:p>
    <w:p w14:paraId="19531E9B" w14:textId="2D01F21B" w:rsidR="0034111C" w:rsidRPr="00173827" w:rsidRDefault="0034111C" w:rsidP="61F632BB">
      <w:pPr>
        <w:pStyle w:val="CRCoverPage"/>
        <w:spacing w:after="0"/>
        <w:rPr>
          <w:rFonts w:cs="Arial"/>
          <w:b/>
          <w:bCs/>
          <w:sz w:val="24"/>
          <w:szCs w:val="24"/>
          <w:lang w:val="en-US" w:eastAsia="ja-JP"/>
        </w:rPr>
      </w:pPr>
      <w:r w:rsidRPr="61F632BB">
        <w:rPr>
          <w:rFonts w:cs="Arial"/>
          <w:b/>
          <w:bCs/>
          <w:sz w:val="24"/>
          <w:szCs w:val="24"/>
          <w:lang w:val="en-US"/>
        </w:rPr>
        <w:t>Agenda item:</w:t>
      </w:r>
      <w:r>
        <w:tab/>
      </w:r>
      <w:r>
        <w:tab/>
      </w:r>
      <w:r w:rsidR="00540BFA" w:rsidRPr="61F632BB">
        <w:rPr>
          <w:rFonts w:cs="Arial"/>
          <w:b/>
          <w:bCs/>
          <w:sz w:val="24"/>
          <w:szCs w:val="24"/>
          <w:lang w:val="en-US"/>
        </w:rPr>
        <w:t>8.10</w:t>
      </w:r>
      <w:r w:rsidR="00032007" w:rsidRPr="61F632BB">
        <w:rPr>
          <w:rFonts w:cs="Arial"/>
          <w:b/>
          <w:bCs/>
          <w:sz w:val="24"/>
          <w:szCs w:val="24"/>
          <w:lang w:val="en-US"/>
        </w:rPr>
        <w:t>.</w:t>
      </w:r>
      <w:r w:rsidR="00D26766" w:rsidRPr="61F632BB">
        <w:rPr>
          <w:rFonts w:cs="Arial"/>
          <w:b/>
          <w:bCs/>
          <w:sz w:val="24"/>
          <w:szCs w:val="24"/>
          <w:lang w:val="en-US"/>
        </w:rPr>
        <w:t>2</w:t>
      </w:r>
    </w:p>
    <w:p w14:paraId="24C9E060" w14:textId="77777777" w:rsidR="00E128F2" w:rsidRPr="00173827" w:rsidRDefault="0034111C" w:rsidP="61F632BB">
      <w:pPr>
        <w:tabs>
          <w:tab w:val="left" w:pos="1985"/>
        </w:tabs>
        <w:spacing w:after="0"/>
        <w:ind w:left="1985" w:hanging="1985"/>
        <w:rPr>
          <w:rFonts w:ascii="Arial" w:hAnsi="Arial" w:cs="Arial"/>
          <w:b/>
          <w:bCs/>
          <w:sz w:val="24"/>
          <w:szCs w:val="24"/>
          <w:lang w:val="en-US"/>
        </w:rPr>
      </w:pPr>
      <w:r w:rsidRPr="61F632BB">
        <w:rPr>
          <w:rFonts w:ascii="Arial" w:hAnsi="Arial" w:cs="Arial"/>
          <w:b/>
          <w:bCs/>
          <w:sz w:val="24"/>
          <w:szCs w:val="24"/>
          <w:lang w:val="en-US"/>
        </w:rPr>
        <w:t>Source:</w:t>
      </w:r>
      <w:r>
        <w:tab/>
      </w:r>
      <w:r w:rsidR="00013455" w:rsidRPr="61F632BB">
        <w:rPr>
          <w:rFonts w:ascii="Arial" w:hAnsi="Arial" w:cs="Arial"/>
          <w:b/>
          <w:bCs/>
          <w:sz w:val="24"/>
          <w:szCs w:val="24"/>
          <w:lang w:val="en-US"/>
        </w:rPr>
        <w:t xml:space="preserve">Nokia, </w:t>
      </w:r>
      <w:r w:rsidR="003A7926" w:rsidRPr="61F632BB">
        <w:rPr>
          <w:rFonts w:ascii="Arial" w:hAnsi="Arial" w:cs="Arial"/>
          <w:b/>
          <w:bCs/>
          <w:sz w:val="24"/>
          <w:szCs w:val="24"/>
          <w:lang w:val="en-US"/>
        </w:rPr>
        <w:t>Nokia</w:t>
      </w:r>
      <w:r w:rsidR="00013455" w:rsidRPr="61F632BB">
        <w:rPr>
          <w:rFonts w:ascii="Arial" w:hAnsi="Arial" w:cs="Arial"/>
          <w:b/>
          <w:bCs/>
          <w:sz w:val="24"/>
          <w:szCs w:val="24"/>
          <w:lang w:val="en-US"/>
        </w:rPr>
        <w:t xml:space="preserve"> Shanghai Bell</w:t>
      </w:r>
    </w:p>
    <w:p w14:paraId="6FB181F6" w14:textId="7848B8DC" w:rsidR="0034111C" w:rsidRPr="00173827" w:rsidRDefault="0034111C" w:rsidP="61F632BB">
      <w:pPr>
        <w:spacing w:after="0"/>
        <w:ind w:left="1985" w:hanging="1985"/>
        <w:rPr>
          <w:rFonts w:ascii="Arial" w:hAnsi="Arial" w:cs="Arial"/>
          <w:b/>
          <w:bCs/>
          <w:sz w:val="24"/>
          <w:szCs w:val="24"/>
          <w:lang w:val="en-US"/>
        </w:rPr>
      </w:pPr>
      <w:r w:rsidRPr="61F632BB">
        <w:rPr>
          <w:rFonts w:ascii="Arial" w:hAnsi="Arial" w:cs="Arial"/>
          <w:b/>
          <w:bCs/>
          <w:sz w:val="24"/>
          <w:szCs w:val="24"/>
          <w:lang w:val="en-US"/>
        </w:rPr>
        <w:t>Title:</w:t>
      </w:r>
      <w:r>
        <w:tab/>
      </w:r>
      <w:r>
        <w:tab/>
      </w:r>
      <w:bookmarkStart w:id="0" w:name="_Toc62378611"/>
      <w:bookmarkStart w:id="1" w:name="_Toc66277703"/>
      <w:r w:rsidR="00D26766" w:rsidRPr="61F632BB">
        <w:rPr>
          <w:rFonts w:ascii="Arial" w:hAnsi="Arial" w:cs="Arial"/>
          <w:b/>
          <w:bCs/>
          <w:sz w:val="24"/>
          <w:szCs w:val="24"/>
          <w:lang w:val="en-US"/>
        </w:rPr>
        <w:t>Other enhancements for simultaneous operation of IAB-node’s child and parent links</w:t>
      </w:r>
      <w:bookmarkEnd w:id="0"/>
      <w:bookmarkEnd w:id="1"/>
    </w:p>
    <w:p w14:paraId="07D3B853" w14:textId="77777777" w:rsidR="0034111C" w:rsidRPr="00173827" w:rsidRDefault="0034111C" w:rsidP="61F632BB">
      <w:pPr>
        <w:spacing w:after="0"/>
        <w:rPr>
          <w:rFonts w:ascii="Arial" w:hAnsi="Arial" w:cs="Arial"/>
          <w:b/>
          <w:bCs/>
          <w:sz w:val="24"/>
          <w:szCs w:val="24"/>
          <w:lang w:val="en-US"/>
        </w:rPr>
      </w:pPr>
      <w:r w:rsidRPr="61F632BB">
        <w:rPr>
          <w:rFonts w:ascii="Arial" w:hAnsi="Arial" w:cs="Arial"/>
          <w:b/>
          <w:bCs/>
          <w:sz w:val="24"/>
          <w:szCs w:val="24"/>
          <w:lang w:val="en-US"/>
        </w:rPr>
        <w:t>Document for:</w:t>
      </w:r>
      <w:r>
        <w:tab/>
      </w:r>
      <w:r>
        <w:tab/>
      </w:r>
      <w:r w:rsidRPr="61F632BB">
        <w:rPr>
          <w:rFonts w:ascii="Arial" w:hAnsi="Arial" w:cs="Arial"/>
          <w:b/>
          <w:bCs/>
          <w:sz w:val="24"/>
          <w:szCs w:val="24"/>
          <w:lang w:val="en-US"/>
        </w:rPr>
        <w:t>Discussion and Decision</w:t>
      </w:r>
    </w:p>
    <w:p w14:paraId="605308AA" w14:textId="77777777" w:rsidR="0034111C" w:rsidRPr="00173827" w:rsidRDefault="0034111C">
      <w:pPr>
        <w:pStyle w:val="Heading1"/>
        <w:rPr>
          <w:lang w:val="en-US"/>
        </w:rPr>
      </w:pPr>
      <w:r w:rsidRPr="61F632BB">
        <w:rPr>
          <w:lang w:val="en-US"/>
        </w:rPr>
        <w:t>1</w:t>
      </w:r>
      <w:r>
        <w:tab/>
      </w:r>
      <w:r w:rsidR="00EE7FA7" w:rsidRPr="61F632BB">
        <w:rPr>
          <w:lang w:val="en-US"/>
        </w:rPr>
        <w:t>Introduction</w:t>
      </w:r>
    </w:p>
    <w:p w14:paraId="4D2B2997" w14:textId="77777777" w:rsidR="00FA4B8C" w:rsidRPr="00173827" w:rsidRDefault="00FA4B8C" w:rsidP="00FA4B8C">
      <w:pPr>
        <w:jc w:val="both"/>
        <w:rPr>
          <w:lang w:val="en-US"/>
        </w:rPr>
      </w:pPr>
      <w:r w:rsidRPr="61F632BB">
        <w:rPr>
          <w:lang w:val="en-US"/>
        </w:rPr>
        <w:t>IAB Rel.17 WID [1] has following objectives led by RAN1:</w:t>
      </w:r>
    </w:p>
    <w:p w14:paraId="0BE75881" w14:textId="77777777" w:rsidR="00FA4B8C" w:rsidRPr="00173827" w:rsidRDefault="00FA4B8C" w:rsidP="61F632BB">
      <w:pPr>
        <w:spacing w:after="120"/>
        <w:ind w:firstLine="284"/>
        <w:jc w:val="both"/>
        <w:rPr>
          <w:i/>
          <w:iCs/>
          <w:lang w:val="en-US"/>
        </w:rPr>
      </w:pPr>
      <w:r w:rsidRPr="61F632BB">
        <w:rPr>
          <w:i/>
          <w:iCs/>
          <w:lang w:val="en-US"/>
        </w:rPr>
        <w:t>Duplexing enhancements [RAN1-led, RAN2, RAN3, RAN4]:</w:t>
      </w:r>
    </w:p>
    <w:p w14:paraId="453B0DC0" w14:textId="77777777" w:rsidR="00FA4B8C" w:rsidRPr="007B6063" w:rsidRDefault="00FA4B8C" w:rsidP="61F632BB">
      <w:pPr>
        <w:pStyle w:val="ListParagraph"/>
        <w:numPr>
          <w:ilvl w:val="0"/>
          <w:numId w:val="6"/>
        </w:numPr>
        <w:spacing w:after="180"/>
        <w:jc w:val="both"/>
        <w:rPr>
          <w:i/>
          <w:iCs/>
          <w:color w:val="000000" w:themeColor="text1"/>
          <w:sz w:val="20"/>
          <w:szCs w:val="20"/>
          <w:lang w:val="en-US" w:eastAsia="en-US"/>
        </w:rPr>
      </w:pPr>
      <w:r w:rsidRPr="61F632BB">
        <w:rPr>
          <w:i/>
          <w:iCs/>
          <w:color w:val="000000" w:themeColor="text1"/>
          <w:sz w:val="20"/>
          <w:szCs w:val="20"/>
          <w:lang w:val="en-US" w:eastAsia="en-US"/>
        </w:rPr>
        <w:t>Specification of enhancements to the resource multiplexing between child and parent links of an IAB node, including:</w:t>
      </w:r>
    </w:p>
    <w:p w14:paraId="058B6422" w14:textId="77777777" w:rsidR="00FA4B8C" w:rsidRPr="007B6063" w:rsidRDefault="00FA4B8C" w:rsidP="61F632BB">
      <w:pPr>
        <w:pStyle w:val="ListParagraph"/>
        <w:numPr>
          <w:ilvl w:val="1"/>
          <w:numId w:val="6"/>
        </w:numPr>
        <w:spacing w:after="180"/>
        <w:jc w:val="both"/>
        <w:rPr>
          <w:i/>
          <w:iCs/>
          <w:color w:val="000000" w:themeColor="text1"/>
          <w:sz w:val="20"/>
          <w:szCs w:val="20"/>
          <w:lang w:val="en-US" w:eastAsia="en-US"/>
        </w:rPr>
      </w:pPr>
      <w:r w:rsidRPr="61F632BB">
        <w:rPr>
          <w:i/>
          <w:iCs/>
          <w:color w:val="000000" w:themeColor="tex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7B6063" w:rsidRDefault="00FA4B8C" w:rsidP="61F632BB">
      <w:pPr>
        <w:pStyle w:val="ListParagraph"/>
        <w:numPr>
          <w:ilvl w:val="1"/>
          <w:numId w:val="6"/>
        </w:numPr>
        <w:spacing w:after="180"/>
        <w:jc w:val="both"/>
        <w:rPr>
          <w:i/>
          <w:iCs/>
          <w:color w:val="000000" w:themeColor="text1"/>
          <w:sz w:val="20"/>
          <w:szCs w:val="20"/>
          <w:lang w:val="en-US" w:eastAsia="en-US"/>
        </w:rPr>
      </w:pPr>
      <w:r w:rsidRPr="61F632BB">
        <w:rPr>
          <w:i/>
          <w:iCs/>
          <w:color w:val="000000" w:themeColor="text1"/>
          <w:sz w:val="20"/>
          <w:szCs w:val="20"/>
          <w:lang w:val="en-US" w:eastAsia="en-US"/>
        </w:rPr>
        <w:t>Support for dual-connectivity scenarios defined by RAN2/RAN3 in the context of topology redundancy for improved robustness and load balancing.</w:t>
      </w:r>
    </w:p>
    <w:p w14:paraId="72A94997" w14:textId="77777777" w:rsidR="00FA4B8C" w:rsidRPr="007B6063" w:rsidRDefault="00FA4B8C" w:rsidP="61F632BB">
      <w:pPr>
        <w:pStyle w:val="ListParagraph"/>
        <w:numPr>
          <w:ilvl w:val="0"/>
          <w:numId w:val="6"/>
        </w:numPr>
        <w:spacing w:after="180"/>
        <w:jc w:val="both"/>
        <w:rPr>
          <w:b/>
          <w:bCs/>
          <w:i/>
          <w:iCs/>
          <w:color w:val="5B9BD5" w:themeColor="accent1"/>
          <w:sz w:val="20"/>
          <w:szCs w:val="20"/>
          <w:lang w:val="en-US" w:eastAsia="en-US"/>
        </w:rPr>
      </w:pPr>
      <w:r w:rsidRPr="61F632BB">
        <w:rPr>
          <w:b/>
          <w:bCs/>
          <w:i/>
          <w:iCs/>
          <w:color w:val="5B9BD5" w:themeColor="accent1"/>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39F22136" w14:textId="17D927E7" w:rsidR="00EF2E1F" w:rsidRDefault="655187F5" w:rsidP="007B6063">
      <w:pPr>
        <w:rPr>
          <w:lang w:val="en-US"/>
        </w:rPr>
      </w:pPr>
      <w:r w:rsidRPr="61F632BB">
        <w:rPr>
          <w:lang w:val="en-US"/>
        </w:rPr>
        <w:t xml:space="preserve">In </w:t>
      </w:r>
      <w:r w:rsidR="00012B1B" w:rsidRPr="61F632BB">
        <w:rPr>
          <w:lang w:val="en-US"/>
        </w:rPr>
        <w:t>RAN1 #102-e</w:t>
      </w:r>
      <w:r w:rsidR="00EF2E1F" w:rsidRPr="61F632BB">
        <w:rPr>
          <w:lang w:val="en-US"/>
        </w:rPr>
        <w:t>/103-e</w:t>
      </w:r>
      <w:r w:rsidR="00961E99" w:rsidRPr="61F632BB">
        <w:rPr>
          <w:lang w:val="en-US"/>
        </w:rPr>
        <w:t>/104-e</w:t>
      </w:r>
      <w:r w:rsidR="0076284A" w:rsidRPr="61F632BB">
        <w:rPr>
          <w:lang w:val="en-US"/>
        </w:rPr>
        <w:t>/</w:t>
      </w:r>
      <w:r w:rsidR="00012B1B" w:rsidRPr="61F632BB">
        <w:rPr>
          <w:lang w:val="en-US"/>
        </w:rPr>
        <w:t xml:space="preserve"> meeting</w:t>
      </w:r>
      <w:r w:rsidR="00EF2E1F" w:rsidRPr="61F632BB">
        <w:rPr>
          <w:lang w:val="en-US"/>
        </w:rPr>
        <w:t>s</w:t>
      </w:r>
      <w:r w:rsidR="00012B1B" w:rsidRPr="61F632BB">
        <w:rPr>
          <w:lang w:val="en-US"/>
        </w:rPr>
        <w:t xml:space="preserve"> [</w:t>
      </w:r>
      <w:r w:rsidR="004A0AC9" w:rsidRPr="61F632BB">
        <w:rPr>
          <w:lang w:val="en-US"/>
        </w:rPr>
        <w:t>3</w:t>
      </w:r>
      <w:r w:rsidR="00012B1B" w:rsidRPr="61F632BB">
        <w:rPr>
          <w:lang w:val="en-US"/>
        </w:rPr>
        <w:t>-</w:t>
      </w:r>
      <w:r w:rsidR="159FE597" w:rsidRPr="61F632BB">
        <w:rPr>
          <w:lang w:val="en-US"/>
        </w:rPr>
        <w:t>1</w:t>
      </w:r>
      <w:r w:rsidR="004A0AC9" w:rsidRPr="61F632BB">
        <w:rPr>
          <w:lang w:val="en-US"/>
        </w:rPr>
        <w:t>7</w:t>
      </w:r>
      <w:r w:rsidR="00012B1B" w:rsidRPr="61F632BB">
        <w:rPr>
          <w:lang w:val="en-US"/>
        </w:rPr>
        <w:t xml:space="preserve">], several agreements related to </w:t>
      </w:r>
      <w:r w:rsidR="00D26766" w:rsidRPr="61F632BB">
        <w:rPr>
          <w:lang w:val="en-US"/>
        </w:rPr>
        <w:t>timing enhancements, CLI mitigation, and power control</w:t>
      </w:r>
      <w:r w:rsidR="00012B1B" w:rsidRPr="61F632BB">
        <w:rPr>
          <w:lang w:val="en-US"/>
        </w:rPr>
        <w:t xml:space="preserve"> were </w:t>
      </w:r>
      <w:r w:rsidR="3C6146C9" w:rsidRPr="61F632BB">
        <w:rPr>
          <w:lang w:val="en-US"/>
        </w:rPr>
        <w:t>made,</w:t>
      </w:r>
      <w:r w:rsidR="00012B1B" w:rsidRPr="61F632BB">
        <w:rPr>
          <w:lang w:val="en-US"/>
        </w:rPr>
        <w:t xml:space="preserve"> and they are captured in Annex I. </w:t>
      </w:r>
      <w:r w:rsidR="00D26766" w:rsidRPr="61F632BB">
        <w:rPr>
          <w:lang w:val="en-US"/>
        </w:rPr>
        <w:t>Further consideration on these topics is included in this contribution.</w:t>
      </w:r>
    </w:p>
    <w:p w14:paraId="7F2375D8" w14:textId="0DBBFE06" w:rsidR="00D177F3" w:rsidRDefault="00C3317F" w:rsidP="00045DEE">
      <w:pPr>
        <w:pStyle w:val="Heading1"/>
        <w:rPr>
          <w:color w:val="000000"/>
          <w:lang w:val="en-US"/>
        </w:rPr>
      </w:pPr>
      <w:r w:rsidRPr="61F632BB">
        <w:rPr>
          <w:color w:val="000000" w:themeColor="text1"/>
          <w:lang w:val="en-US"/>
        </w:rPr>
        <w:t>2</w:t>
      </w:r>
      <w:r>
        <w:tab/>
      </w:r>
      <w:r w:rsidR="00D26766" w:rsidRPr="61F632BB">
        <w:rPr>
          <w:color w:val="000000" w:themeColor="text1"/>
          <w:lang w:val="en-US"/>
        </w:rPr>
        <w:t>Timing Options</w:t>
      </w:r>
    </w:p>
    <w:p w14:paraId="2862408F" w14:textId="1341285F" w:rsidR="00D177F3" w:rsidRPr="00D177F3" w:rsidRDefault="00D177F3"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 xml:space="preserve">During the IAB study item, various timing options were analyzed aiming to align the MT/DU signals at symbol or slot level </w:t>
      </w:r>
      <w:proofErr w:type="gramStart"/>
      <w:r w:rsidRPr="61F632BB">
        <w:rPr>
          <w:rFonts w:eastAsia="Times New Roman"/>
          <w:lang w:val="en-US"/>
        </w:rPr>
        <w:t>in order to</w:t>
      </w:r>
      <w:proofErr w:type="gramEnd"/>
      <w:r w:rsidRPr="61F632BB">
        <w:rPr>
          <w:rFonts w:eastAsia="Times New Roman"/>
          <w:lang w:val="en-US"/>
        </w:rPr>
        <w:t xml:space="preserve"> enable SDM/FDM operation, [2]. Rel.16 Case</w:t>
      </w:r>
      <w:r w:rsidR="004A0AC9" w:rsidRPr="61F632BB">
        <w:rPr>
          <w:rFonts w:eastAsia="Times New Roman"/>
          <w:lang w:val="en-US"/>
        </w:rPr>
        <w:t xml:space="preserve"> </w:t>
      </w:r>
      <w:r w:rsidRPr="61F632BB">
        <w:rPr>
          <w:rFonts w:eastAsia="Times New Roman"/>
          <w:lang w:val="en-US"/>
        </w:rPr>
        <w:t>#1 timing is applicable for IAB TDM operation but does not allow adjustment of the timings between MT and DU. Case</w:t>
      </w:r>
      <w:r w:rsidR="004A0AC9" w:rsidRPr="61F632BB">
        <w:rPr>
          <w:rFonts w:eastAsia="Times New Roman"/>
          <w:lang w:val="en-US"/>
        </w:rPr>
        <w:t xml:space="preserve"> </w:t>
      </w:r>
      <w:r w:rsidRPr="61F632BB">
        <w:rPr>
          <w:rFonts w:eastAsia="Times New Roman"/>
          <w:lang w:val="en-US"/>
        </w:rPr>
        <w:t xml:space="preserve">#1 MT TX timing relies on legacy TA control loop and the DU TX timing can be synchronized with the parent node by </w:t>
      </w:r>
      <w:proofErr w:type="spellStart"/>
      <w:r w:rsidRPr="61F632BB">
        <w:rPr>
          <w:rFonts w:eastAsia="Times New Roman"/>
          <w:i/>
          <w:iCs/>
          <w:lang w:val="en-US"/>
        </w:rPr>
        <w:t>T_delta</w:t>
      </w:r>
      <w:proofErr w:type="spellEnd"/>
      <w:r w:rsidRPr="61F632BB">
        <w:rPr>
          <w:rFonts w:eastAsia="Times New Roman"/>
          <w:lang w:val="en-US"/>
        </w:rPr>
        <w:t xml:space="preserve"> information providing means to derive the propagation delay over the parent link. </w:t>
      </w:r>
    </w:p>
    <w:p w14:paraId="355594CE" w14:textId="0A066C09" w:rsidR="61F632BB" w:rsidRDefault="00D177F3" w:rsidP="00DF5057">
      <w:pPr>
        <w:overflowPunct/>
        <w:autoSpaceDE/>
        <w:autoSpaceDN/>
        <w:adjustRightInd/>
        <w:spacing w:before="100" w:beforeAutospacing="1" w:after="100" w:afterAutospacing="1"/>
        <w:jc w:val="both"/>
        <w:rPr>
          <w:lang w:val="en-US"/>
        </w:rPr>
      </w:pPr>
      <w:r w:rsidRPr="61F632BB">
        <w:rPr>
          <w:rFonts w:eastAsia="Times New Roman"/>
          <w:lang w:val="en-US"/>
        </w:rPr>
        <w:t>The main timing options supporting SDM/FDM operation while having synchronous DL (DU TX) timing were Cases #6 and #7. Case</w:t>
      </w:r>
      <w:r w:rsidR="004A0AC9" w:rsidRPr="61F632BB">
        <w:rPr>
          <w:rFonts w:eastAsia="Times New Roman"/>
          <w:lang w:val="en-US"/>
        </w:rPr>
        <w:t xml:space="preserve"> </w:t>
      </w:r>
      <w:r w:rsidRPr="61F632BB">
        <w:rPr>
          <w:rFonts w:eastAsia="Times New Roman"/>
          <w:lang w:val="en-US"/>
        </w:rPr>
        <w:t>#6 aligns the TX of MT and DU parts whereas the Case#7 aligns the RX signals. RAN1 #102-e agreed to support both case #6 and #7 timing modes [</w:t>
      </w:r>
      <w:r w:rsidR="004A0AC9" w:rsidRPr="61F632BB">
        <w:rPr>
          <w:rFonts w:eastAsia="Times New Roman"/>
          <w:lang w:val="en-US"/>
        </w:rPr>
        <w:t>6</w:t>
      </w:r>
      <w:r w:rsidRPr="61F632BB">
        <w:rPr>
          <w:rFonts w:eastAsia="Times New Roman"/>
          <w:lang w:val="en-US"/>
        </w:rPr>
        <w:t xml:space="preserve">, </w:t>
      </w:r>
      <w:r w:rsidR="004A0AC9" w:rsidRPr="61F632BB">
        <w:rPr>
          <w:rFonts w:eastAsia="Times New Roman"/>
          <w:lang w:val="en-US"/>
        </w:rPr>
        <w:t>7</w:t>
      </w:r>
      <w:r w:rsidRPr="61F632BB">
        <w:rPr>
          <w:rFonts w:eastAsia="Times New Roman"/>
          <w:lang w:val="en-US"/>
        </w:rPr>
        <w:t>], </w:t>
      </w:r>
    </w:p>
    <w:p w14:paraId="09E69512" w14:textId="77777777" w:rsidR="00D177F3" w:rsidRPr="004A0AC9" w:rsidRDefault="00D177F3" w:rsidP="61F632BB">
      <w:pPr>
        <w:overflowPunct/>
        <w:autoSpaceDE/>
        <w:autoSpaceDN/>
        <w:adjustRightInd/>
        <w:spacing w:after="0"/>
        <w:ind w:left="284"/>
        <w:rPr>
          <w:rFonts w:eastAsia="Times New Roman"/>
          <w:b/>
          <w:bCs/>
          <w:sz w:val="24"/>
          <w:szCs w:val="24"/>
          <w:lang w:val="en-US"/>
        </w:rPr>
      </w:pPr>
      <w:r w:rsidRPr="61F632BB">
        <w:rPr>
          <w:rFonts w:ascii="Times" w:eastAsia="Times New Roman" w:hAnsi="Times" w:cs="Times"/>
          <w:b/>
          <w:bCs/>
          <w:shd w:val="clear" w:color="auto" w:fill="00FF00"/>
          <w:lang w:val="en-US"/>
        </w:rPr>
        <w:t>Agreement</w:t>
      </w:r>
      <w:r w:rsidRPr="004A0AC9">
        <w:rPr>
          <w:rFonts w:ascii="Times" w:eastAsia="Times New Roman" w:hAnsi="Times" w:cs="Times"/>
          <w:b/>
          <w:bCs/>
          <w:lang w:val="en-US"/>
        </w:rPr>
        <w:t> </w:t>
      </w:r>
    </w:p>
    <w:p w14:paraId="6DF17E8C" w14:textId="77777777" w:rsidR="00D177F3" w:rsidRPr="00D177F3" w:rsidRDefault="00D177F3" w:rsidP="61F632BB">
      <w:pPr>
        <w:numPr>
          <w:ilvl w:val="0"/>
          <w:numId w:val="71"/>
        </w:numPr>
        <w:overflowPunct/>
        <w:autoSpaceDE/>
        <w:autoSpaceDN/>
        <w:adjustRightInd/>
        <w:spacing w:after="0"/>
        <w:ind w:left="644"/>
        <w:rPr>
          <w:rFonts w:ascii="Times" w:eastAsia="Times New Roman" w:hAnsi="Times" w:cs="Times"/>
          <w:sz w:val="22"/>
          <w:szCs w:val="22"/>
          <w:lang w:val="en-US"/>
        </w:rPr>
      </w:pPr>
      <w:r w:rsidRPr="61F632BB">
        <w:rPr>
          <w:rFonts w:ascii="Times" w:eastAsia="Times New Roman" w:hAnsi="Times" w:cs="Times"/>
          <w:i/>
          <w:iCs/>
          <w:lang w:val="en-US"/>
        </w:rPr>
        <w:t>Case 7 timing is supported in Rel-17 for IAB-nodes operating in multiplexing scenario Case 2 (simultaneous MT-Rx/DU-Rx)</w:t>
      </w:r>
      <w:r w:rsidRPr="61F632BB">
        <w:rPr>
          <w:rFonts w:ascii="Times" w:eastAsia="Times New Roman" w:hAnsi="Times" w:cs="Times"/>
          <w:lang w:val="en-US"/>
        </w:rPr>
        <w:t> </w:t>
      </w:r>
    </w:p>
    <w:p w14:paraId="6490A4BD" w14:textId="77777777" w:rsidR="00D177F3" w:rsidRPr="00D177F3" w:rsidRDefault="00D177F3" w:rsidP="61F632BB">
      <w:pPr>
        <w:numPr>
          <w:ilvl w:val="0"/>
          <w:numId w:val="71"/>
        </w:numPr>
        <w:overflowPunct/>
        <w:autoSpaceDE/>
        <w:autoSpaceDN/>
        <w:adjustRightInd/>
        <w:spacing w:after="0"/>
        <w:ind w:left="644"/>
        <w:rPr>
          <w:rFonts w:ascii="Times" w:eastAsia="Times New Roman" w:hAnsi="Times" w:cs="Times"/>
          <w:sz w:val="22"/>
          <w:szCs w:val="22"/>
          <w:lang w:val="en-US"/>
        </w:rPr>
      </w:pPr>
      <w:r w:rsidRPr="61F632BB">
        <w:rPr>
          <w:rFonts w:ascii="Times" w:eastAsia="Times New Roman" w:hAnsi="Times" w:cs="Times"/>
          <w:i/>
          <w:iCs/>
          <w:lang w:val="en-US"/>
        </w:rPr>
        <w:t>Case 6 timing is supported in Rel-17 for IAB-nodes operating in multiplexing scenario Case 1 (simultaneous MT-Tx/DU-Tx)</w:t>
      </w:r>
      <w:r w:rsidRPr="61F632BB">
        <w:rPr>
          <w:rFonts w:ascii="Times" w:eastAsia="Times New Roman" w:hAnsi="Times" w:cs="Times"/>
          <w:lang w:val="en-US"/>
        </w:rPr>
        <w:t> </w:t>
      </w:r>
    </w:p>
    <w:p w14:paraId="1C0CC572" w14:textId="61040075" w:rsidR="00D177F3" w:rsidRPr="00D177F3" w:rsidRDefault="00D177F3" w:rsidP="61F632BB">
      <w:pPr>
        <w:numPr>
          <w:ilvl w:val="1"/>
          <w:numId w:val="71"/>
        </w:numPr>
        <w:overflowPunct/>
        <w:autoSpaceDE/>
        <w:autoSpaceDN/>
        <w:adjustRightInd/>
        <w:spacing w:after="0"/>
        <w:ind w:left="1364"/>
        <w:rPr>
          <w:rFonts w:ascii="Times" w:eastAsia="Times New Roman" w:hAnsi="Times" w:cs="Times"/>
          <w:sz w:val="22"/>
          <w:szCs w:val="22"/>
          <w:lang w:val="en-US"/>
        </w:rPr>
      </w:pPr>
      <w:r w:rsidRPr="61F632BB">
        <w:rPr>
          <w:rFonts w:ascii="Times" w:eastAsia="Times New Roman" w:hAnsi="Times" w:cs="Times"/>
          <w:i/>
          <w:iCs/>
          <w:lang w:val="en-US"/>
        </w:rPr>
        <w:t>RAN1 should strive to minimize specification impact due to this feature</w:t>
      </w:r>
      <w:r w:rsidRPr="61F632BB">
        <w:rPr>
          <w:rFonts w:ascii="Times" w:eastAsia="Times New Roman" w:hAnsi="Times" w:cs="Times"/>
          <w:lang w:val="en-US"/>
        </w:rPr>
        <w:t> </w:t>
      </w:r>
    </w:p>
    <w:p w14:paraId="73F90AC4" w14:textId="12B75DA6" w:rsidR="61F632BB" w:rsidRPr="00DF5057" w:rsidRDefault="00D177F3" w:rsidP="00EF38EF">
      <w:pPr>
        <w:numPr>
          <w:ilvl w:val="0"/>
          <w:numId w:val="71"/>
        </w:numPr>
        <w:overflowPunct/>
        <w:autoSpaceDE/>
        <w:autoSpaceDN/>
        <w:adjustRightInd/>
        <w:spacing w:after="0"/>
        <w:ind w:left="644"/>
        <w:rPr>
          <w:sz w:val="22"/>
          <w:szCs w:val="22"/>
          <w:lang w:val="en-US"/>
        </w:rPr>
      </w:pPr>
      <w:r w:rsidRPr="00DF5057">
        <w:rPr>
          <w:rFonts w:ascii="Times" w:eastAsia="Times New Roman" w:hAnsi="Times" w:cs="Times"/>
          <w:i/>
          <w:iCs/>
          <w:lang w:val="en-US"/>
        </w:rPr>
        <w:t>FFS: Whether Case 7 timing is supported in Rel-17 for IAB-nodes operating in multiplexing scenario Case 4 (simultaneous MT-Tx/DU-Rx)</w:t>
      </w:r>
      <w:r w:rsidRPr="00DF5057">
        <w:rPr>
          <w:rFonts w:ascii="Times" w:eastAsia="Times New Roman" w:hAnsi="Times" w:cs="Times"/>
          <w:lang w:val="en-US"/>
        </w:rPr>
        <w:t> </w:t>
      </w:r>
    </w:p>
    <w:p w14:paraId="200FFEEA" w14:textId="57933B2F" w:rsidR="00836D48" w:rsidRDefault="00D177F3" w:rsidP="00DF5057">
      <w:pPr>
        <w:overflowPunct/>
        <w:autoSpaceDE/>
        <w:autoSpaceDN/>
        <w:adjustRightInd/>
        <w:spacing w:before="100" w:beforeAutospacing="1" w:after="100" w:afterAutospacing="1"/>
        <w:jc w:val="both"/>
        <w:rPr>
          <w:rStyle w:val="Strong"/>
          <w:rFonts w:cs="Times"/>
          <w:highlight w:val="green"/>
          <w:lang w:val="en-US"/>
        </w:rPr>
      </w:pPr>
      <w:r w:rsidRPr="61F632BB">
        <w:rPr>
          <w:rFonts w:eastAsia="Times New Roman"/>
          <w:lang w:val="en-US"/>
        </w:rPr>
        <w:t> </w:t>
      </w:r>
      <w:r w:rsidR="004A0AC9" w:rsidRPr="61F632BB">
        <w:rPr>
          <w:rFonts w:eastAsia="Times New Roman"/>
          <w:lang w:val="en-US"/>
        </w:rPr>
        <w:t>Additionally, in RAN #104-e the following agreement was made regarding switching between each timing mode:</w:t>
      </w:r>
    </w:p>
    <w:p w14:paraId="24BCD199" w14:textId="77777777" w:rsidR="004A0AC9" w:rsidRPr="00E91551" w:rsidRDefault="004A0AC9" w:rsidP="61F632BB">
      <w:pPr>
        <w:spacing w:after="0"/>
        <w:ind w:left="284"/>
        <w:rPr>
          <w:rFonts w:eastAsia="Batang" w:cs="Times"/>
          <w:lang w:val="en-US" w:eastAsia="zh-CN"/>
        </w:rPr>
      </w:pPr>
      <w:r w:rsidRPr="61F632BB">
        <w:rPr>
          <w:rStyle w:val="Strong"/>
          <w:rFonts w:cs="Times"/>
          <w:highlight w:val="green"/>
          <w:lang w:val="en-US"/>
        </w:rPr>
        <w:t>Agreement</w:t>
      </w:r>
    </w:p>
    <w:p w14:paraId="7AC19CE4" w14:textId="77777777" w:rsidR="004A0AC9" w:rsidRPr="004A0AC9" w:rsidRDefault="004A0AC9" w:rsidP="61F632BB">
      <w:pPr>
        <w:spacing w:after="0"/>
        <w:ind w:left="284"/>
        <w:rPr>
          <w:rFonts w:cs="Times"/>
          <w:i/>
          <w:iCs/>
          <w:lang w:val="en-US"/>
        </w:rPr>
      </w:pPr>
      <w:r w:rsidRPr="61F632BB">
        <w:rPr>
          <w:rFonts w:cs="Times"/>
          <w:i/>
          <w:iCs/>
          <w:lang w:val="en-US"/>
        </w:rPr>
        <w:t>Switching between Case 1, Case 6, and Case 7 timing is supported.</w:t>
      </w:r>
    </w:p>
    <w:p w14:paraId="70ACCD83" w14:textId="11986C2C" w:rsidR="004A0AC9" w:rsidRPr="004A0AC9" w:rsidRDefault="004A0AC9" w:rsidP="61F632BB">
      <w:pPr>
        <w:numPr>
          <w:ilvl w:val="0"/>
          <w:numId w:val="44"/>
        </w:numPr>
        <w:overflowPunct/>
        <w:autoSpaceDE/>
        <w:autoSpaceDN/>
        <w:adjustRightInd/>
        <w:spacing w:after="0"/>
        <w:ind w:left="1004"/>
        <w:textAlignment w:val="auto"/>
        <w:rPr>
          <w:rFonts w:cs="Times"/>
          <w:i/>
          <w:iCs/>
          <w:lang w:val="en-US" w:eastAsia="zh-CN"/>
        </w:rPr>
      </w:pPr>
      <w:r w:rsidRPr="61F632BB">
        <w:rPr>
          <w:rFonts w:cs="Times"/>
          <w:i/>
          <w:iCs/>
          <w:lang w:val="en-US" w:eastAsia="zh-CN"/>
        </w:rPr>
        <w:t>FFS whether Case 6 and Case 7 timing shall be restricted to certain resources, e.g. excluding resources used for access or TDM backhaul</w:t>
      </w:r>
    </w:p>
    <w:p w14:paraId="30551001" w14:textId="312D9EDE" w:rsidR="004A0AC9" w:rsidRPr="004A0AC9" w:rsidRDefault="004A0AC9" w:rsidP="61F632BB">
      <w:pPr>
        <w:numPr>
          <w:ilvl w:val="0"/>
          <w:numId w:val="44"/>
        </w:numPr>
        <w:overflowPunct/>
        <w:autoSpaceDE/>
        <w:autoSpaceDN/>
        <w:adjustRightInd/>
        <w:spacing w:after="0"/>
        <w:ind w:left="1004"/>
        <w:textAlignment w:val="auto"/>
        <w:rPr>
          <w:rFonts w:cs="Times"/>
          <w:i/>
          <w:iCs/>
          <w:lang w:val="en-US" w:eastAsia="zh-CN"/>
        </w:rPr>
      </w:pPr>
      <w:r w:rsidRPr="61F632BB">
        <w:rPr>
          <w:rFonts w:cs="Times"/>
          <w:i/>
          <w:iCs/>
          <w:lang w:val="en-US" w:eastAsia="zh-CN"/>
        </w:rPr>
        <w:t>FFS details on switching including the switching conditions</w:t>
      </w:r>
    </w:p>
    <w:p w14:paraId="4A53C21E" w14:textId="2D279C60" w:rsidR="004A0AC9" w:rsidRPr="004A0AC9" w:rsidRDefault="004A0AC9" w:rsidP="61F632BB">
      <w:pPr>
        <w:numPr>
          <w:ilvl w:val="0"/>
          <w:numId w:val="44"/>
        </w:numPr>
        <w:overflowPunct/>
        <w:autoSpaceDE/>
        <w:autoSpaceDN/>
        <w:adjustRightInd/>
        <w:spacing w:after="0"/>
        <w:ind w:left="1004"/>
        <w:textAlignment w:val="auto"/>
        <w:rPr>
          <w:rFonts w:cs="Times"/>
          <w:i/>
          <w:iCs/>
          <w:lang w:val="en-US" w:eastAsia="zh-CN"/>
        </w:rPr>
      </w:pPr>
      <w:r w:rsidRPr="61F632BB">
        <w:rPr>
          <w:rFonts w:cs="Times"/>
          <w:i/>
          <w:iCs/>
          <w:lang w:val="en-US" w:eastAsia="zh-CN"/>
        </w:rPr>
        <w:lastRenderedPageBreak/>
        <w:t>FFS relationship between switching timing modes with the usage/indication of different resource multiplexing modes</w:t>
      </w:r>
    </w:p>
    <w:p w14:paraId="0A4AC4E1" w14:textId="7BFE3EB9" w:rsidR="004A0AC9" w:rsidRPr="004A0AC9" w:rsidRDefault="004A0AC9" w:rsidP="61F632BB">
      <w:pPr>
        <w:numPr>
          <w:ilvl w:val="0"/>
          <w:numId w:val="44"/>
        </w:numPr>
        <w:overflowPunct/>
        <w:autoSpaceDE/>
        <w:autoSpaceDN/>
        <w:adjustRightInd/>
        <w:spacing w:after="0"/>
        <w:ind w:left="1004"/>
        <w:textAlignment w:val="auto"/>
        <w:rPr>
          <w:rFonts w:cs="Times"/>
          <w:i/>
          <w:iCs/>
          <w:lang w:val="en-US" w:eastAsia="zh-CN"/>
        </w:rPr>
      </w:pPr>
      <w:r w:rsidRPr="61F632BB">
        <w:rPr>
          <w:rFonts w:cs="Times"/>
          <w:i/>
          <w:iCs/>
          <w:lang w:val="en-US" w:eastAsia="zh-CN"/>
        </w:rPr>
        <w:t>FFS whether Rel-16 OTA synchronization shall be enhanced to support switching timing modes</w:t>
      </w:r>
    </w:p>
    <w:p w14:paraId="6E95DA9A" w14:textId="2B746A51" w:rsidR="61F632BB" w:rsidRDefault="61F632BB" w:rsidP="61F632BB">
      <w:pPr>
        <w:spacing w:after="0"/>
        <w:rPr>
          <w:i/>
          <w:iCs/>
          <w:lang w:val="en-US" w:eastAsia="zh-CN"/>
        </w:rPr>
      </w:pPr>
    </w:p>
    <w:p w14:paraId="3CDF0E84" w14:textId="1C82DE8A" w:rsidR="61F632BB" w:rsidRDefault="006E4F9D" w:rsidP="007958DD">
      <w:pPr>
        <w:overflowPunct/>
        <w:autoSpaceDE/>
        <w:autoSpaceDN/>
        <w:adjustRightInd/>
        <w:spacing w:before="100" w:beforeAutospacing="1" w:after="100" w:afterAutospacing="1"/>
        <w:jc w:val="both"/>
        <w:rPr>
          <w:lang w:val="en-US"/>
        </w:rPr>
      </w:pPr>
      <w:r w:rsidRPr="61F632BB">
        <w:rPr>
          <w:rFonts w:eastAsia="Times New Roman"/>
          <w:lang w:val="en-US"/>
        </w:rPr>
        <w:t>As noted in [2], IAB-DU DL Tx timing is common in each of case #1, #6, and #7 timing modes</w:t>
      </w:r>
      <w:r w:rsidR="10C3DCBF" w:rsidRPr="61F632BB">
        <w:rPr>
          <w:rFonts w:eastAsia="Times New Roman"/>
          <w:lang w:val="en-US"/>
        </w:rPr>
        <w:t xml:space="preserve">. </w:t>
      </w:r>
      <w:r w:rsidRPr="61F632BB">
        <w:rPr>
          <w:rFonts w:eastAsia="Times New Roman"/>
          <w:lang w:val="en-US"/>
        </w:rPr>
        <w:t>Case #6 timing specifically synchronizes IAB-MT UL Tx timing and IAB-DU DL Tx timing at the IAB node</w:t>
      </w:r>
      <w:r w:rsidR="14F13F4A" w:rsidRPr="61F632BB">
        <w:rPr>
          <w:rFonts w:eastAsia="Times New Roman"/>
          <w:lang w:val="en-US"/>
        </w:rPr>
        <w:t xml:space="preserve">. </w:t>
      </w:r>
      <w:r w:rsidRPr="61F632BB">
        <w:rPr>
          <w:rFonts w:eastAsia="Times New Roman"/>
          <w:lang w:val="en-US"/>
        </w:rPr>
        <w:t xml:space="preserve">Switching from case #1 </w:t>
      </w:r>
      <w:r w:rsidR="00836D48" w:rsidRPr="61F632BB">
        <w:rPr>
          <w:rFonts w:eastAsia="Times New Roman"/>
          <w:lang w:val="en-US"/>
        </w:rPr>
        <w:t xml:space="preserve">UL </w:t>
      </w:r>
      <w:r w:rsidRPr="61F632BB">
        <w:rPr>
          <w:rFonts w:eastAsia="Times New Roman"/>
          <w:lang w:val="en-US"/>
        </w:rPr>
        <w:t xml:space="preserve">timing </w:t>
      </w:r>
      <w:r w:rsidR="00836D48" w:rsidRPr="61F632BB">
        <w:rPr>
          <w:rFonts w:eastAsia="Times New Roman"/>
          <w:lang w:val="en-US"/>
        </w:rPr>
        <w:t xml:space="preserve">(refer </w:t>
      </w:r>
      <w:r w:rsidR="0D66ADE3" w:rsidRPr="61F632BB">
        <w:rPr>
          <w:rFonts w:eastAsia="Times New Roman"/>
          <w:lang w:val="en-US"/>
        </w:rPr>
        <w:t>to</w:t>
      </w:r>
      <w:r w:rsidR="00836D48" w:rsidRPr="61F632BB">
        <w:rPr>
          <w:rFonts w:eastAsia="Times New Roman"/>
          <w:lang w:val="en-US"/>
        </w:rPr>
        <w:t xml:space="preserve"> the TA based IAB MT UL Tx timing)</w:t>
      </w:r>
      <w:r w:rsidRPr="61F632BB">
        <w:rPr>
          <w:rFonts w:eastAsia="Times New Roman"/>
          <w:lang w:val="en-US"/>
        </w:rPr>
        <w:t xml:space="preserve"> to case # 6 </w:t>
      </w:r>
      <w:r w:rsidR="00836D48" w:rsidRPr="61F632BB">
        <w:rPr>
          <w:rFonts w:eastAsia="Times New Roman"/>
          <w:lang w:val="en-US"/>
        </w:rPr>
        <w:t xml:space="preserve">UL </w:t>
      </w:r>
      <w:r w:rsidRPr="61F632BB">
        <w:rPr>
          <w:rFonts w:eastAsia="Times New Roman"/>
          <w:lang w:val="en-US"/>
        </w:rPr>
        <w:t xml:space="preserve">timing </w:t>
      </w:r>
      <w:r w:rsidR="00836D48" w:rsidRPr="61F632BB">
        <w:rPr>
          <w:rFonts w:eastAsia="Times New Roman"/>
          <w:lang w:val="en-US"/>
        </w:rPr>
        <w:t>(refer to IAB MT UL timing which aligned with DL timing)</w:t>
      </w:r>
      <w:r w:rsidRPr="61F632BB">
        <w:rPr>
          <w:rFonts w:eastAsia="Times New Roman"/>
          <w:lang w:val="en-US"/>
        </w:rPr>
        <w:t xml:space="preserve"> would therefore require adjusting the IAB-MT UL Tx timing</w:t>
      </w:r>
      <w:r w:rsidR="00836D48" w:rsidRPr="61F632BB">
        <w:rPr>
          <w:rFonts w:eastAsia="Times New Roman"/>
          <w:lang w:val="en-US"/>
        </w:rPr>
        <w:t xml:space="preserve">. Case #1 UL timing </w:t>
      </w:r>
      <w:r w:rsidR="027E3AEA" w:rsidRPr="61F632BB">
        <w:rPr>
          <w:rFonts w:eastAsia="Times New Roman"/>
          <w:lang w:val="en-US"/>
        </w:rPr>
        <w:t>is usually</w:t>
      </w:r>
      <w:r w:rsidRPr="61F632BB">
        <w:rPr>
          <w:rFonts w:eastAsia="Times New Roman"/>
          <w:lang w:val="en-US"/>
        </w:rPr>
        <w:t xml:space="preserve"> configured via conventional TA, </w:t>
      </w:r>
      <w:r w:rsidR="00B92C7F" w:rsidRPr="61F632BB">
        <w:rPr>
          <w:rFonts w:eastAsia="Times New Roman"/>
          <w:lang w:val="en-US"/>
        </w:rPr>
        <w:t>therefore needing some discussion on how the switching works from</w:t>
      </w:r>
      <w:r w:rsidR="00836D48" w:rsidRPr="61F632BB">
        <w:rPr>
          <w:rFonts w:eastAsia="Times New Roman"/>
          <w:lang w:val="en-US"/>
        </w:rPr>
        <w:t xml:space="preserve"> Case #6 UL timing </w:t>
      </w:r>
      <w:r w:rsidR="00B92C7F" w:rsidRPr="61F632BB">
        <w:rPr>
          <w:rFonts w:eastAsia="Times New Roman"/>
          <w:lang w:val="en-US"/>
        </w:rPr>
        <w:t>(as it</w:t>
      </w:r>
      <w:r w:rsidR="00836D48" w:rsidRPr="61F632BB">
        <w:rPr>
          <w:rFonts w:eastAsia="Times New Roman"/>
          <w:lang w:val="en-US"/>
        </w:rPr>
        <w:t xml:space="preserve"> is</w:t>
      </w:r>
      <w:r w:rsidRPr="61F632BB">
        <w:rPr>
          <w:rFonts w:eastAsia="Times New Roman"/>
          <w:lang w:val="en-US"/>
        </w:rPr>
        <w:t xml:space="preserve"> identical to that of IAB-DU DL Tx timing</w:t>
      </w:r>
      <w:r w:rsidR="00B92C7F" w:rsidRPr="61F632BB">
        <w:rPr>
          <w:rFonts w:eastAsia="Times New Roman"/>
          <w:lang w:val="en-US"/>
        </w:rPr>
        <w:t>)</w:t>
      </w:r>
      <w:r w:rsidRPr="61F632BB">
        <w:rPr>
          <w:rFonts w:eastAsia="Times New Roman"/>
          <w:lang w:val="en-US"/>
        </w:rPr>
        <w:t xml:space="preserve">. </w:t>
      </w:r>
      <w:r w:rsidR="00B92C7F" w:rsidRPr="61F632BB">
        <w:rPr>
          <w:rFonts w:eastAsia="Times New Roman"/>
          <w:lang w:val="en-US"/>
        </w:rPr>
        <w:t xml:space="preserve">On the </w:t>
      </w:r>
      <w:r w:rsidR="621AB540" w:rsidRPr="61F632BB">
        <w:rPr>
          <w:rFonts w:eastAsia="Times New Roman"/>
          <w:lang w:val="en-US"/>
        </w:rPr>
        <w:t>other hand</w:t>
      </w:r>
      <w:r w:rsidR="00B92C7F" w:rsidRPr="61F632BB">
        <w:rPr>
          <w:rFonts w:eastAsia="Times New Roman"/>
          <w:lang w:val="en-US"/>
        </w:rPr>
        <w:t>,</w:t>
      </w:r>
      <w:r w:rsidRPr="61F632BB">
        <w:rPr>
          <w:rFonts w:eastAsia="Times New Roman"/>
          <w:lang w:val="en-US"/>
        </w:rPr>
        <w:t xml:space="preserve"> Case #7 timing synchronizes IAB-MT DL Rx timing with IAB-DU UL Rx timing</w:t>
      </w:r>
      <w:r w:rsidR="00B92C7F" w:rsidRPr="61F632BB">
        <w:rPr>
          <w:rFonts w:eastAsia="Times New Roman"/>
          <w:lang w:val="en-US"/>
        </w:rPr>
        <w:t xml:space="preserve"> and has no relation to switching DU/MT Tx timing.</w:t>
      </w:r>
      <w:r w:rsidR="005C45B5" w:rsidRPr="61F632BB">
        <w:rPr>
          <w:rFonts w:eastAsia="Times New Roman"/>
          <w:lang w:val="en-US"/>
        </w:rPr>
        <w:t xml:space="preserve"> </w:t>
      </w:r>
      <w:r w:rsidR="00B92C7F" w:rsidRPr="61F632BB">
        <w:rPr>
          <w:rFonts w:eastAsia="Times New Roman"/>
          <w:lang w:val="en-US"/>
        </w:rPr>
        <w:t>It is understood in general, the IAB node could maintain case #6 Tx timing when the Case #7 is applied in general. In summary, the discussion should be on s</w:t>
      </w:r>
      <w:r w:rsidR="005C45B5" w:rsidRPr="61F632BB">
        <w:rPr>
          <w:rFonts w:eastAsia="Times New Roman"/>
          <w:lang w:val="en-US"/>
        </w:rPr>
        <w:t xml:space="preserve">witching between </w:t>
      </w:r>
      <w:r w:rsidR="00B92C7F" w:rsidRPr="61F632BB">
        <w:rPr>
          <w:rFonts w:eastAsia="Times New Roman"/>
          <w:lang w:val="en-US"/>
        </w:rPr>
        <w:t>legacy UL timing vs case #6 UL timing at the IAB node</w:t>
      </w:r>
      <w:r w:rsidR="074EAE4E" w:rsidRPr="61F632BB">
        <w:rPr>
          <w:rFonts w:eastAsia="Times New Roman"/>
          <w:lang w:val="en-US"/>
        </w:rPr>
        <w:t xml:space="preserve">. </w:t>
      </w:r>
    </w:p>
    <w:p w14:paraId="4DB562A7" w14:textId="1C1AFCC0" w:rsidR="61F632BB" w:rsidRDefault="005C45B5" w:rsidP="007958DD">
      <w:pPr>
        <w:overflowPunct/>
        <w:autoSpaceDE/>
        <w:autoSpaceDN/>
        <w:adjustRightInd/>
        <w:spacing w:before="100" w:beforeAutospacing="1" w:after="100" w:afterAutospacing="1"/>
        <w:ind w:left="1418" w:hanging="1418"/>
        <w:jc w:val="both"/>
        <w:rPr>
          <w:b/>
          <w:bCs/>
          <w:i/>
          <w:iCs/>
          <w:lang w:val="en-US"/>
        </w:rPr>
      </w:pPr>
      <w:r w:rsidRPr="61F632BB">
        <w:rPr>
          <w:rFonts w:eastAsia="Times New Roman"/>
          <w:b/>
          <w:bCs/>
          <w:i/>
          <w:iCs/>
          <w:lang w:val="en-US"/>
        </w:rPr>
        <w:t xml:space="preserve">Observation 2.1: An IAB node </w:t>
      </w:r>
      <w:r w:rsidR="00B92C7F" w:rsidRPr="61F632BB">
        <w:rPr>
          <w:rFonts w:eastAsia="Times New Roman"/>
          <w:b/>
          <w:bCs/>
          <w:i/>
          <w:iCs/>
          <w:lang w:val="en-US"/>
        </w:rPr>
        <w:t>DU DL Tx timing</w:t>
      </w:r>
      <w:r w:rsidR="0003723A" w:rsidRPr="61F632BB">
        <w:rPr>
          <w:rFonts w:eastAsia="Times New Roman"/>
          <w:b/>
          <w:bCs/>
          <w:i/>
          <w:iCs/>
          <w:lang w:val="en-US"/>
        </w:rPr>
        <w:t xml:space="preserve"> </w:t>
      </w:r>
      <w:r w:rsidR="00F8553C" w:rsidRPr="61F632BB">
        <w:rPr>
          <w:rFonts w:eastAsia="Times New Roman"/>
          <w:b/>
          <w:bCs/>
          <w:i/>
          <w:iCs/>
          <w:lang w:val="en-US"/>
        </w:rPr>
        <w:t xml:space="preserve">is the </w:t>
      </w:r>
      <w:r w:rsidR="000E29CD" w:rsidRPr="61F632BB">
        <w:rPr>
          <w:rFonts w:eastAsia="Times New Roman"/>
          <w:b/>
          <w:bCs/>
          <w:i/>
          <w:iCs/>
          <w:lang w:val="en-US"/>
        </w:rPr>
        <w:t xml:space="preserve">same in </w:t>
      </w:r>
      <w:r w:rsidR="00F76E85" w:rsidRPr="61F632BB">
        <w:rPr>
          <w:rFonts w:eastAsia="Times New Roman"/>
          <w:b/>
          <w:bCs/>
          <w:i/>
          <w:iCs/>
          <w:lang w:val="en-US"/>
        </w:rPr>
        <w:t>all the timing modes</w:t>
      </w:r>
      <w:r w:rsidR="00B92C7F" w:rsidRPr="61F632BB">
        <w:rPr>
          <w:rFonts w:eastAsia="Times New Roman"/>
          <w:b/>
          <w:bCs/>
          <w:i/>
          <w:iCs/>
          <w:lang w:val="en-US"/>
        </w:rPr>
        <w:t xml:space="preserve">. The discussion on switching of timing modes is required </w:t>
      </w:r>
      <w:r w:rsidR="0003723A" w:rsidRPr="61F632BB">
        <w:rPr>
          <w:rFonts w:eastAsia="Times New Roman"/>
          <w:b/>
          <w:bCs/>
          <w:i/>
          <w:iCs/>
          <w:lang w:val="en-US"/>
        </w:rPr>
        <w:t xml:space="preserve">only </w:t>
      </w:r>
      <w:r w:rsidR="00B92C7F" w:rsidRPr="61F632BB">
        <w:rPr>
          <w:rFonts w:eastAsia="Times New Roman"/>
          <w:b/>
          <w:bCs/>
          <w:i/>
          <w:iCs/>
          <w:lang w:val="en-US"/>
        </w:rPr>
        <w:t xml:space="preserve">for the case where different UL Tx timing for IAB MT is </w:t>
      </w:r>
      <w:r w:rsidR="0003723A" w:rsidRPr="61F632BB">
        <w:rPr>
          <w:rFonts w:eastAsia="Times New Roman"/>
          <w:b/>
          <w:bCs/>
          <w:i/>
          <w:iCs/>
          <w:lang w:val="en-US"/>
        </w:rPr>
        <w:t>applied</w:t>
      </w:r>
      <w:r w:rsidR="00B92C7F" w:rsidRPr="61F632BB">
        <w:rPr>
          <w:rFonts w:eastAsia="Times New Roman"/>
          <w:b/>
          <w:bCs/>
          <w:i/>
          <w:iCs/>
          <w:lang w:val="en-US"/>
        </w:rPr>
        <w:t xml:space="preserve">, which can be generalized </w:t>
      </w:r>
      <w:r w:rsidR="0003723A" w:rsidRPr="61F632BB">
        <w:rPr>
          <w:rFonts w:eastAsia="Times New Roman"/>
          <w:b/>
          <w:bCs/>
          <w:i/>
          <w:iCs/>
          <w:lang w:val="en-US"/>
        </w:rPr>
        <w:t xml:space="preserve">as switching </w:t>
      </w:r>
      <w:r w:rsidR="00970748" w:rsidRPr="61F632BB">
        <w:rPr>
          <w:rFonts w:eastAsia="Times New Roman"/>
          <w:b/>
          <w:bCs/>
          <w:i/>
          <w:iCs/>
          <w:lang w:val="en-US"/>
        </w:rPr>
        <w:t>between</w:t>
      </w:r>
      <w:r w:rsidR="00B92C7F" w:rsidRPr="61F632BB">
        <w:rPr>
          <w:rFonts w:eastAsia="Times New Roman"/>
          <w:b/>
          <w:bCs/>
          <w:i/>
          <w:iCs/>
          <w:lang w:val="en-US"/>
        </w:rPr>
        <w:t xml:space="preserve"> legacy UL Tx timing vs </w:t>
      </w:r>
      <w:r w:rsidR="0003723A" w:rsidRPr="61F632BB">
        <w:rPr>
          <w:rFonts w:eastAsia="Times New Roman"/>
          <w:b/>
          <w:bCs/>
          <w:i/>
          <w:iCs/>
          <w:lang w:val="en-US"/>
        </w:rPr>
        <w:t>Case #6 UL timing</w:t>
      </w:r>
      <w:r w:rsidR="4388F012" w:rsidRPr="61F632BB">
        <w:rPr>
          <w:rFonts w:eastAsia="Times New Roman"/>
          <w:b/>
          <w:bCs/>
          <w:i/>
          <w:iCs/>
          <w:lang w:val="en-US"/>
        </w:rPr>
        <w:t xml:space="preserve">. </w:t>
      </w:r>
    </w:p>
    <w:p w14:paraId="3449C23E" w14:textId="4416F33D" w:rsidR="61F632BB" w:rsidRDefault="00BD479C" w:rsidP="007958DD">
      <w:pPr>
        <w:overflowPunct/>
        <w:autoSpaceDE/>
        <w:autoSpaceDN/>
        <w:adjustRightInd/>
        <w:spacing w:before="100" w:beforeAutospacing="1" w:after="100" w:afterAutospacing="1"/>
        <w:jc w:val="both"/>
        <w:rPr>
          <w:lang w:val="en-US"/>
        </w:rPr>
      </w:pPr>
      <w:r w:rsidRPr="61F632BB">
        <w:rPr>
          <w:rFonts w:eastAsia="Times New Roman"/>
          <w:lang w:val="en-US"/>
        </w:rPr>
        <w:t>An IAB node may still require explicit signaling to indicate whether it should be operating in case #1 timing mode or case #6 timing mode</w:t>
      </w:r>
      <w:r w:rsidR="0D93923E" w:rsidRPr="61F632BB">
        <w:rPr>
          <w:rFonts w:eastAsia="Times New Roman"/>
          <w:lang w:val="en-US"/>
        </w:rPr>
        <w:t xml:space="preserve">. </w:t>
      </w:r>
      <w:r w:rsidRPr="61F632BB">
        <w:rPr>
          <w:rFonts w:eastAsia="Times New Roman"/>
          <w:lang w:val="en-US"/>
        </w:rPr>
        <w:t>In Rel-16 case #1 timing mode is used explicitly, but no additional signaling is provided to support FDM/SDM operation</w:t>
      </w:r>
      <w:r w:rsidR="2ABD0831" w:rsidRPr="61F632BB">
        <w:rPr>
          <w:rFonts w:eastAsia="Times New Roman"/>
          <w:lang w:val="en-US"/>
        </w:rPr>
        <w:t xml:space="preserve">. </w:t>
      </w:r>
      <w:r w:rsidRPr="61F632BB">
        <w:rPr>
          <w:rFonts w:eastAsia="Times New Roman"/>
          <w:lang w:val="en-US"/>
        </w:rPr>
        <w:t>In TDM operation the IAB-MT and IAB-DU will not be scheduled to make transmissions simultaneously, however specification allows simultaneous transmission in soft resources if Tx on either the IAB-MT/IAB-DU is not impacted by Tx on the other</w:t>
      </w:r>
      <w:r w:rsidR="30DCD599" w:rsidRPr="61F632BB">
        <w:rPr>
          <w:rFonts w:eastAsia="Times New Roman"/>
          <w:lang w:val="en-US"/>
        </w:rPr>
        <w:t xml:space="preserve">. </w:t>
      </w:r>
      <w:r w:rsidRPr="61F632BB">
        <w:rPr>
          <w:rFonts w:eastAsia="Times New Roman"/>
          <w:lang w:val="en-US"/>
        </w:rPr>
        <w:t>Since case #1 timing is the only timing mode supported</w:t>
      </w:r>
      <w:r w:rsidR="002E00B6" w:rsidRPr="61F632BB">
        <w:rPr>
          <w:rFonts w:eastAsia="Times New Roman"/>
          <w:lang w:val="en-US"/>
        </w:rPr>
        <w:t xml:space="preserve"> </w:t>
      </w:r>
      <w:r w:rsidRPr="61F632BB">
        <w:rPr>
          <w:rFonts w:eastAsia="Times New Roman"/>
          <w:lang w:val="en-US"/>
        </w:rPr>
        <w:t>in Rel-16, these transmissions would be made asynchronously</w:t>
      </w:r>
      <w:r w:rsidR="64F11837" w:rsidRPr="61F632BB">
        <w:rPr>
          <w:rFonts w:eastAsia="Times New Roman"/>
          <w:lang w:val="en-US"/>
        </w:rPr>
        <w:t xml:space="preserve">. </w:t>
      </w:r>
      <w:r w:rsidRPr="61F632BB">
        <w:rPr>
          <w:rFonts w:eastAsia="Times New Roman"/>
          <w:lang w:val="en-US"/>
        </w:rPr>
        <w:t>To avoid ambiguity the IAB node can be configured to explicitly use either case #1 or case #6 timing for SDM and FDM operation.</w:t>
      </w:r>
    </w:p>
    <w:p w14:paraId="396AC38E" w14:textId="0D98C3E1" w:rsidR="00BD479C" w:rsidRPr="006518D1" w:rsidRDefault="00BD479C" w:rsidP="61F632BB">
      <w:pPr>
        <w:overflowPunct/>
        <w:autoSpaceDE/>
        <w:autoSpaceDN/>
        <w:adjustRightInd/>
        <w:spacing w:before="100" w:beforeAutospacing="1" w:after="100" w:afterAutospacing="1"/>
        <w:ind w:left="1134" w:hanging="1134"/>
        <w:jc w:val="both"/>
        <w:rPr>
          <w:rFonts w:eastAsia="Times New Roman"/>
          <w:b/>
          <w:bCs/>
          <w:i/>
          <w:iCs/>
          <w:lang w:val="en-US"/>
        </w:rPr>
      </w:pPr>
      <w:r w:rsidRPr="61F632BB">
        <w:rPr>
          <w:rFonts w:eastAsia="Times New Roman"/>
          <w:b/>
          <w:bCs/>
          <w:i/>
          <w:iCs/>
          <w:lang w:val="en-US"/>
        </w:rPr>
        <w:t xml:space="preserve">Proposal 2.1: An IAB node should be </w:t>
      </w:r>
      <w:r w:rsidR="006518D1" w:rsidRPr="61F632BB">
        <w:rPr>
          <w:rFonts w:eastAsia="Times New Roman"/>
          <w:b/>
          <w:bCs/>
          <w:i/>
          <w:iCs/>
          <w:lang w:val="en-US"/>
        </w:rPr>
        <w:t>explicitly configured to use either case #1 or case #6 timing when operating in either SDM or FDM modes.</w:t>
      </w:r>
    </w:p>
    <w:p w14:paraId="654BD97B" w14:textId="45B68FF7" w:rsidR="004A0AC9" w:rsidRDefault="004A0AC9" w:rsidP="004A0AC9">
      <w:pPr>
        <w:pStyle w:val="Heading2"/>
        <w:rPr>
          <w:lang w:val="en-US"/>
        </w:rPr>
      </w:pPr>
      <w:r w:rsidRPr="61F632BB">
        <w:rPr>
          <w:lang w:val="en-US"/>
        </w:rPr>
        <w:t>2.1</w:t>
      </w:r>
      <w:r>
        <w:tab/>
      </w:r>
      <w:r w:rsidRPr="61F632BB">
        <w:rPr>
          <w:lang w:val="en-US"/>
        </w:rPr>
        <w:t>Case #6 Timing</w:t>
      </w:r>
    </w:p>
    <w:p w14:paraId="23989B89" w14:textId="7AB33829" w:rsidR="00BC353D" w:rsidRDefault="00BC353D" w:rsidP="00BC353D">
      <w:pPr>
        <w:spacing w:after="0"/>
        <w:jc w:val="both"/>
        <w:rPr>
          <w:lang w:val="en-US"/>
        </w:rPr>
      </w:pPr>
      <w:r w:rsidRPr="61F632BB">
        <w:rPr>
          <w:lang w:val="en-US"/>
        </w:rPr>
        <w:t xml:space="preserve">For Case #6 </w:t>
      </w:r>
      <w:r w:rsidR="71068561" w:rsidRPr="61F632BB">
        <w:rPr>
          <w:lang w:val="en-US"/>
        </w:rPr>
        <w:t>timing</w:t>
      </w:r>
      <w:r w:rsidRPr="61F632BB">
        <w:rPr>
          <w:lang w:val="en-US"/>
        </w:rPr>
        <w:t>, the relative timings of the TX and RX slots on the BH (single hop) and access link is depicted in Fig.1. The figure illustrates slot-level alignment.</w:t>
      </w:r>
    </w:p>
    <w:p w14:paraId="30939FAD" w14:textId="77777777" w:rsidR="00BC353D" w:rsidRDefault="00BC353D" w:rsidP="00BC353D">
      <w:pPr>
        <w:spacing w:after="0"/>
        <w:jc w:val="both"/>
        <w:rPr>
          <w:lang w:val="en-US"/>
        </w:rPr>
      </w:pPr>
    </w:p>
    <w:p w14:paraId="2A617F93" w14:textId="0149D27D" w:rsidR="00BC353D" w:rsidRDefault="00BC353D" w:rsidP="00BC353D">
      <w:pPr>
        <w:spacing w:after="0"/>
        <w:jc w:val="center"/>
        <w:rPr>
          <w:lang w:val="en-US"/>
        </w:rPr>
      </w:pPr>
      <w:r>
        <w:rPr>
          <w:noProof/>
        </w:rPr>
        <w:drawing>
          <wp:inline distT="0" distB="0" distL="0" distR="0" wp14:anchorId="2102BBB2" wp14:editId="421AB4BB">
            <wp:extent cx="4389120" cy="17119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4389120" cy="1711960"/>
                    </a:xfrm>
                    <a:prstGeom prst="rect">
                      <a:avLst/>
                    </a:prstGeom>
                  </pic:spPr>
                </pic:pic>
              </a:graphicData>
            </a:graphic>
          </wp:inline>
        </w:drawing>
      </w:r>
    </w:p>
    <w:p w14:paraId="7967E811" w14:textId="77777777" w:rsidR="00BC353D" w:rsidRDefault="00BC353D" w:rsidP="00BC353D">
      <w:pPr>
        <w:pStyle w:val="TF"/>
        <w:rPr>
          <w:lang w:val="en-US"/>
        </w:rPr>
      </w:pPr>
      <w:r w:rsidRPr="61F632BB">
        <w:rPr>
          <w:lang w:val="en-US"/>
        </w:rPr>
        <w:t>Figure 1: Slot timings with Case#6 timing</w:t>
      </w:r>
    </w:p>
    <w:p w14:paraId="223EC0D3" w14:textId="77777777" w:rsidR="00BC353D" w:rsidRDefault="00BC353D" w:rsidP="00BC353D">
      <w:pPr>
        <w:spacing w:after="0"/>
        <w:jc w:val="both"/>
        <w:rPr>
          <w:lang w:val="en-US"/>
        </w:rPr>
      </w:pPr>
    </w:p>
    <w:p w14:paraId="5C7820D0" w14:textId="0FEBCC41" w:rsidR="00BC353D" w:rsidRDefault="00BC353D" w:rsidP="00BC353D">
      <w:pPr>
        <w:spacing w:after="0"/>
        <w:jc w:val="both"/>
        <w:rPr>
          <w:lang w:val="en-US"/>
        </w:rPr>
      </w:pPr>
      <w:r w:rsidRPr="61F632BB">
        <w:rPr>
          <w:lang w:val="en-US"/>
        </w:rPr>
        <w:t xml:space="preserve">As the MT and DU TX signals should be aligned at the IAB node, and, because of synchronous network, also the MT UL TX shall be based on synchronized DL (DU TX) signal. This means that the UL TX timing is not based on the legacy TA control but </w:t>
      </w:r>
      <w:r w:rsidR="078449A1" w:rsidRPr="61F632BB">
        <w:rPr>
          <w:lang w:val="en-US"/>
        </w:rPr>
        <w:t>on</w:t>
      </w:r>
      <w:r w:rsidRPr="61F632BB">
        <w:rPr>
          <w:lang w:val="en-US"/>
        </w:rPr>
        <w:t xml:space="preserve"> DL (DU) synchronization. The synchronization </w:t>
      </w:r>
      <w:r w:rsidR="50548C5E" w:rsidRPr="61F632BB">
        <w:rPr>
          <w:lang w:val="en-US"/>
        </w:rPr>
        <w:t xml:space="preserve">can be based </w:t>
      </w:r>
      <w:r w:rsidR="004547FD" w:rsidRPr="61F632BB">
        <w:rPr>
          <w:lang w:val="en-US"/>
        </w:rPr>
        <w:t>e.g.,</w:t>
      </w:r>
      <w:r w:rsidRPr="61F632BB">
        <w:rPr>
          <w:lang w:val="en-US"/>
        </w:rPr>
        <w:t xml:space="preserve"> on GNSS or based on OTA synchronization over the parent link. GNSS is agnostic to the multiplexing modes (TDM/FDM/SDM) but the Rel-16 OTA synchronization, relying on the TA control loop, does not work as such with Case</w:t>
      </w:r>
      <w:r w:rsidR="00A519D0" w:rsidRPr="61F632BB">
        <w:rPr>
          <w:lang w:val="en-US"/>
        </w:rPr>
        <w:t xml:space="preserve"> </w:t>
      </w:r>
      <w:r w:rsidRPr="61F632BB">
        <w:rPr>
          <w:lang w:val="en-US"/>
        </w:rPr>
        <w:t xml:space="preserve">#6 timing. </w:t>
      </w:r>
    </w:p>
    <w:p w14:paraId="078FB451" w14:textId="77777777" w:rsidR="00BC353D" w:rsidRDefault="00BC353D" w:rsidP="00BC353D">
      <w:pPr>
        <w:spacing w:after="0"/>
        <w:jc w:val="both"/>
        <w:rPr>
          <w:lang w:val="en-US"/>
        </w:rPr>
      </w:pPr>
    </w:p>
    <w:p w14:paraId="3DC7187B" w14:textId="46525257" w:rsidR="00437888" w:rsidRDefault="00C02AEE" w:rsidP="00437888">
      <w:pPr>
        <w:rPr>
          <w:lang w:val="en-US"/>
        </w:rPr>
      </w:pPr>
      <w:r w:rsidRPr="61F632BB">
        <w:rPr>
          <w:lang w:val="en-US"/>
        </w:rPr>
        <w:t>The</w:t>
      </w:r>
      <w:r w:rsidR="00CC05FF" w:rsidRPr="61F632BB">
        <w:rPr>
          <w:lang w:val="en-US"/>
        </w:rPr>
        <w:t xml:space="preserve">re was no progress on synchronization </w:t>
      </w:r>
      <w:r w:rsidR="005A5361" w:rsidRPr="61F632BB">
        <w:rPr>
          <w:lang w:val="en-US"/>
        </w:rPr>
        <w:t xml:space="preserve">in </w:t>
      </w:r>
      <w:r w:rsidR="00E4244B" w:rsidRPr="61F632BB">
        <w:rPr>
          <w:lang w:val="en-US"/>
        </w:rPr>
        <w:t>C</w:t>
      </w:r>
      <w:r w:rsidR="004A791B" w:rsidRPr="61F632BB">
        <w:rPr>
          <w:lang w:val="en-US"/>
        </w:rPr>
        <w:t xml:space="preserve">ase </w:t>
      </w:r>
      <w:r w:rsidR="00C50F50" w:rsidRPr="61F632BB">
        <w:rPr>
          <w:lang w:val="en-US"/>
        </w:rPr>
        <w:t>#</w:t>
      </w:r>
      <w:r w:rsidR="004A791B" w:rsidRPr="61F632BB">
        <w:rPr>
          <w:lang w:val="en-US"/>
        </w:rPr>
        <w:t>6 timin</w:t>
      </w:r>
      <w:r w:rsidR="000267A5" w:rsidRPr="61F632BB">
        <w:rPr>
          <w:lang w:val="en-US"/>
        </w:rPr>
        <w:t xml:space="preserve">g mode </w:t>
      </w:r>
      <w:r w:rsidR="00CC05FF" w:rsidRPr="61F632BB">
        <w:rPr>
          <w:lang w:val="en-US"/>
        </w:rPr>
        <w:t>in RAN1 #104</w:t>
      </w:r>
      <w:r w:rsidR="009A5E4D" w:rsidRPr="61F632BB">
        <w:rPr>
          <w:lang w:val="en-US"/>
        </w:rPr>
        <w:t>-</w:t>
      </w:r>
      <w:r w:rsidR="00E1432C" w:rsidRPr="61F632BB">
        <w:rPr>
          <w:lang w:val="en-US"/>
        </w:rPr>
        <w:t xml:space="preserve">e </w:t>
      </w:r>
      <w:r w:rsidR="0040784B" w:rsidRPr="61F632BB">
        <w:rPr>
          <w:lang w:val="en-US"/>
        </w:rPr>
        <w:t>or</w:t>
      </w:r>
      <w:r w:rsidR="00B35BCA" w:rsidRPr="61F632BB">
        <w:rPr>
          <w:lang w:val="en-US"/>
        </w:rPr>
        <w:t xml:space="preserve"> </w:t>
      </w:r>
      <w:r w:rsidR="00E573D8" w:rsidRPr="61F632BB">
        <w:rPr>
          <w:lang w:val="en-US"/>
        </w:rPr>
        <w:t>#</w:t>
      </w:r>
      <w:r w:rsidR="00B35BCA" w:rsidRPr="61F632BB">
        <w:rPr>
          <w:lang w:val="en-US"/>
        </w:rPr>
        <w:t>104</w:t>
      </w:r>
      <w:r w:rsidR="00307BC3" w:rsidRPr="61F632BB">
        <w:rPr>
          <w:lang w:val="en-US"/>
        </w:rPr>
        <w:t>bis</w:t>
      </w:r>
      <w:r w:rsidR="007568ED" w:rsidRPr="61F632BB">
        <w:rPr>
          <w:lang w:val="en-US"/>
        </w:rPr>
        <w:t>-e</w:t>
      </w:r>
      <w:r w:rsidR="00C520CA" w:rsidRPr="61F632BB">
        <w:rPr>
          <w:lang w:val="en-US"/>
        </w:rPr>
        <w:t xml:space="preserve">. </w:t>
      </w:r>
      <w:r w:rsidR="00343F64" w:rsidRPr="61F632BB">
        <w:rPr>
          <w:lang w:val="en-US"/>
        </w:rPr>
        <w:t xml:space="preserve">Therefore, we return to the </w:t>
      </w:r>
      <w:r w:rsidR="00DD6EA9" w:rsidRPr="61F632BB">
        <w:rPr>
          <w:lang w:val="en-US"/>
        </w:rPr>
        <w:t>agreement i</w:t>
      </w:r>
      <w:r w:rsidR="00437888" w:rsidRPr="61F632BB">
        <w:rPr>
          <w:lang w:val="en-US"/>
        </w:rPr>
        <w:t>n RAN #103-e:</w:t>
      </w:r>
    </w:p>
    <w:p w14:paraId="5F2DAC65" w14:textId="77777777" w:rsidR="00DF5057" w:rsidRDefault="00DF5057" w:rsidP="00437888">
      <w:pPr>
        <w:rPr>
          <w:lang w:val="en-US"/>
        </w:rPr>
      </w:pPr>
    </w:p>
    <w:p w14:paraId="1A0305FF" w14:textId="77777777" w:rsidR="00437888" w:rsidRPr="00D469AA" w:rsidRDefault="00437888" w:rsidP="61F632BB">
      <w:pPr>
        <w:spacing w:after="0"/>
        <w:ind w:left="284"/>
        <w:rPr>
          <w:rFonts w:eastAsia="Times New Roman"/>
          <w:b/>
          <w:bCs/>
          <w:highlight w:val="green"/>
          <w:lang w:val="en-US"/>
        </w:rPr>
      </w:pPr>
      <w:r w:rsidRPr="61F632BB">
        <w:rPr>
          <w:b/>
          <w:bCs/>
          <w:highlight w:val="green"/>
          <w:lang w:val="en-US"/>
        </w:rPr>
        <w:lastRenderedPageBreak/>
        <w:t>Agreement</w:t>
      </w:r>
    </w:p>
    <w:p w14:paraId="0109BCEA" w14:textId="21C3C56D" w:rsidR="00437888" w:rsidRPr="00B17D83" w:rsidRDefault="00437888" w:rsidP="61F632BB">
      <w:pPr>
        <w:spacing w:after="0"/>
        <w:ind w:left="568"/>
        <w:rPr>
          <w:rFonts w:eastAsia="Calibri"/>
          <w:i/>
          <w:iCs/>
          <w:lang w:val="en-US"/>
        </w:rPr>
      </w:pPr>
      <w:r w:rsidRPr="61F632BB">
        <w:rPr>
          <w:rFonts w:eastAsia="Calibri"/>
          <w:i/>
          <w:iCs/>
          <w:lang w:val="en-US"/>
        </w:rPr>
        <w:t xml:space="preserve">An IAB-node can rely on an OTA timing synchronization mechanism to enable/maintain Case 6 timing </w:t>
      </w:r>
      <w:r w:rsidR="22CC748A" w:rsidRPr="61F632BB">
        <w:rPr>
          <w:rFonts w:eastAsia="Calibri"/>
          <w:i/>
          <w:iCs/>
          <w:lang w:val="en-US"/>
        </w:rPr>
        <w:t>mode.</w:t>
      </w:r>
    </w:p>
    <w:p w14:paraId="6DA1161A" w14:textId="6B60AA1D" w:rsidR="00437888" w:rsidRPr="00B17D83" w:rsidRDefault="00437888" w:rsidP="61F632BB">
      <w:pPr>
        <w:pStyle w:val="ListParagraph"/>
        <w:numPr>
          <w:ilvl w:val="0"/>
          <w:numId w:val="64"/>
        </w:numPr>
        <w:autoSpaceDN w:val="0"/>
        <w:ind w:left="1212"/>
        <w:rPr>
          <w:rFonts w:eastAsia="Calibri"/>
          <w:i/>
          <w:iCs/>
          <w:color w:val="000000"/>
          <w:sz w:val="20"/>
          <w:szCs w:val="20"/>
        </w:rPr>
      </w:pPr>
      <w:r w:rsidRPr="61F632BB">
        <w:rPr>
          <w:rFonts w:eastAsia="Calibri"/>
          <w:i/>
          <w:iCs/>
          <w:color w:val="000000" w:themeColor="text1"/>
          <w:sz w:val="20"/>
          <w:szCs w:val="20"/>
          <w:lang w:val="en-US"/>
        </w:rPr>
        <w:t xml:space="preserve">FFS whether the Rel-16 OTA synchronization mechanism is </w:t>
      </w:r>
      <w:r w:rsidR="1F883DA6" w:rsidRPr="61F632BB">
        <w:rPr>
          <w:rFonts w:eastAsia="Calibri"/>
          <w:i/>
          <w:iCs/>
          <w:color w:val="000000" w:themeColor="text1"/>
          <w:sz w:val="20"/>
          <w:szCs w:val="20"/>
          <w:lang w:val="en-US"/>
        </w:rPr>
        <w:t>sufficient,</w:t>
      </w:r>
      <w:r w:rsidRPr="61F632BB">
        <w:rPr>
          <w:rFonts w:eastAsia="Calibri"/>
          <w:i/>
          <w:iCs/>
          <w:color w:val="000000" w:themeColor="text1"/>
          <w:sz w:val="20"/>
          <w:szCs w:val="20"/>
          <w:lang w:val="en-US"/>
        </w:rPr>
        <w:t xml:space="preserve"> or enhancements </w:t>
      </w:r>
      <w:r w:rsidR="0CD002A5" w:rsidRPr="61F632BB">
        <w:rPr>
          <w:rFonts w:eastAsia="Calibri"/>
          <w:i/>
          <w:iCs/>
          <w:color w:val="000000" w:themeColor="text1"/>
          <w:sz w:val="20"/>
          <w:szCs w:val="20"/>
          <w:lang w:val="en-US"/>
        </w:rPr>
        <w:t>are.</w:t>
      </w:r>
      <w:r w:rsidRPr="61F632BB">
        <w:rPr>
          <w:rFonts w:eastAsia="Calibri"/>
          <w:i/>
          <w:iCs/>
          <w:color w:val="000000" w:themeColor="text1"/>
          <w:sz w:val="20"/>
          <w:szCs w:val="20"/>
          <w:lang w:val="en-US"/>
        </w:rPr>
        <w:t xml:space="preserve"> </w:t>
      </w:r>
      <w:r w:rsidR="660AF28F" w:rsidRPr="61F632BB">
        <w:rPr>
          <w:rFonts w:eastAsia="Calibri"/>
          <w:i/>
          <w:iCs/>
          <w:color w:val="000000" w:themeColor="text1"/>
          <w:sz w:val="20"/>
          <w:szCs w:val="20"/>
          <w:lang w:val="en-US"/>
        </w:rPr>
        <w:t>required.</w:t>
      </w:r>
      <w:r w:rsidRPr="61F632BB">
        <w:rPr>
          <w:rFonts w:eastAsia="Calibri"/>
          <w:i/>
          <w:iCs/>
          <w:color w:val="000000" w:themeColor="text1"/>
          <w:sz w:val="20"/>
          <w:szCs w:val="20"/>
          <w:lang w:val="en-US"/>
        </w:rPr>
        <w:t xml:space="preserve"> </w:t>
      </w:r>
    </w:p>
    <w:p w14:paraId="57D9CD05" w14:textId="3D2E6411" w:rsidR="00437888" w:rsidRPr="00B17D83" w:rsidRDefault="00437888" w:rsidP="61F632BB">
      <w:pPr>
        <w:pStyle w:val="ListParagraph"/>
        <w:numPr>
          <w:ilvl w:val="1"/>
          <w:numId w:val="64"/>
        </w:numPr>
        <w:autoSpaceDN w:val="0"/>
        <w:ind w:left="1932"/>
        <w:rPr>
          <w:rFonts w:eastAsia="Calibri"/>
          <w:i/>
          <w:iCs/>
          <w:color w:val="000000"/>
          <w:sz w:val="20"/>
          <w:szCs w:val="20"/>
        </w:rPr>
      </w:pPr>
      <w:r w:rsidRPr="61F632BB">
        <w:rPr>
          <w:rFonts w:eastAsia="Calibri"/>
          <w:i/>
          <w:iCs/>
          <w:color w:val="000000" w:themeColor="text1"/>
          <w:sz w:val="20"/>
          <w:szCs w:val="20"/>
          <w:lang w:val="en-US"/>
        </w:rPr>
        <w:t xml:space="preserve">If required, details of enhancements including the uplink timing(s) required to support different timing alignment </w:t>
      </w:r>
      <w:r w:rsidR="47F16E62" w:rsidRPr="61F632BB">
        <w:rPr>
          <w:rFonts w:eastAsia="Calibri"/>
          <w:i/>
          <w:iCs/>
          <w:color w:val="000000" w:themeColor="text1"/>
          <w:sz w:val="20"/>
          <w:szCs w:val="20"/>
          <w:lang w:val="en-US"/>
        </w:rPr>
        <w:t>cases.</w:t>
      </w:r>
    </w:p>
    <w:p w14:paraId="599B1BA5" w14:textId="77777777" w:rsidR="00437888" w:rsidRDefault="00437888" w:rsidP="00437888">
      <w:pPr>
        <w:jc w:val="both"/>
        <w:rPr>
          <w:lang w:val="en-US"/>
        </w:rPr>
      </w:pPr>
    </w:p>
    <w:p w14:paraId="54629E03" w14:textId="10B9912B" w:rsidR="005B32F1" w:rsidRDefault="00983261" w:rsidP="005B32F1">
      <w:pPr>
        <w:overflowPunct/>
        <w:autoSpaceDE/>
        <w:autoSpaceDN/>
        <w:adjustRightInd/>
        <w:spacing w:after="0"/>
        <w:jc w:val="both"/>
        <w:textAlignment w:val="auto"/>
        <w:rPr>
          <w:lang w:val="en-US"/>
        </w:rPr>
      </w:pPr>
      <w:r w:rsidRPr="61F632BB">
        <w:rPr>
          <w:lang w:val="en-US"/>
        </w:rPr>
        <w:t xml:space="preserve">We understand this agreement to mean that </w:t>
      </w:r>
      <w:r w:rsidR="00796A56" w:rsidRPr="61F632BB">
        <w:rPr>
          <w:lang w:val="en-US"/>
        </w:rPr>
        <w:t xml:space="preserve">OTA </w:t>
      </w:r>
      <w:r w:rsidR="006633C8" w:rsidRPr="61F632BB">
        <w:rPr>
          <w:lang w:val="en-US"/>
        </w:rPr>
        <w:t>timing synchronization</w:t>
      </w:r>
      <w:r w:rsidR="005F32DB" w:rsidRPr="61F632BB">
        <w:rPr>
          <w:lang w:val="en-US"/>
        </w:rPr>
        <w:t xml:space="preserve"> </w:t>
      </w:r>
      <w:r w:rsidR="008F2A71" w:rsidRPr="61F632BB">
        <w:rPr>
          <w:lang w:val="en-US"/>
        </w:rPr>
        <w:t xml:space="preserve">mechanism </w:t>
      </w:r>
      <w:r w:rsidR="00F016AD" w:rsidRPr="61F632BB">
        <w:rPr>
          <w:lang w:val="en-US"/>
        </w:rPr>
        <w:t xml:space="preserve">will be specified </w:t>
      </w:r>
      <w:r w:rsidR="00C75AFE" w:rsidRPr="61F632BB">
        <w:rPr>
          <w:lang w:val="en-US"/>
        </w:rPr>
        <w:t xml:space="preserve">to support Case 6 </w:t>
      </w:r>
      <w:r w:rsidR="00DE5430" w:rsidRPr="61F632BB">
        <w:rPr>
          <w:lang w:val="en-US"/>
        </w:rPr>
        <w:t>timing mode</w:t>
      </w:r>
      <w:r w:rsidR="00F93043" w:rsidRPr="61F632BB">
        <w:rPr>
          <w:lang w:val="en-US"/>
        </w:rPr>
        <w:t xml:space="preserve"> </w:t>
      </w:r>
      <w:r w:rsidR="23F21C84" w:rsidRPr="61F632BB">
        <w:rPr>
          <w:lang w:val="en-US"/>
        </w:rPr>
        <w:t>i.e.,</w:t>
      </w:r>
      <w:r w:rsidR="00F93043" w:rsidRPr="61F632BB">
        <w:rPr>
          <w:lang w:val="en-US"/>
        </w:rPr>
        <w:t xml:space="preserve"> synchronization </w:t>
      </w:r>
      <w:r w:rsidR="002827B8" w:rsidRPr="61F632BB">
        <w:rPr>
          <w:lang w:val="en-US"/>
        </w:rPr>
        <w:t>is not necessarily based on GNSS</w:t>
      </w:r>
      <w:r w:rsidR="00EB35C8" w:rsidRPr="61F632BB">
        <w:rPr>
          <w:lang w:val="en-US"/>
        </w:rPr>
        <w:t xml:space="preserve">. </w:t>
      </w:r>
      <w:r w:rsidR="00DE7473" w:rsidRPr="61F632BB">
        <w:rPr>
          <w:lang w:val="en-US"/>
        </w:rPr>
        <w:t xml:space="preserve">There is </w:t>
      </w:r>
      <w:r w:rsidR="007909A5" w:rsidRPr="61F632BB">
        <w:rPr>
          <w:lang w:val="en-US"/>
        </w:rPr>
        <w:t xml:space="preserve">therefore </w:t>
      </w:r>
      <w:proofErr w:type="gramStart"/>
      <w:r w:rsidR="007909A5" w:rsidRPr="61F632BB">
        <w:rPr>
          <w:lang w:val="en-US"/>
        </w:rPr>
        <w:t>need</w:t>
      </w:r>
      <w:proofErr w:type="gramEnd"/>
      <w:r w:rsidR="007909A5" w:rsidRPr="61F632BB">
        <w:rPr>
          <w:lang w:val="en-US"/>
        </w:rPr>
        <w:t xml:space="preserve"> to define how the </w:t>
      </w:r>
      <w:r w:rsidR="00952CD5" w:rsidRPr="61F632BB">
        <w:rPr>
          <w:lang w:val="en-US"/>
        </w:rPr>
        <w:t xml:space="preserve">IAB node shall derive the (estimate of) the propagation delay over </w:t>
      </w:r>
      <w:r w:rsidR="00227ACC" w:rsidRPr="61F632BB">
        <w:rPr>
          <w:lang w:val="en-US"/>
        </w:rPr>
        <w:t xml:space="preserve">the parent BH link. </w:t>
      </w:r>
      <w:r w:rsidR="0043619C" w:rsidRPr="61F632BB">
        <w:rPr>
          <w:lang w:val="en-US"/>
        </w:rPr>
        <w:t xml:space="preserve">The FFS in the above agreement relates to the </w:t>
      </w:r>
      <w:r w:rsidR="005B32F1" w:rsidRPr="61F632BB">
        <w:rPr>
          <w:lang w:val="en-US"/>
        </w:rPr>
        <w:t xml:space="preserve">two synchronization alternatives in the </w:t>
      </w:r>
      <w:r w:rsidR="002B21BA" w:rsidRPr="61F632BB">
        <w:rPr>
          <w:lang w:val="en-US"/>
        </w:rPr>
        <w:t xml:space="preserve">following </w:t>
      </w:r>
      <w:r w:rsidR="005B32F1" w:rsidRPr="61F632BB">
        <w:rPr>
          <w:lang w:val="en-US"/>
        </w:rPr>
        <w:t>agreement of SI phase:</w:t>
      </w:r>
    </w:p>
    <w:p w14:paraId="6654C0A4" w14:textId="77777777" w:rsidR="005B32F1" w:rsidRDefault="005B32F1" w:rsidP="005B32F1">
      <w:pPr>
        <w:overflowPunct/>
        <w:autoSpaceDE/>
        <w:autoSpaceDN/>
        <w:adjustRightInd/>
        <w:spacing w:after="0"/>
        <w:ind w:left="720" w:hanging="720"/>
        <w:textAlignment w:val="auto"/>
        <w:rPr>
          <w:lang w:val="en-US"/>
        </w:rPr>
      </w:pPr>
    </w:p>
    <w:p w14:paraId="5C6F2E77" w14:textId="77777777" w:rsidR="005B32F1" w:rsidRPr="00B17D83" w:rsidRDefault="005B32F1" w:rsidP="61F632BB">
      <w:pPr>
        <w:overflowPunct/>
        <w:autoSpaceDE/>
        <w:autoSpaceDN/>
        <w:adjustRightInd/>
        <w:spacing w:after="0"/>
        <w:ind w:left="284"/>
        <w:textAlignment w:val="auto"/>
        <w:rPr>
          <w:rFonts w:eastAsia="Batang"/>
          <w:b/>
          <w:bCs/>
          <w:lang w:val="en-US"/>
        </w:rPr>
      </w:pPr>
      <w:r w:rsidRPr="61F632BB">
        <w:rPr>
          <w:rFonts w:eastAsia="Batang"/>
          <w:b/>
          <w:bCs/>
          <w:highlight w:val="green"/>
          <w:lang w:val="en-US"/>
        </w:rPr>
        <w:t>Agreements</w:t>
      </w:r>
      <w:r w:rsidRPr="61F632BB">
        <w:rPr>
          <w:rFonts w:eastAsia="Batang"/>
          <w:b/>
          <w:bCs/>
          <w:lang w:val="en-US"/>
        </w:rPr>
        <w:t>:</w:t>
      </w:r>
    </w:p>
    <w:p w14:paraId="305671BC" w14:textId="77777777" w:rsidR="005B32F1" w:rsidRPr="005930AC" w:rsidRDefault="005B32F1" w:rsidP="61F632BB">
      <w:pPr>
        <w:overflowPunct/>
        <w:autoSpaceDE/>
        <w:autoSpaceDN/>
        <w:adjustRightInd/>
        <w:spacing w:after="0"/>
        <w:ind w:left="284"/>
        <w:textAlignment w:val="auto"/>
        <w:rPr>
          <w:rFonts w:eastAsia="Malgun Gothic"/>
          <w:i/>
          <w:iCs/>
          <w:lang w:val="en-US" w:eastAsia="ko-KR"/>
        </w:rPr>
      </w:pPr>
      <w:r w:rsidRPr="61F632BB">
        <w:rPr>
          <w:rFonts w:eastAsia="Malgun Gothic"/>
          <w:i/>
          <w:iCs/>
          <w:lang w:val="en-US" w:eastAsia="ko-KR"/>
        </w:rPr>
        <w:t>Case#6, if supported:</w:t>
      </w:r>
      <w:r>
        <w:br/>
      </w:r>
      <w:r w:rsidRPr="61F632BB">
        <w:rPr>
          <w:rFonts w:eastAsia="Malgun Gothic"/>
          <w:i/>
          <w:iCs/>
          <w:lang w:val="en-US" w:eastAsia="ko-KR"/>
        </w:rPr>
        <w:t>To enable alignment of DL transmissions among IAB nodes:</w:t>
      </w:r>
    </w:p>
    <w:p w14:paraId="7F55FF5A" w14:textId="0BDCB962" w:rsidR="005B32F1" w:rsidRPr="005930AC" w:rsidRDefault="005B32F1" w:rsidP="61F632BB">
      <w:pPr>
        <w:numPr>
          <w:ilvl w:val="0"/>
          <w:numId w:val="80"/>
        </w:numPr>
        <w:overflowPunct/>
        <w:autoSpaceDE/>
        <w:autoSpaceDN/>
        <w:adjustRightInd/>
        <w:spacing w:before="60" w:after="0"/>
        <w:jc w:val="both"/>
        <w:textAlignment w:val="auto"/>
        <w:rPr>
          <w:rFonts w:eastAsia="Malgun Gothic"/>
          <w:i/>
          <w:iCs/>
          <w:lang w:val="en-US" w:eastAsia="ko-KR"/>
        </w:rPr>
      </w:pPr>
      <w:r w:rsidRPr="61F632BB">
        <w:rPr>
          <w:rFonts w:eastAsia="Malgun Gothic"/>
          <w:i/>
          <w:iCs/>
          <w:lang w:val="en-US" w:eastAsia="ko-KR"/>
        </w:rPr>
        <w:t xml:space="preserve">Alt. 1: The IAB node may need to carry out parallel (always time multiplexed) case #1 and case #6 uplink </w:t>
      </w:r>
      <w:r w:rsidR="5D7ADDF6" w:rsidRPr="61F632BB">
        <w:rPr>
          <w:rFonts w:eastAsia="Malgun Gothic"/>
          <w:i/>
          <w:iCs/>
          <w:lang w:val="en-US" w:eastAsia="ko-KR"/>
        </w:rPr>
        <w:t>transmissions.</w:t>
      </w:r>
    </w:p>
    <w:p w14:paraId="21321988" w14:textId="2C712CE5" w:rsidR="005B32F1" w:rsidRPr="005930AC" w:rsidRDefault="005B32F1" w:rsidP="61F632BB">
      <w:pPr>
        <w:numPr>
          <w:ilvl w:val="0"/>
          <w:numId w:val="81"/>
        </w:numPr>
        <w:overflowPunct/>
        <w:autoSpaceDE/>
        <w:autoSpaceDN/>
        <w:adjustRightInd/>
        <w:spacing w:before="60" w:after="0"/>
        <w:jc w:val="both"/>
        <w:textAlignment w:val="auto"/>
        <w:rPr>
          <w:rFonts w:eastAsia="Malgun Gothic"/>
          <w:i/>
          <w:iCs/>
          <w:lang w:val="en-US" w:eastAsia="ko-KR"/>
        </w:rPr>
      </w:pPr>
      <w:r w:rsidRPr="61F632BB">
        <w:rPr>
          <w:rFonts w:eastAsia="Malgun Gothic"/>
          <w:i/>
          <w:iCs/>
          <w:lang w:val="en-US" w:eastAsia="ko-KR"/>
        </w:rPr>
        <w:t xml:space="preserve">Alt 2: Signaling between the parent and IAB node of the time difference of the DL Tx and UL Rx timing at the parent node </w:t>
      </w:r>
      <w:proofErr w:type="gramStart"/>
      <w:r w:rsidRPr="61F632BB">
        <w:rPr>
          <w:rFonts w:eastAsia="Malgun Gothic"/>
          <w:i/>
          <w:iCs/>
          <w:lang w:val="en-US" w:eastAsia="ko-KR"/>
        </w:rPr>
        <w:t>in order to</w:t>
      </w:r>
      <w:proofErr w:type="gramEnd"/>
      <w:r w:rsidRPr="61F632BB">
        <w:rPr>
          <w:rFonts w:eastAsia="Malgun Gothic"/>
          <w:i/>
          <w:iCs/>
          <w:lang w:val="en-US" w:eastAsia="ko-KR"/>
        </w:rPr>
        <w:t xml:space="preserve"> correct potential misalignment of the DL Tx timing at the child node:</w:t>
      </w:r>
    </w:p>
    <w:p w14:paraId="1A0A375F" w14:textId="77777777" w:rsidR="005B32F1" w:rsidRPr="005930AC" w:rsidRDefault="005B32F1" w:rsidP="61F632BB">
      <w:pPr>
        <w:numPr>
          <w:ilvl w:val="1"/>
          <w:numId w:val="80"/>
        </w:numPr>
        <w:overflowPunct/>
        <w:autoSpaceDE/>
        <w:autoSpaceDN/>
        <w:adjustRightInd/>
        <w:spacing w:before="60" w:after="0"/>
        <w:jc w:val="both"/>
        <w:textAlignment w:val="auto"/>
        <w:rPr>
          <w:rFonts w:eastAsia="Malgun Gothic"/>
          <w:i/>
          <w:iCs/>
          <w:lang w:val="en-US" w:eastAsia="ko-KR"/>
        </w:rPr>
      </w:pPr>
      <w:r w:rsidRPr="61F632BB">
        <w:rPr>
          <w:rFonts w:eastAsia="Malgun Gothic"/>
          <w:i/>
          <w:iCs/>
          <w:lang w:val="en-US" w:eastAsia="ko-KR"/>
        </w:rPr>
        <w:t xml:space="preserve">The child IAB node compares the corresponding difference of its own DL Tx timing and BH Rx timing; if the signaled difference of the parent node is larger than measured at the child node, the child node advances its TX timing, if smaller the TX timing is delayed. </w:t>
      </w:r>
    </w:p>
    <w:p w14:paraId="14FAFD7F" w14:textId="77777777" w:rsidR="005B32F1" w:rsidRPr="005930AC" w:rsidRDefault="005B32F1" w:rsidP="61F632BB">
      <w:pPr>
        <w:numPr>
          <w:ilvl w:val="0"/>
          <w:numId w:val="80"/>
        </w:numPr>
        <w:overflowPunct/>
        <w:autoSpaceDE/>
        <w:autoSpaceDN/>
        <w:adjustRightInd/>
        <w:spacing w:before="60" w:after="0"/>
        <w:jc w:val="both"/>
        <w:textAlignment w:val="auto"/>
        <w:rPr>
          <w:rFonts w:eastAsia="Malgun Gothic"/>
          <w:i/>
          <w:iCs/>
          <w:lang w:val="en-US" w:eastAsia="ko-KR"/>
        </w:rPr>
      </w:pPr>
      <w:r w:rsidRPr="61F632BB">
        <w:rPr>
          <w:rFonts w:eastAsia="Malgun Gothic"/>
          <w:i/>
          <w:iCs/>
          <w:lang w:val="en-US" w:eastAsia="ko-KR"/>
        </w:rPr>
        <w:t>Note: Alt 1 &amp; Alt 2 may require maintenance of separate Rx timings at the parent node for Case 6 UL transmissions from different child nodes</w:t>
      </w:r>
    </w:p>
    <w:p w14:paraId="0CD1D2A2" w14:textId="77777777" w:rsidR="00B0751D" w:rsidRDefault="00B0751D" w:rsidP="00437888">
      <w:pPr>
        <w:spacing w:after="0"/>
        <w:jc w:val="both"/>
        <w:rPr>
          <w:lang w:val="en-US"/>
        </w:rPr>
      </w:pPr>
    </w:p>
    <w:p w14:paraId="37D47BE3" w14:textId="6C2719D0" w:rsidR="0003723A" w:rsidRPr="000E5FBF" w:rsidDel="00C51B30" w:rsidRDefault="005D1699" w:rsidP="000E5FBF">
      <w:pPr>
        <w:spacing w:after="0"/>
        <w:jc w:val="both"/>
        <w:rPr>
          <w:rFonts w:eastAsia="Times New Roman"/>
          <w:b/>
          <w:bCs/>
          <w:lang w:val="en-US"/>
        </w:rPr>
      </w:pPr>
      <w:r w:rsidRPr="61F632BB">
        <w:rPr>
          <w:lang w:val="en-US"/>
        </w:rPr>
        <w:t xml:space="preserve">Alt. 1 could work in case there is </w:t>
      </w:r>
      <w:r w:rsidR="7E689210" w:rsidRPr="61F632BB">
        <w:rPr>
          <w:lang w:val="en-US"/>
        </w:rPr>
        <w:t>enough</w:t>
      </w:r>
      <w:r w:rsidRPr="61F632BB">
        <w:rPr>
          <w:lang w:val="en-US"/>
        </w:rPr>
        <w:t xml:space="preserve"> samples for TA control using Case#1 timing. However, depending on the IAB operational mode, this may not always be the case. Alt.2 would complement the timing control providing a sound solution for all scenarios. Specification efforts for the Alt.2 signaling would be minimal as the required signaling could just replace the </w:t>
      </w:r>
      <w:proofErr w:type="spellStart"/>
      <w:r w:rsidRPr="61F632BB">
        <w:rPr>
          <w:lang w:val="en-US"/>
        </w:rPr>
        <w:t>T_delta</w:t>
      </w:r>
      <w:proofErr w:type="spellEnd"/>
      <w:r w:rsidRPr="61F632BB">
        <w:rPr>
          <w:lang w:val="en-US"/>
        </w:rPr>
        <w:t xml:space="preserve"> signaling used in Case</w:t>
      </w:r>
      <w:r w:rsidR="00A416BF" w:rsidRPr="61F632BB">
        <w:rPr>
          <w:lang w:val="en-US"/>
        </w:rPr>
        <w:t xml:space="preserve"> </w:t>
      </w:r>
      <w:r w:rsidRPr="61F632BB">
        <w:rPr>
          <w:lang w:val="en-US"/>
        </w:rPr>
        <w:t>#1 and #7 timing</w:t>
      </w:r>
      <w:r w:rsidR="00BF1281" w:rsidRPr="61F632BB">
        <w:rPr>
          <w:lang w:val="en-US"/>
        </w:rPr>
        <w:t xml:space="preserve"> (and not needed for Case</w:t>
      </w:r>
      <w:r w:rsidR="00A519D0" w:rsidRPr="61F632BB">
        <w:rPr>
          <w:lang w:val="en-US"/>
        </w:rPr>
        <w:t xml:space="preserve"> </w:t>
      </w:r>
      <w:r w:rsidR="00BF1281" w:rsidRPr="61F632BB">
        <w:rPr>
          <w:lang w:val="en-US"/>
        </w:rPr>
        <w:t xml:space="preserve">#6). </w:t>
      </w:r>
      <w:r w:rsidRPr="61F632BB">
        <w:rPr>
          <w:lang w:val="en-US"/>
        </w:rPr>
        <w:t>It was mentioned during RAN1 #103-e discussions that even if MT would most of the time operate with Case#6 timing, Case</w:t>
      </w:r>
      <w:r w:rsidR="00A519D0" w:rsidRPr="61F632BB">
        <w:rPr>
          <w:lang w:val="en-US"/>
        </w:rPr>
        <w:t xml:space="preserve"> </w:t>
      </w:r>
      <w:r w:rsidRPr="61F632BB">
        <w:rPr>
          <w:lang w:val="en-US"/>
        </w:rPr>
        <w:t>#1 timing should anyway be available all the time and for this reason Alt. 1 would be preferred. However, it should be noted that if the propagation delay is obtained by Alt. 2, proper TA for Case</w:t>
      </w:r>
      <w:r w:rsidR="00A519D0" w:rsidRPr="61F632BB">
        <w:rPr>
          <w:lang w:val="en-US"/>
        </w:rPr>
        <w:t xml:space="preserve"> </w:t>
      </w:r>
      <w:r w:rsidRPr="61F632BB">
        <w:rPr>
          <w:lang w:val="en-US"/>
        </w:rPr>
        <w:t xml:space="preserve">#1 timing can be calculated from the propagation delay and </w:t>
      </w:r>
      <w:proofErr w:type="spellStart"/>
      <w:r w:rsidRPr="61F632BB">
        <w:rPr>
          <w:i/>
          <w:iCs/>
          <w:lang w:val="en-US"/>
        </w:rPr>
        <w:t>T_delta</w:t>
      </w:r>
      <w:proofErr w:type="spellEnd"/>
      <w:r w:rsidRPr="61F632BB">
        <w:rPr>
          <w:lang w:val="en-US"/>
        </w:rPr>
        <w:t xml:space="preserve">. </w:t>
      </w:r>
      <w:r w:rsidR="404B2CB1" w:rsidRPr="61F632BB">
        <w:rPr>
          <w:lang w:val="en-US"/>
        </w:rPr>
        <w:t>Thus,</w:t>
      </w:r>
      <w:r w:rsidRPr="61F632BB">
        <w:rPr>
          <w:lang w:val="en-US"/>
        </w:rPr>
        <w:t xml:space="preserve"> maintaining Case</w:t>
      </w:r>
      <w:r w:rsidR="00484F1E" w:rsidRPr="61F632BB">
        <w:rPr>
          <w:lang w:val="en-US"/>
        </w:rPr>
        <w:t xml:space="preserve"> </w:t>
      </w:r>
      <w:r w:rsidRPr="61F632BB">
        <w:rPr>
          <w:lang w:val="en-US"/>
        </w:rPr>
        <w:t>#1 TA does not require maintaining the Case</w:t>
      </w:r>
      <w:r w:rsidR="00A519D0" w:rsidRPr="61F632BB">
        <w:rPr>
          <w:lang w:val="en-US"/>
        </w:rPr>
        <w:t xml:space="preserve"> </w:t>
      </w:r>
      <w:r w:rsidRPr="61F632BB">
        <w:rPr>
          <w:lang w:val="en-US"/>
        </w:rPr>
        <w:t>#1 TA control loop.</w:t>
      </w:r>
    </w:p>
    <w:p w14:paraId="7D8E6A04" w14:textId="3E29E600" w:rsidR="00313982" w:rsidRPr="00313982" w:rsidRDefault="00313982"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It was also discussed that Case #6 might have significant specification impact and RAN1 should minimize this impact (“</w:t>
      </w:r>
      <w:r w:rsidRPr="61F632BB">
        <w:rPr>
          <w:rFonts w:eastAsia="Times New Roman"/>
          <w:i/>
          <w:iCs/>
          <w:lang w:val="en-US"/>
        </w:rPr>
        <w:t>RAN1 should strive to minimize specification impact due to this feature</w:t>
      </w:r>
      <w:r w:rsidRPr="61F632BB">
        <w:rPr>
          <w:rFonts w:eastAsia="Times New Roman"/>
          <w:lang w:val="en-US"/>
        </w:rPr>
        <w:t xml:space="preserve">”). To our understanding, there may be a minimal specification impact to introduce Case #6 timing mode. Timing delta MAC CE can be easily used to carry this Case #6 timing information and the only difference would be the range of the time difference of the DL Tx and UL Rx timing at the parent node and the required granularity. We think that there </w:t>
      </w:r>
      <w:r w:rsidR="6012389C" w:rsidRPr="61F632BB">
        <w:rPr>
          <w:rFonts w:eastAsia="Times New Roman"/>
          <w:lang w:val="en-US"/>
        </w:rPr>
        <w:t>are</w:t>
      </w:r>
      <w:r w:rsidRPr="61F632BB">
        <w:rPr>
          <w:rFonts w:ascii="Malgun Gothic" w:eastAsia="Malgun Gothic" w:hAnsi="Malgun Gothic"/>
          <w:lang w:val="en-US"/>
        </w:rPr>
        <w:t xml:space="preserve"> </w:t>
      </w:r>
      <w:r w:rsidR="3760C84F" w:rsidRPr="61F632BB">
        <w:rPr>
          <w:rFonts w:eastAsia="Times New Roman"/>
          <w:lang w:val="en-US"/>
        </w:rPr>
        <w:t>enough</w:t>
      </w:r>
      <w:r w:rsidRPr="61F632BB">
        <w:rPr>
          <w:rFonts w:eastAsia="Times New Roman"/>
          <w:lang w:val="en-US"/>
        </w:rPr>
        <w:t xml:space="preserve"> reserved bits in the timing delta</w:t>
      </w:r>
      <w:r w:rsidR="00137534" w:rsidRPr="61F632BB">
        <w:rPr>
          <w:rFonts w:eastAsia="Times New Roman"/>
          <w:lang w:val="en-US"/>
        </w:rPr>
        <w:t xml:space="preserve"> </w:t>
      </w:r>
      <w:r w:rsidRPr="61F632BB">
        <w:rPr>
          <w:rFonts w:eastAsia="Times New Roman"/>
          <w:lang w:val="en-US"/>
        </w:rPr>
        <w:t>MAC CE defined in 38.321 such that different timing information required for Case #6 can be indicated</w:t>
      </w:r>
      <w:r w:rsidRPr="61F632BB">
        <w:rPr>
          <w:rFonts w:ascii="Malgun Gothic" w:eastAsia="Malgun Gothic" w:hAnsi="Malgun Gothic"/>
          <w:lang w:val="en-US"/>
        </w:rPr>
        <w:t>.  </w:t>
      </w:r>
    </w:p>
    <w:p w14:paraId="5B861CC7" w14:textId="0A9C0EBC" w:rsidR="00313982" w:rsidRPr="00313982" w:rsidRDefault="00313982"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Also, in 38.213, the Case #1 timing is explained by the following text</w:t>
      </w:r>
      <w:r w:rsidR="009D3B2A" w:rsidRPr="61F632BB">
        <w:rPr>
          <w:rFonts w:eastAsia="Times New Roman"/>
          <w:lang w:val="en-US"/>
        </w:rPr>
        <w:t>:</w:t>
      </w:r>
      <w:r w:rsidRPr="61F632BB">
        <w:rPr>
          <w:rFonts w:eastAsia="Times New Roman"/>
          <w:lang w:val="en-US"/>
        </w:rPr>
        <w:t> </w:t>
      </w:r>
    </w:p>
    <w:tbl>
      <w:tblPr>
        <w:tblStyle w:val="TableGrid"/>
        <w:tblW w:w="0" w:type="auto"/>
        <w:tblLook w:val="04A0" w:firstRow="1" w:lastRow="0" w:firstColumn="1" w:lastColumn="0" w:noHBand="0" w:noVBand="1"/>
      </w:tblPr>
      <w:tblGrid>
        <w:gridCol w:w="9629"/>
      </w:tblGrid>
      <w:tr w:rsidR="00C51B30" w14:paraId="4942DBEC" w14:textId="77777777" w:rsidTr="61F632BB">
        <w:tc>
          <w:tcPr>
            <w:tcW w:w="9629" w:type="dxa"/>
            <w:tcBorders>
              <w:top w:val="single" w:sz="4" w:space="0" w:color="auto"/>
              <w:left w:val="single" w:sz="4" w:space="0" w:color="auto"/>
              <w:bottom w:val="single" w:sz="4" w:space="0" w:color="auto"/>
              <w:right w:val="single" w:sz="4" w:space="0" w:color="auto"/>
            </w:tcBorders>
            <w:hideMark/>
          </w:tcPr>
          <w:p w14:paraId="7F3D6617" w14:textId="2F4ED81C" w:rsidR="00C51B30" w:rsidRDefault="00C51B30" w:rsidP="61F632BB">
            <w:pPr>
              <w:overflowPunct/>
              <w:autoSpaceDE/>
              <w:adjustRightInd/>
              <w:spacing w:before="180"/>
              <w:jc w:val="both"/>
              <w:rPr>
                <w:lang w:val="en-US"/>
              </w:rPr>
            </w:pPr>
            <w:r w:rsidRPr="61F632BB">
              <w:rPr>
                <w:lang w:val="en-US" w:eastAsia="zh-CN"/>
              </w:rPr>
              <w:t>If an IAB-node</w:t>
            </w:r>
            <w:r w:rsidRPr="61F632BB">
              <w:rPr>
                <w:rFonts w:eastAsia="DengXian"/>
                <w:lang w:val="en-US" w:eastAsia="zh-CN"/>
              </w:rPr>
              <w:t xml:space="preserve"> is provided an index</w:t>
            </w:r>
            <w:r w:rsidRPr="61F632BB">
              <w:rPr>
                <w:lang w:val="en-US"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61F632BB">
              <w:rPr>
                <w:lang w:val="en-US"/>
              </w:rPr>
              <w:t xml:space="preserve"> in a Timing Delta MAC CE [11, TS 38.321] from a serving cell, the IAB-node</w:t>
            </w:r>
            <w:r w:rsidRPr="61F632BB">
              <w:rPr>
                <w:lang w:val="en-US" w:eastAsia="zh-CN"/>
              </w:rPr>
              <w:t xml:space="preserve"> 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61F632BB">
              <w:rPr>
                <w:lang w:val="en-US"/>
              </w:rPr>
              <w:t xml:space="preserve"> </w:t>
            </w:r>
            <w:r w:rsidRPr="61F632BB">
              <w:rPr>
                <w:lang w:val="en-US" w:eastAsia="zh-CN"/>
              </w:rPr>
              <w:t>is a time difference between a DU transmission of a signal from the serving cell and a reception of the signal by the IAB-MT</w:t>
            </w:r>
            <w:r w:rsidRPr="61F632BB">
              <w:rPr>
                <w:lang w:val="en-US"/>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61F632BB">
              <w:rPr>
                <w:lang w:val="en-US"/>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61F632BB">
              <w:rPr>
                <w:lang w:val="en-US"/>
              </w:rPr>
              <w:t xml:space="preserve"> is obtained as for a "UE" in Clause 4.2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61F632BB">
              <w:rPr>
                <w:lang w:val="en-US"/>
              </w:rPr>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61F632BB">
              <w:rPr>
                <w:lang w:val="en-US"/>
              </w:rPr>
              <w:t xml:space="preserve"> are determined as</w:t>
            </w:r>
          </w:p>
          <w:p w14:paraId="71826EF2" w14:textId="77777777" w:rsidR="00C51B30" w:rsidRDefault="00C51B30" w:rsidP="61F632BB">
            <w:pPr>
              <w:overflowPunct/>
              <w:autoSpaceDE/>
              <w:adjustRightInd/>
              <w:ind w:left="568" w:hanging="284"/>
              <w:rPr>
                <w:lang w:val="en-US"/>
              </w:rPr>
            </w:pPr>
            <w:r w:rsidRPr="61F632BB">
              <w:rPr>
                <w:lang w:val="en-US"/>
              </w:rPr>
              <w:t>-</w:t>
            </w:r>
            <w: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61F632BB">
              <w:rPr>
                <w:lang w:val="en-US"/>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=64</m:t>
              </m:r>
            </m:oMath>
            <w:r>
              <w:rPr>
                <w:lang w:val="en-US"/>
              </w:rPr>
              <w:t>, if</w:t>
            </w:r>
            <w:r w:rsidRPr="61F632BB">
              <w:rPr>
                <w:lang w:val="en-US"/>
              </w:rPr>
              <w:t xml:space="preserve"> the serving cell providing the Timing Delta MAC CE operates in FR1, </w:t>
            </w:r>
          </w:p>
          <w:p w14:paraId="33E73E04" w14:textId="7DB69063" w:rsidR="00C51B30" w:rsidRDefault="00C51B30">
            <w:pPr>
              <w:overflowPunct/>
              <w:autoSpaceDE/>
              <w:adjustRightInd/>
              <w:ind w:left="568" w:hanging="284"/>
              <w:rPr>
                <w:lang w:val="en-US"/>
              </w:rPr>
            </w:pPr>
            <w:r w:rsidRPr="61F632BB">
              <w:rPr>
                <w:lang w:val="en-US"/>
              </w:rPr>
              <w:t>-</w:t>
            </w:r>
            <w: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61F632BB">
              <w:rPr>
                <w:lang w:val="en-US"/>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=32</m:t>
              </m:r>
            </m:oMath>
            <w:r>
              <w:rPr>
                <w:lang w:val="en-US"/>
              </w:rPr>
              <w:t>, if</w:t>
            </w:r>
            <w:r w:rsidRPr="61F632BB">
              <w:rPr>
                <w:lang w:val="en-US"/>
              </w:rPr>
              <w:t xml:space="preserve"> the serving cell providing the Timing Delta MAC CE operates in FR</w:t>
            </w:r>
            <w:r>
              <w:rPr>
                <w:lang w:val="en-US"/>
              </w:rPr>
              <w:t>2</w:t>
            </w:r>
          </w:p>
        </w:tc>
      </w:tr>
    </w:tbl>
    <w:p w14:paraId="568DEC57" w14:textId="7C415053" w:rsidR="00313982" w:rsidRPr="00313982" w:rsidRDefault="00313982" w:rsidP="001F42D4">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A simple extension to the above description can be easily done for the Case #6 timing mode (especially considering Alt.2) where most of the background discussion of case #1 timing discussion can be reused</w:t>
      </w:r>
      <w:r w:rsidRPr="61F632BB">
        <w:rPr>
          <w:rFonts w:ascii="Malgun Gothic" w:eastAsia="Malgun Gothic" w:hAnsi="Malgun Gothic"/>
          <w:lang w:val="en-US"/>
        </w:rPr>
        <w:t>.  </w:t>
      </w:r>
      <w:r w:rsidRPr="61F632BB">
        <w:rPr>
          <w:rFonts w:eastAsia="Times New Roman"/>
          <w:lang w:val="en-US"/>
        </w:rPr>
        <w:t> </w:t>
      </w:r>
    </w:p>
    <w:p w14:paraId="36620067" w14:textId="1505D67D" w:rsidR="00313982" w:rsidRDefault="00313982" w:rsidP="61F632BB">
      <w:pPr>
        <w:spacing w:beforeAutospacing="1" w:after="0" w:afterAutospacing="1"/>
        <w:jc w:val="both"/>
        <w:rPr>
          <w:lang w:val="en-US"/>
        </w:rPr>
      </w:pPr>
    </w:p>
    <w:p w14:paraId="7A27C4BD" w14:textId="2366F72F" w:rsidR="00D469AA" w:rsidRPr="00DF5057" w:rsidRDefault="00D469AA" w:rsidP="00D469AA">
      <w:pPr>
        <w:spacing w:after="0"/>
        <w:jc w:val="both"/>
        <w:rPr>
          <w:b/>
          <w:bCs/>
          <w:i/>
          <w:iCs/>
          <w:lang w:val="en-US"/>
        </w:rPr>
      </w:pPr>
      <w:r w:rsidRPr="00DF5057">
        <w:rPr>
          <w:b/>
          <w:bCs/>
          <w:i/>
          <w:iCs/>
          <w:lang w:val="en-US"/>
        </w:rPr>
        <w:lastRenderedPageBreak/>
        <w:t xml:space="preserve">Observation 2.2: </w:t>
      </w:r>
    </w:p>
    <w:p w14:paraId="62B3727B" w14:textId="2E5279EF" w:rsidR="00D469AA" w:rsidRPr="00DF5057" w:rsidRDefault="00D469AA" w:rsidP="00D469AA">
      <w:pPr>
        <w:pStyle w:val="ListParagraph"/>
        <w:numPr>
          <w:ilvl w:val="0"/>
          <w:numId w:val="82"/>
        </w:numPr>
        <w:jc w:val="both"/>
        <w:rPr>
          <w:b/>
          <w:bCs/>
          <w:i/>
          <w:iCs/>
          <w:sz w:val="20"/>
          <w:szCs w:val="20"/>
          <w:lang w:val="en-US"/>
        </w:rPr>
      </w:pPr>
      <w:r w:rsidRPr="00DF5057">
        <w:rPr>
          <w:b/>
          <w:bCs/>
          <w:i/>
          <w:iCs/>
          <w:sz w:val="20"/>
          <w:szCs w:val="20"/>
          <w:lang w:val="en-US"/>
        </w:rPr>
        <w:t>Relying on Rel-16 OTA synchronization to maintain Case #6 timing assumes that there are frequent enough TA samples (MT transmissions with Case #1 timing). Depending on the operation mode, UL transmissions with Case</w:t>
      </w:r>
      <w:r w:rsidR="00F83140" w:rsidRPr="00DF5057">
        <w:rPr>
          <w:b/>
          <w:bCs/>
          <w:i/>
          <w:iCs/>
          <w:sz w:val="20"/>
          <w:szCs w:val="20"/>
          <w:lang w:val="en-US"/>
        </w:rPr>
        <w:t xml:space="preserve"> </w:t>
      </w:r>
      <w:r w:rsidRPr="00DF5057">
        <w:rPr>
          <w:b/>
          <w:bCs/>
          <w:i/>
          <w:iCs/>
          <w:sz w:val="20"/>
          <w:szCs w:val="20"/>
          <w:lang w:val="en-US"/>
        </w:rPr>
        <w:t xml:space="preserve">#1 timing might be needed just for TA determination. </w:t>
      </w:r>
    </w:p>
    <w:p w14:paraId="319A6D07" w14:textId="55EF42E2" w:rsidR="00D469AA" w:rsidRPr="00DF5057" w:rsidRDefault="00D469AA" w:rsidP="00D469AA">
      <w:pPr>
        <w:pStyle w:val="ListParagraph"/>
        <w:numPr>
          <w:ilvl w:val="0"/>
          <w:numId w:val="82"/>
        </w:numPr>
        <w:jc w:val="both"/>
        <w:rPr>
          <w:b/>
          <w:bCs/>
          <w:i/>
          <w:iCs/>
          <w:lang w:val="en-US"/>
        </w:rPr>
      </w:pPr>
      <w:r w:rsidRPr="00DF5057">
        <w:rPr>
          <w:b/>
          <w:bCs/>
          <w:i/>
          <w:iCs/>
          <w:sz w:val="20"/>
          <w:szCs w:val="20"/>
          <w:lang w:val="en-US"/>
        </w:rPr>
        <w:t>Case#1 timing can be derived from the propagation delay</w:t>
      </w:r>
      <w:r w:rsidR="00663D31" w:rsidRPr="00DF5057">
        <w:rPr>
          <w:b/>
          <w:bCs/>
          <w:i/>
          <w:iCs/>
          <w:sz w:val="20"/>
          <w:szCs w:val="20"/>
          <w:lang w:val="en-US"/>
        </w:rPr>
        <w:t xml:space="preserve"> without </w:t>
      </w:r>
      <w:r w:rsidR="009F49B6" w:rsidRPr="00DF5057">
        <w:rPr>
          <w:b/>
          <w:bCs/>
          <w:i/>
          <w:iCs/>
          <w:sz w:val="20"/>
          <w:szCs w:val="20"/>
          <w:lang w:val="en-US"/>
        </w:rPr>
        <w:t>TA control loop</w:t>
      </w:r>
      <w:r w:rsidR="00F02F46" w:rsidRPr="00DF5057">
        <w:rPr>
          <w:b/>
          <w:bCs/>
          <w:i/>
          <w:iCs/>
          <w:sz w:val="20"/>
          <w:szCs w:val="20"/>
          <w:lang w:val="en-US"/>
        </w:rPr>
        <w:t>.</w:t>
      </w:r>
      <w:r w:rsidRPr="00DF5057">
        <w:rPr>
          <w:b/>
          <w:bCs/>
          <w:i/>
          <w:iCs/>
          <w:sz w:val="20"/>
          <w:szCs w:val="20"/>
          <w:lang w:val="en-US"/>
        </w:rPr>
        <w:t xml:space="preserve"> </w:t>
      </w:r>
    </w:p>
    <w:p w14:paraId="246FF701" w14:textId="53D90AEF" w:rsidR="00D469AA" w:rsidRPr="00D469AA" w:rsidRDefault="00D469AA" w:rsidP="00D469AA">
      <w:pPr>
        <w:pStyle w:val="ListParagraph"/>
        <w:numPr>
          <w:ilvl w:val="0"/>
          <w:numId w:val="82"/>
        </w:numPr>
        <w:jc w:val="both"/>
        <w:rPr>
          <w:b/>
          <w:bCs/>
          <w:lang w:val="en-US"/>
        </w:rPr>
      </w:pPr>
      <w:r w:rsidRPr="00DF5057">
        <w:rPr>
          <w:b/>
          <w:bCs/>
          <w:i/>
          <w:iCs/>
          <w:sz w:val="20"/>
          <w:szCs w:val="20"/>
          <w:lang w:val="en-US"/>
        </w:rPr>
        <w:t>The spec</w:t>
      </w:r>
      <w:r w:rsidR="009F49B6" w:rsidRPr="00DF5057">
        <w:rPr>
          <w:b/>
          <w:bCs/>
          <w:i/>
          <w:iCs/>
          <w:sz w:val="20"/>
          <w:szCs w:val="20"/>
          <w:lang w:val="en-US"/>
        </w:rPr>
        <w:t>ification</w:t>
      </w:r>
      <w:r w:rsidRPr="00DF5057">
        <w:rPr>
          <w:b/>
          <w:bCs/>
          <w:i/>
          <w:iCs/>
          <w:sz w:val="20"/>
          <w:szCs w:val="20"/>
          <w:lang w:val="en-US"/>
        </w:rPr>
        <w:t xml:space="preserve"> impact when introducing new timing information to support Case #6 timing mode is minimal as most of the design and </w:t>
      </w:r>
      <w:r w:rsidR="66A120E6" w:rsidRPr="00DF5057">
        <w:rPr>
          <w:b/>
          <w:bCs/>
          <w:i/>
          <w:iCs/>
          <w:sz w:val="20"/>
          <w:szCs w:val="20"/>
          <w:lang w:val="en-US"/>
        </w:rPr>
        <w:t>signaling</w:t>
      </w:r>
      <w:r w:rsidRPr="00DF5057">
        <w:rPr>
          <w:b/>
          <w:bCs/>
          <w:i/>
          <w:iCs/>
          <w:sz w:val="20"/>
          <w:szCs w:val="20"/>
          <w:lang w:val="en-US"/>
        </w:rPr>
        <w:t xml:space="preserve"> of Case #1 can be reused. </w:t>
      </w:r>
      <w:r w:rsidR="57A0F5D7" w:rsidRPr="00DF5057">
        <w:rPr>
          <w:b/>
          <w:bCs/>
          <w:i/>
          <w:iCs/>
          <w:sz w:val="20"/>
          <w:szCs w:val="20"/>
          <w:lang w:val="en-US"/>
        </w:rPr>
        <w:t>E.g.,</w:t>
      </w:r>
      <w:r w:rsidRPr="00DF5057">
        <w:rPr>
          <w:b/>
          <w:bCs/>
          <w:i/>
          <w:iCs/>
          <w:sz w:val="20"/>
          <w:szCs w:val="20"/>
          <w:lang w:val="en-US"/>
        </w:rPr>
        <w:t xml:space="preserve"> the timing delta MAC CE may carry the time offset signaling of Alt. 2 for Case</w:t>
      </w:r>
      <w:r w:rsidR="00F83140" w:rsidRPr="00DF5057">
        <w:rPr>
          <w:b/>
          <w:bCs/>
          <w:i/>
          <w:iCs/>
          <w:sz w:val="20"/>
          <w:szCs w:val="20"/>
          <w:lang w:val="en-US"/>
        </w:rPr>
        <w:t xml:space="preserve"> </w:t>
      </w:r>
      <w:r w:rsidRPr="00DF5057">
        <w:rPr>
          <w:b/>
          <w:bCs/>
          <w:i/>
          <w:iCs/>
          <w:sz w:val="20"/>
          <w:szCs w:val="20"/>
          <w:lang w:val="en-US"/>
        </w:rPr>
        <w:t>#6 timing derivation.</w:t>
      </w:r>
    </w:p>
    <w:p w14:paraId="35758B85" w14:textId="396387FC" w:rsidR="00313982" w:rsidRPr="00313982" w:rsidRDefault="00313982"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Based on the above, we have the following proposal,  </w:t>
      </w:r>
    </w:p>
    <w:p w14:paraId="797630E6" w14:textId="6E75E116" w:rsidR="00313982" w:rsidRPr="007958DD" w:rsidRDefault="00313982" w:rsidP="61F632BB">
      <w:pPr>
        <w:overflowPunct/>
        <w:autoSpaceDE/>
        <w:autoSpaceDN/>
        <w:adjustRightInd/>
        <w:spacing w:before="100" w:beforeAutospacing="1" w:after="100" w:afterAutospacing="1"/>
        <w:jc w:val="both"/>
        <w:rPr>
          <w:rFonts w:eastAsia="Times New Roman"/>
          <w:i/>
          <w:iCs/>
          <w:sz w:val="24"/>
          <w:szCs w:val="24"/>
          <w:lang w:val="en-US"/>
        </w:rPr>
      </w:pPr>
      <w:r w:rsidRPr="007958DD">
        <w:rPr>
          <w:rFonts w:eastAsia="Times New Roman"/>
          <w:b/>
          <w:bCs/>
          <w:i/>
          <w:iCs/>
          <w:lang w:val="en-US"/>
        </w:rPr>
        <w:t xml:space="preserve">Proposal </w:t>
      </w:r>
      <w:r w:rsidR="00E94614" w:rsidRPr="007958DD">
        <w:rPr>
          <w:rFonts w:eastAsia="Times New Roman"/>
          <w:b/>
          <w:bCs/>
          <w:i/>
          <w:iCs/>
          <w:lang w:val="en-US"/>
        </w:rPr>
        <w:t>2.2</w:t>
      </w:r>
      <w:r w:rsidRPr="007958DD">
        <w:rPr>
          <w:rFonts w:eastAsia="Times New Roman"/>
          <w:b/>
          <w:bCs/>
          <w:i/>
          <w:iCs/>
          <w:lang w:val="en-US"/>
        </w:rPr>
        <w:t>: The following shall be supported for Case</w:t>
      </w:r>
      <w:r w:rsidR="00E94614" w:rsidRPr="007958DD">
        <w:rPr>
          <w:rFonts w:eastAsia="Times New Roman"/>
          <w:b/>
          <w:bCs/>
          <w:i/>
          <w:iCs/>
          <w:lang w:val="en-US"/>
        </w:rPr>
        <w:t xml:space="preserve"> </w:t>
      </w:r>
      <w:r w:rsidRPr="007958DD">
        <w:rPr>
          <w:rFonts w:eastAsia="Times New Roman"/>
          <w:b/>
          <w:bCs/>
          <w:i/>
          <w:iCs/>
          <w:lang w:val="en-US"/>
        </w:rPr>
        <w:t>#6 timing.</w:t>
      </w:r>
      <w:r w:rsidRPr="007958DD">
        <w:rPr>
          <w:rFonts w:eastAsia="Times New Roman"/>
          <w:i/>
          <w:iCs/>
          <w:lang w:val="en-US"/>
        </w:rPr>
        <w:t> </w:t>
      </w:r>
    </w:p>
    <w:p w14:paraId="463EE19D" w14:textId="3703F02A" w:rsidR="00313982" w:rsidRPr="007958DD" w:rsidRDefault="00313982" w:rsidP="61F632BB">
      <w:pPr>
        <w:numPr>
          <w:ilvl w:val="0"/>
          <w:numId w:val="75"/>
        </w:numPr>
        <w:overflowPunct/>
        <w:autoSpaceDE/>
        <w:autoSpaceDN/>
        <w:adjustRightInd/>
        <w:spacing w:before="100" w:beforeAutospacing="1" w:after="100" w:afterAutospacing="1"/>
        <w:ind w:left="567" w:hanging="246"/>
        <w:jc w:val="both"/>
        <w:rPr>
          <w:rFonts w:ascii="Malgun Gothic" w:eastAsia="Malgun Gothic" w:hAnsi="Malgun Gothic"/>
          <w:i/>
          <w:iCs/>
          <w:sz w:val="22"/>
          <w:szCs w:val="22"/>
          <w:lang w:val="en-US"/>
        </w:rPr>
      </w:pPr>
      <w:r w:rsidRPr="007958DD">
        <w:rPr>
          <w:rFonts w:eastAsia="Malgun Gothic"/>
          <w:b/>
          <w:bCs/>
          <w:i/>
          <w:iCs/>
          <w:lang w:val="en-US"/>
        </w:rPr>
        <w:t xml:space="preserve">Signaling the time difference of the DL Tx and UL Rx timing at the parent node </w:t>
      </w:r>
      <w:proofErr w:type="gramStart"/>
      <w:r w:rsidRPr="007958DD">
        <w:rPr>
          <w:rFonts w:eastAsia="Malgun Gothic"/>
          <w:b/>
          <w:bCs/>
          <w:i/>
          <w:iCs/>
          <w:lang w:val="en-US"/>
        </w:rPr>
        <w:t>in order to</w:t>
      </w:r>
      <w:proofErr w:type="gramEnd"/>
      <w:r w:rsidRPr="007958DD">
        <w:rPr>
          <w:rFonts w:eastAsia="Malgun Gothic"/>
          <w:b/>
          <w:bCs/>
          <w:i/>
          <w:iCs/>
          <w:lang w:val="en-US"/>
        </w:rPr>
        <w:t xml:space="preserve"> correct potential misalignment of the DL Tx timing at the child node</w:t>
      </w:r>
      <w:r w:rsidRPr="007958DD">
        <w:rPr>
          <w:rFonts w:ascii="Malgun Gothic" w:eastAsia="Malgun Gothic" w:hAnsi="Malgun Gothic"/>
          <w:b/>
          <w:bCs/>
          <w:i/>
          <w:iCs/>
          <w:lang w:val="en-US"/>
        </w:rPr>
        <w:t xml:space="preserve"> </w:t>
      </w:r>
      <w:r w:rsidRPr="007958DD">
        <w:rPr>
          <w:rFonts w:eastAsia="Malgun Gothic"/>
          <w:b/>
          <w:bCs/>
          <w:i/>
          <w:iCs/>
          <w:lang w:val="en-US"/>
        </w:rPr>
        <w:t>(Alt.2 agreed for Case</w:t>
      </w:r>
      <w:r w:rsidR="00371DAA" w:rsidRPr="007958DD">
        <w:rPr>
          <w:rFonts w:eastAsia="Malgun Gothic"/>
          <w:b/>
          <w:bCs/>
          <w:i/>
          <w:iCs/>
          <w:lang w:val="en-US"/>
        </w:rPr>
        <w:t xml:space="preserve"> </w:t>
      </w:r>
      <w:r w:rsidRPr="007958DD">
        <w:rPr>
          <w:rFonts w:eastAsia="Malgun Gothic"/>
          <w:b/>
          <w:bCs/>
          <w:i/>
          <w:iCs/>
          <w:lang w:val="en-US"/>
        </w:rPr>
        <w:t>#6 in the Rel-16 IAB SI)</w:t>
      </w:r>
      <w:r w:rsidRPr="007958DD">
        <w:rPr>
          <w:rFonts w:ascii="Malgun Gothic" w:eastAsia="Malgun Gothic" w:hAnsi="Malgun Gothic"/>
          <w:b/>
          <w:bCs/>
          <w:i/>
          <w:iCs/>
          <w:lang w:val="en-US"/>
        </w:rPr>
        <w:t>. </w:t>
      </w:r>
      <w:r w:rsidRPr="007958DD">
        <w:rPr>
          <w:rFonts w:ascii="Malgun Gothic" w:eastAsia="Malgun Gothic" w:hAnsi="Malgun Gothic"/>
          <w:i/>
          <w:iCs/>
          <w:lang w:val="en-US"/>
        </w:rPr>
        <w:t> </w:t>
      </w:r>
    </w:p>
    <w:p w14:paraId="756219D3" w14:textId="77777777" w:rsidR="00313982" w:rsidRPr="007958DD" w:rsidRDefault="00313982" w:rsidP="61F632BB">
      <w:pPr>
        <w:numPr>
          <w:ilvl w:val="0"/>
          <w:numId w:val="75"/>
        </w:numPr>
        <w:overflowPunct/>
        <w:autoSpaceDE/>
        <w:autoSpaceDN/>
        <w:adjustRightInd/>
        <w:spacing w:before="100" w:beforeAutospacing="1" w:after="100" w:afterAutospacing="1"/>
        <w:ind w:left="567" w:hanging="246"/>
        <w:jc w:val="both"/>
        <w:rPr>
          <w:rFonts w:ascii="Malgun Gothic" w:eastAsia="Malgun Gothic" w:hAnsi="Malgun Gothic"/>
          <w:i/>
          <w:iCs/>
          <w:sz w:val="22"/>
          <w:szCs w:val="22"/>
          <w:lang w:val="en-US"/>
        </w:rPr>
      </w:pPr>
      <w:r w:rsidRPr="007958DD">
        <w:rPr>
          <w:rFonts w:eastAsia="Malgun Gothic"/>
          <w:b/>
          <w:bCs/>
          <w:i/>
          <w:iCs/>
          <w:lang w:val="en-US"/>
        </w:rPr>
        <w:t>Use the existing timing delta MAC-CE to indicate the time difference of the DL Tx and UL Rx timing at the parent node</w:t>
      </w:r>
      <w:r w:rsidRPr="007958DD">
        <w:rPr>
          <w:rFonts w:ascii="Malgun Gothic" w:eastAsia="Malgun Gothic" w:hAnsi="Malgun Gothic"/>
          <w:b/>
          <w:bCs/>
          <w:i/>
          <w:iCs/>
          <w:lang w:val="en-US"/>
        </w:rPr>
        <w:t>.</w:t>
      </w:r>
      <w:r w:rsidRPr="007958DD">
        <w:rPr>
          <w:rFonts w:ascii="Malgun Gothic" w:eastAsia="Malgun Gothic" w:hAnsi="Malgun Gothic"/>
          <w:i/>
          <w:iCs/>
          <w:lang w:val="en-US"/>
        </w:rPr>
        <w:t> </w:t>
      </w:r>
    </w:p>
    <w:p w14:paraId="4F85B308" w14:textId="77777777" w:rsidR="00313982" w:rsidRPr="007958DD" w:rsidRDefault="00313982" w:rsidP="61F632BB">
      <w:pPr>
        <w:numPr>
          <w:ilvl w:val="0"/>
          <w:numId w:val="75"/>
        </w:numPr>
        <w:overflowPunct/>
        <w:autoSpaceDE/>
        <w:autoSpaceDN/>
        <w:adjustRightInd/>
        <w:spacing w:before="100" w:beforeAutospacing="1" w:after="100" w:afterAutospacing="1"/>
        <w:ind w:left="567" w:hanging="246"/>
        <w:jc w:val="both"/>
        <w:rPr>
          <w:rFonts w:ascii="Malgun Gothic" w:eastAsia="Malgun Gothic" w:hAnsi="Malgun Gothic"/>
          <w:i/>
          <w:iCs/>
          <w:sz w:val="22"/>
          <w:szCs w:val="22"/>
          <w:lang w:val="en-US"/>
        </w:rPr>
      </w:pPr>
      <w:r w:rsidRPr="007958DD">
        <w:rPr>
          <w:rFonts w:eastAsia="Malgun Gothic"/>
          <w:b/>
          <w:bCs/>
          <w:i/>
          <w:iCs/>
          <w:lang w:val="en-US"/>
        </w:rPr>
        <w:t>FFS: Required range and granularity for the time difference of the DL Tx and UL Rx timing at the parent node</w:t>
      </w:r>
      <w:r w:rsidRPr="007958DD">
        <w:rPr>
          <w:rFonts w:ascii="Malgun Gothic" w:eastAsia="Malgun Gothic" w:hAnsi="Malgun Gothic"/>
          <w:b/>
          <w:bCs/>
          <w:i/>
          <w:iCs/>
          <w:lang w:val="en-US"/>
        </w:rPr>
        <w:t>. </w:t>
      </w:r>
      <w:r w:rsidRPr="007958DD">
        <w:rPr>
          <w:rFonts w:ascii="Malgun Gothic" w:eastAsia="Malgun Gothic" w:hAnsi="Malgun Gothic"/>
          <w:i/>
          <w:iCs/>
          <w:lang w:val="en-US"/>
        </w:rPr>
        <w:t> </w:t>
      </w:r>
    </w:p>
    <w:p w14:paraId="01E779FF" w14:textId="378F20BE" w:rsidR="00D177F3" w:rsidRDefault="00D14B8F" w:rsidP="00D14B8F">
      <w:pPr>
        <w:pStyle w:val="Heading2"/>
        <w:rPr>
          <w:lang w:val="en-US"/>
        </w:rPr>
      </w:pPr>
      <w:r w:rsidRPr="61F632BB">
        <w:rPr>
          <w:lang w:val="en-US"/>
        </w:rPr>
        <w:t>2.2 Case #7 Timing</w:t>
      </w:r>
    </w:p>
    <w:p w14:paraId="08E7F8A3" w14:textId="096BF7FA" w:rsidR="00D14B8F" w:rsidRDefault="00D14B8F" w:rsidP="00D14B8F">
      <w:pPr>
        <w:rPr>
          <w:lang w:val="en-US"/>
        </w:rPr>
      </w:pPr>
      <w:r w:rsidRPr="61F632BB">
        <w:rPr>
          <w:lang w:val="en-US"/>
        </w:rPr>
        <w:t>The following agreement was made in RAN #103-e:</w:t>
      </w:r>
    </w:p>
    <w:p w14:paraId="52DB6436" w14:textId="77777777" w:rsidR="00D14B8F" w:rsidRPr="00E91551" w:rsidRDefault="00D14B8F" w:rsidP="61F632BB">
      <w:pPr>
        <w:ind w:left="284"/>
        <w:rPr>
          <w:b/>
          <w:bCs/>
          <w:highlight w:val="green"/>
          <w:lang w:val="en-US"/>
        </w:rPr>
      </w:pPr>
      <w:r w:rsidRPr="61F632BB">
        <w:rPr>
          <w:b/>
          <w:bCs/>
          <w:highlight w:val="green"/>
          <w:lang w:val="en-US"/>
        </w:rPr>
        <w:t>Agreement</w:t>
      </w:r>
    </w:p>
    <w:p w14:paraId="45A04FCC" w14:textId="77777777" w:rsidR="00D14B8F" w:rsidRPr="00D14B8F" w:rsidRDefault="00D14B8F" w:rsidP="61F632BB">
      <w:pPr>
        <w:ind w:left="284"/>
        <w:rPr>
          <w:rFonts w:eastAsia="Calibri"/>
          <w:i/>
          <w:iCs/>
          <w:lang w:val="en-US"/>
        </w:rPr>
      </w:pPr>
      <w:r w:rsidRPr="61F632BB">
        <w:rPr>
          <w:rFonts w:eastAsia="Calibri"/>
          <w:i/>
          <w:iCs/>
          <w:lang w:val="en-US"/>
        </w:rPr>
        <w:t>An IAB-node, when operating in Case 7 timing mode, can enable a child node to set its DL Tx timing based on Rel-16 OTA timing synchronization mechanism.</w:t>
      </w:r>
    </w:p>
    <w:p w14:paraId="32221954" w14:textId="54E15C40" w:rsidR="00D14B8F" w:rsidRPr="00D14B8F" w:rsidRDefault="00D14B8F" w:rsidP="61F632BB">
      <w:pPr>
        <w:pStyle w:val="ListParagraph"/>
        <w:numPr>
          <w:ilvl w:val="0"/>
          <w:numId w:val="64"/>
        </w:numPr>
        <w:autoSpaceDN w:val="0"/>
        <w:ind w:left="1212"/>
        <w:rPr>
          <w:rFonts w:eastAsia="Calibri"/>
          <w:i/>
          <w:iCs/>
          <w:color w:val="000000"/>
          <w:sz w:val="20"/>
          <w:szCs w:val="20"/>
        </w:rPr>
      </w:pPr>
      <w:r w:rsidRPr="61F632BB">
        <w:rPr>
          <w:rFonts w:eastAsia="Calibri"/>
          <w:i/>
          <w:iCs/>
          <w:color w:val="000000" w:themeColor="text1"/>
          <w:sz w:val="20"/>
          <w:szCs w:val="20"/>
          <w:lang w:val="en-US"/>
        </w:rPr>
        <w:t xml:space="preserve">FFS whether Rel-16 OTA synchronization mechanism enhancements are required </w:t>
      </w:r>
    </w:p>
    <w:p w14:paraId="61328BA6" w14:textId="77777777" w:rsidR="00D14B8F" w:rsidRPr="00D14B8F" w:rsidRDefault="00D14B8F" w:rsidP="61F632BB">
      <w:pPr>
        <w:pStyle w:val="ListParagraph"/>
        <w:numPr>
          <w:ilvl w:val="1"/>
          <w:numId w:val="64"/>
        </w:numPr>
        <w:autoSpaceDN w:val="0"/>
        <w:ind w:left="1932"/>
        <w:rPr>
          <w:rFonts w:eastAsia="Calibri"/>
          <w:i/>
          <w:iCs/>
          <w:color w:val="000000"/>
          <w:sz w:val="20"/>
          <w:szCs w:val="20"/>
        </w:rPr>
      </w:pPr>
      <w:r w:rsidRPr="61F632BB">
        <w:rPr>
          <w:rFonts w:eastAsia="Calibri"/>
          <w:i/>
          <w:iCs/>
          <w:color w:val="000000" w:themeColor="text1"/>
          <w:sz w:val="20"/>
          <w:szCs w:val="20"/>
          <w:lang w:val="en-US"/>
        </w:rPr>
        <w:t>FFS details of enhancements, if required</w:t>
      </w:r>
    </w:p>
    <w:p w14:paraId="0E14E680" w14:textId="0B27370D" w:rsidR="00D14B8F" w:rsidRDefault="00D14B8F" w:rsidP="00D14B8F">
      <w:pPr>
        <w:rPr>
          <w:lang w:val="en-US"/>
        </w:rPr>
      </w:pPr>
    </w:p>
    <w:p w14:paraId="7A77A1B8" w14:textId="00CEF2DC" w:rsidR="00691547" w:rsidRDefault="00691547" w:rsidP="00D14B8F">
      <w:pPr>
        <w:rPr>
          <w:lang w:val="en-US"/>
        </w:rPr>
      </w:pPr>
      <w:r w:rsidRPr="61F632BB">
        <w:rPr>
          <w:lang w:val="en-US"/>
        </w:rPr>
        <w:t xml:space="preserve">Since </w:t>
      </w:r>
      <w:r w:rsidR="00897C63" w:rsidRPr="61F632BB">
        <w:rPr>
          <w:lang w:val="en-US"/>
        </w:rPr>
        <w:t>C</w:t>
      </w:r>
      <w:r w:rsidRPr="61F632BB">
        <w:rPr>
          <w:lang w:val="en-US"/>
        </w:rPr>
        <w:t>ase #7 timing synchronizes Rx at the IAB node, consideration for case #7 timing must be placed on how an IAB node configures a UE or child IAB-MT for proper UL transmission timing. Additionally, the following agreement was made in RAN #104-e:</w:t>
      </w:r>
    </w:p>
    <w:p w14:paraId="36342BBF" w14:textId="77777777" w:rsidR="00691547" w:rsidRPr="00E91551" w:rsidRDefault="00691547" w:rsidP="61F632BB">
      <w:pPr>
        <w:ind w:left="284"/>
        <w:rPr>
          <w:b/>
          <w:bCs/>
          <w:lang w:val="en-US"/>
        </w:rPr>
      </w:pPr>
      <w:r w:rsidRPr="61F632BB">
        <w:rPr>
          <w:b/>
          <w:bCs/>
          <w:highlight w:val="green"/>
          <w:lang w:val="en-US"/>
        </w:rPr>
        <w:t>Agreement</w:t>
      </w:r>
    </w:p>
    <w:p w14:paraId="0A7F1934" w14:textId="3357D181" w:rsidR="00691547" w:rsidRPr="00691547" w:rsidRDefault="00691547" w:rsidP="61F632BB">
      <w:pPr>
        <w:ind w:left="284"/>
        <w:rPr>
          <w:i/>
          <w:iCs/>
          <w:lang w:val="en-US"/>
        </w:rPr>
      </w:pPr>
      <w:r w:rsidRPr="61F632BB">
        <w:rPr>
          <w:i/>
          <w:iCs/>
          <w:lang w:val="en-US"/>
        </w:rPr>
        <w:t xml:space="preserve">Case 7 timing is supported with symbol level alignment without explicit support for slot level </w:t>
      </w:r>
      <w:r w:rsidR="59B0307C" w:rsidRPr="61F632BB">
        <w:rPr>
          <w:i/>
          <w:iCs/>
          <w:lang w:val="en-US"/>
        </w:rPr>
        <w:t>alignment.</w:t>
      </w:r>
    </w:p>
    <w:p w14:paraId="653B7CEB" w14:textId="1CF54ABE" w:rsidR="00691547" w:rsidRDefault="00691547" w:rsidP="61F632BB">
      <w:pPr>
        <w:rPr>
          <w:lang w:val="en-US"/>
        </w:rPr>
      </w:pPr>
      <w:r w:rsidRPr="61F632BB">
        <w:rPr>
          <w:lang w:val="en-US"/>
        </w:rPr>
        <w:t>This agreement implies that relaxed timing constraints for a child node operating in case #7 timing will not be required to transmit with a negative TA</w:t>
      </w:r>
      <w:r w:rsidR="343FC163" w:rsidRPr="61F632BB">
        <w:rPr>
          <w:lang w:val="en-US"/>
        </w:rPr>
        <w:t xml:space="preserve">. </w:t>
      </w:r>
    </w:p>
    <w:p w14:paraId="0941231C" w14:textId="10E2D8F4" w:rsidR="009341BC" w:rsidRPr="000E5FBF" w:rsidRDefault="009341BC" w:rsidP="61F632BB">
      <w:pPr>
        <w:rPr>
          <w:b/>
          <w:bCs/>
          <w:i/>
          <w:iCs/>
          <w:lang w:val="en-US"/>
        </w:rPr>
      </w:pPr>
      <w:r w:rsidRPr="000E5FBF">
        <w:rPr>
          <w:b/>
          <w:bCs/>
          <w:i/>
          <w:iCs/>
          <w:lang w:val="en-US"/>
        </w:rPr>
        <w:t>Observation 2.3: Support of case #7 timing does not require enhanced OTA procedures</w:t>
      </w:r>
    </w:p>
    <w:p w14:paraId="1F3569A3" w14:textId="0F679F40" w:rsidR="00D177F3" w:rsidRDefault="00D177F3" w:rsidP="00045DEE">
      <w:pPr>
        <w:pStyle w:val="Heading1"/>
        <w:rPr>
          <w:color w:val="000000"/>
          <w:lang w:val="en-US"/>
        </w:rPr>
      </w:pPr>
      <w:r w:rsidRPr="61F632BB">
        <w:rPr>
          <w:color w:val="000000" w:themeColor="text1"/>
          <w:lang w:val="en-US"/>
        </w:rPr>
        <w:t>3</w:t>
      </w:r>
      <w:r>
        <w:tab/>
      </w:r>
      <w:r w:rsidRPr="61F632BB">
        <w:rPr>
          <w:color w:val="000000" w:themeColor="text1"/>
          <w:lang w:val="en-US"/>
        </w:rPr>
        <w:t>Interference Management</w:t>
      </w:r>
    </w:p>
    <w:p w14:paraId="2FE48052" w14:textId="052559B3" w:rsidR="00EF0A0E" w:rsidRPr="00EF0A0E" w:rsidRDefault="00EF0A0E" w:rsidP="61F632BB">
      <w:pPr>
        <w:rPr>
          <w:rFonts w:cs="Times"/>
          <w:lang w:val="en-US"/>
        </w:rPr>
      </w:pPr>
      <w:r w:rsidRPr="61F632BB">
        <w:rPr>
          <w:rFonts w:cs="Times"/>
          <w:lang w:val="en-US"/>
        </w:rPr>
        <w:t xml:space="preserve">The following agreement regarding DU-to-DU inter-IAB interference was </w:t>
      </w:r>
      <w:r w:rsidR="62F7F07D" w:rsidRPr="61F632BB">
        <w:rPr>
          <w:rFonts w:cs="Times"/>
          <w:lang w:val="en-US"/>
        </w:rPr>
        <w:t>made</w:t>
      </w:r>
      <w:r w:rsidRPr="61F632BB">
        <w:rPr>
          <w:rFonts w:cs="Times"/>
          <w:lang w:val="en-US"/>
        </w:rPr>
        <w:t xml:space="preserve"> in RAN #104-e:</w:t>
      </w:r>
    </w:p>
    <w:p w14:paraId="409607C4" w14:textId="59E13614" w:rsidR="00EF0A0E" w:rsidRPr="00E91551" w:rsidRDefault="00EF0A0E" w:rsidP="61F632BB">
      <w:pPr>
        <w:ind w:left="284"/>
        <w:rPr>
          <w:rFonts w:cs="Times"/>
          <w:b/>
          <w:bCs/>
          <w:highlight w:val="green"/>
          <w:lang w:val="en-US"/>
        </w:rPr>
      </w:pPr>
      <w:r w:rsidRPr="61F632BB">
        <w:rPr>
          <w:rFonts w:cs="Times"/>
          <w:b/>
          <w:bCs/>
          <w:highlight w:val="green"/>
          <w:lang w:val="en-US"/>
        </w:rPr>
        <w:t>Agreement</w:t>
      </w:r>
    </w:p>
    <w:p w14:paraId="56B4D19A" w14:textId="77777777" w:rsidR="00EF0A0E" w:rsidRPr="00EF0A0E" w:rsidRDefault="00EF0A0E" w:rsidP="61F632BB">
      <w:pPr>
        <w:ind w:left="284"/>
        <w:rPr>
          <w:rFonts w:eastAsia="Calibri"/>
          <w:i/>
          <w:iCs/>
          <w:lang w:val="en-US"/>
        </w:rPr>
      </w:pPr>
      <w:r w:rsidRPr="61F632BB">
        <w:rPr>
          <w:rFonts w:eastAsia="Calibri"/>
          <w:i/>
          <w:iCs/>
          <w:lang w:val="en-US"/>
        </w:rPr>
        <w:t>RAN1 to select among the following options to support DU-to-DU measurement and report.</w:t>
      </w:r>
    </w:p>
    <w:p w14:paraId="71D9F442" w14:textId="77777777" w:rsidR="00EF0A0E" w:rsidRPr="00EF0A0E"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t>For DU-to-DU CLI measurement:</w:t>
      </w:r>
    </w:p>
    <w:p w14:paraId="517C76B8" w14:textId="77777777" w:rsidR="00EF0A0E" w:rsidRPr="00EF0A0E" w:rsidRDefault="00EF0A0E" w:rsidP="61F632BB">
      <w:pPr>
        <w:pStyle w:val="ListParagraph"/>
        <w:numPr>
          <w:ilvl w:val="1"/>
          <w:numId w:val="45"/>
        </w:numPr>
        <w:autoSpaceDN w:val="0"/>
        <w:ind w:left="1724"/>
        <w:rPr>
          <w:rFonts w:eastAsia="Calibri" w:cs="Times"/>
          <w:i/>
          <w:iCs/>
          <w:sz w:val="20"/>
          <w:szCs w:val="20"/>
        </w:rPr>
      </w:pPr>
      <w:r w:rsidRPr="61F632BB">
        <w:rPr>
          <w:rFonts w:eastAsia="Calibri" w:cs="Times"/>
          <w:i/>
          <w:iCs/>
          <w:sz w:val="20"/>
          <w:szCs w:val="20"/>
          <w:lang w:val="en-US"/>
        </w:rPr>
        <w:t>Option 1.1. no specific mechanism is specified (e.g., it is handled by the implementation, or the available techniques)</w:t>
      </w:r>
    </w:p>
    <w:p w14:paraId="2EE35CAB" w14:textId="77777777" w:rsidR="00EF0A0E" w:rsidRPr="00EF0A0E" w:rsidRDefault="00EF0A0E" w:rsidP="61F632BB">
      <w:pPr>
        <w:pStyle w:val="ListParagraph"/>
        <w:numPr>
          <w:ilvl w:val="1"/>
          <w:numId w:val="45"/>
        </w:numPr>
        <w:autoSpaceDN w:val="0"/>
        <w:ind w:left="1724"/>
        <w:rPr>
          <w:rFonts w:eastAsia="Calibri" w:cs="Times"/>
          <w:i/>
          <w:iCs/>
          <w:sz w:val="20"/>
          <w:szCs w:val="20"/>
        </w:rPr>
      </w:pPr>
      <w:r w:rsidRPr="61F632BB">
        <w:rPr>
          <w:rFonts w:eastAsia="Calibri" w:cs="Times"/>
          <w:i/>
          <w:iCs/>
          <w:sz w:val="20"/>
          <w:szCs w:val="20"/>
          <w:lang w:val="en-US"/>
        </w:rPr>
        <w:t>Option 1.2. enhanced legacy DU-based measurement procedures (e.g., enhanced Rel-16 RIM)</w:t>
      </w:r>
    </w:p>
    <w:p w14:paraId="6366CE35" w14:textId="77777777" w:rsidR="00EF0A0E" w:rsidRPr="00EF0A0E" w:rsidRDefault="00EF0A0E" w:rsidP="61F632BB">
      <w:pPr>
        <w:pStyle w:val="ListParagraph"/>
        <w:numPr>
          <w:ilvl w:val="1"/>
          <w:numId w:val="45"/>
        </w:numPr>
        <w:autoSpaceDN w:val="0"/>
        <w:ind w:left="1724"/>
        <w:rPr>
          <w:rFonts w:eastAsia="Calibri" w:cs="Times"/>
          <w:i/>
          <w:iCs/>
          <w:sz w:val="20"/>
          <w:szCs w:val="20"/>
        </w:rPr>
      </w:pPr>
      <w:r w:rsidRPr="61F632BB">
        <w:rPr>
          <w:rFonts w:eastAsia="Calibri" w:cs="Times"/>
          <w:i/>
          <w:iCs/>
          <w:sz w:val="20"/>
          <w:szCs w:val="20"/>
          <w:lang w:val="en-US"/>
        </w:rPr>
        <w:t>Option 1.3. enhanced MT-based measurements (e.g., MT-based CLI, MT RRM measurements)</w:t>
      </w:r>
    </w:p>
    <w:p w14:paraId="7A01A908" w14:textId="77777777" w:rsidR="00EF0A0E" w:rsidRPr="00EF0A0E"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lastRenderedPageBreak/>
        <w:t>For DU-to-DU CLI report:</w:t>
      </w:r>
    </w:p>
    <w:p w14:paraId="2CBE99AF" w14:textId="77777777" w:rsidR="00EF0A0E" w:rsidRPr="00EF0A0E" w:rsidRDefault="00EF0A0E" w:rsidP="61F632BB">
      <w:pPr>
        <w:pStyle w:val="ListParagraph"/>
        <w:numPr>
          <w:ilvl w:val="1"/>
          <w:numId w:val="45"/>
        </w:numPr>
        <w:autoSpaceDN w:val="0"/>
        <w:ind w:left="1724"/>
        <w:rPr>
          <w:rFonts w:eastAsia="Calibri" w:cs="Times"/>
          <w:i/>
          <w:iCs/>
          <w:sz w:val="20"/>
          <w:szCs w:val="20"/>
        </w:rPr>
      </w:pPr>
      <w:r w:rsidRPr="61F632BB">
        <w:rPr>
          <w:rFonts w:eastAsia="Calibri" w:cs="Times"/>
          <w:i/>
          <w:iCs/>
          <w:sz w:val="20"/>
          <w:szCs w:val="20"/>
          <w:lang w:val="en-US"/>
        </w:rPr>
        <w:t>Option 2.1. no specific mechanism is specified (e.g., it is handled by the implementation, or the available techniques)</w:t>
      </w:r>
    </w:p>
    <w:p w14:paraId="271A9921" w14:textId="77777777" w:rsidR="00EF0A0E" w:rsidRPr="00EF0A0E" w:rsidRDefault="00EF0A0E" w:rsidP="61F632BB">
      <w:pPr>
        <w:pStyle w:val="ListParagraph"/>
        <w:numPr>
          <w:ilvl w:val="1"/>
          <w:numId w:val="45"/>
        </w:numPr>
        <w:autoSpaceDN w:val="0"/>
        <w:ind w:left="1724"/>
        <w:rPr>
          <w:rFonts w:eastAsia="Calibri" w:cs="Times"/>
          <w:i/>
          <w:iCs/>
          <w:sz w:val="20"/>
          <w:szCs w:val="20"/>
        </w:rPr>
      </w:pPr>
      <w:r w:rsidRPr="61F632BB">
        <w:rPr>
          <w:rFonts w:eastAsia="Calibri" w:cs="Times"/>
          <w:i/>
          <w:iCs/>
          <w:sz w:val="20"/>
          <w:szCs w:val="20"/>
          <w:lang w:val="en-US"/>
        </w:rPr>
        <w:t>Option 2.2. enhanced legacy DU-based report (e.g., enhanced Rel-16 RIM)</w:t>
      </w:r>
    </w:p>
    <w:p w14:paraId="42715690" w14:textId="77777777" w:rsidR="00EF0A0E" w:rsidRPr="00EF0A0E" w:rsidRDefault="00EF0A0E" w:rsidP="61F632BB">
      <w:pPr>
        <w:pStyle w:val="ListParagraph"/>
        <w:numPr>
          <w:ilvl w:val="1"/>
          <w:numId w:val="45"/>
        </w:numPr>
        <w:autoSpaceDN w:val="0"/>
        <w:ind w:left="1724"/>
        <w:rPr>
          <w:rFonts w:eastAsia="Calibri" w:cs="Times"/>
          <w:i/>
          <w:iCs/>
          <w:sz w:val="20"/>
          <w:szCs w:val="20"/>
        </w:rPr>
      </w:pPr>
      <w:r w:rsidRPr="61F632BB">
        <w:rPr>
          <w:rFonts w:eastAsia="Calibri" w:cs="Times"/>
          <w:i/>
          <w:iCs/>
          <w:sz w:val="20"/>
          <w:szCs w:val="20"/>
          <w:lang w:val="en-US"/>
        </w:rPr>
        <w:t>Option 2.3. enhanced MT-based report (e.g., MT-based CLI, MT RRM measurements)</w:t>
      </w:r>
    </w:p>
    <w:p w14:paraId="0AE55EAD" w14:textId="77777777" w:rsidR="00696B52" w:rsidRDefault="00696B52" w:rsidP="61F632BB">
      <w:pPr>
        <w:rPr>
          <w:rFonts w:eastAsia="Batang" w:cs="Times"/>
          <w:lang w:val="en-US"/>
        </w:rPr>
      </w:pPr>
    </w:p>
    <w:p w14:paraId="70AAB773" w14:textId="6BBC4047" w:rsidR="0059573D" w:rsidRDefault="00696B52" w:rsidP="61F632BB">
      <w:pPr>
        <w:rPr>
          <w:rFonts w:eastAsia="Batang" w:cs="Times"/>
          <w:lang w:val="en-US"/>
        </w:rPr>
      </w:pPr>
      <w:r w:rsidRPr="61F632BB">
        <w:rPr>
          <w:rFonts w:eastAsia="Batang" w:cs="Times"/>
          <w:lang w:val="en-US"/>
        </w:rPr>
        <w:t xml:space="preserve">As mentioned during discussion in RAN #104-e, we do not believe that DU-to-DU CLI should be of significant concern in Rel-17. IAB node deployments are expected to be static and therefore careful network planning should be the most effective method of limiting interference between DUs. Additionally, </w:t>
      </w:r>
      <w:r w:rsidR="00CB4211" w:rsidRPr="61F632BB">
        <w:rPr>
          <w:rFonts w:eastAsia="Batang" w:cs="Times"/>
          <w:lang w:val="en-US"/>
        </w:rPr>
        <w:t xml:space="preserve">the </w:t>
      </w:r>
      <w:r w:rsidR="0085584B" w:rsidRPr="61F632BB">
        <w:rPr>
          <w:rFonts w:eastAsia="Batang" w:cs="Times"/>
          <w:lang w:val="en-US"/>
        </w:rPr>
        <w:t xml:space="preserve">suggested method of using </w:t>
      </w:r>
      <w:r w:rsidR="006A3B29" w:rsidRPr="61F632BB">
        <w:rPr>
          <w:rFonts w:eastAsia="Batang" w:cs="Times"/>
          <w:lang w:val="en-US"/>
        </w:rPr>
        <w:t>Rel-16 RIM do</w:t>
      </w:r>
      <w:r w:rsidR="00CB4211" w:rsidRPr="61F632BB">
        <w:rPr>
          <w:rFonts w:eastAsia="Batang" w:cs="Times"/>
          <w:lang w:val="en-US"/>
        </w:rPr>
        <w:t>es</w:t>
      </w:r>
      <w:r w:rsidR="006A3B29" w:rsidRPr="61F632BB">
        <w:rPr>
          <w:rFonts w:eastAsia="Batang" w:cs="Times"/>
          <w:lang w:val="en-US"/>
        </w:rPr>
        <w:t xml:space="preserve"> not work well as RIM is using PRACH-like-RS for detecting interference</w:t>
      </w:r>
      <w:r w:rsidR="00C91455" w:rsidRPr="61F632BB">
        <w:rPr>
          <w:rFonts w:eastAsia="Batang" w:cs="Times"/>
          <w:lang w:val="en-US"/>
        </w:rPr>
        <w:t xml:space="preserve"> from</w:t>
      </w:r>
      <w:r w:rsidR="006A3B29" w:rsidRPr="61F632BB">
        <w:rPr>
          <w:rFonts w:eastAsia="Batang" w:cs="Times"/>
          <w:lang w:val="en-US"/>
        </w:rPr>
        <w:t xml:space="preserve"> </w:t>
      </w:r>
      <w:proofErr w:type="spellStart"/>
      <w:r w:rsidR="006A3B29" w:rsidRPr="61F632BB">
        <w:rPr>
          <w:rFonts w:eastAsia="Batang" w:cs="Times"/>
          <w:lang w:val="en-US"/>
        </w:rPr>
        <w:t>gNBs</w:t>
      </w:r>
      <w:proofErr w:type="spellEnd"/>
      <w:r w:rsidR="006A3B29" w:rsidRPr="61F632BB">
        <w:rPr>
          <w:rFonts w:eastAsia="Batang" w:cs="Times"/>
          <w:lang w:val="en-US"/>
        </w:rPr>
        <w:t xml:space="preserve"> which are f</w:t>
      </w:r>
      <w:r w:rsidR="00172E40" w:rsidRPr="61F632BB">
        <w:rPr>
          <w:rFonts w:eastAsia="Batang" w:cs="Times"/>
          <w:lang w:val="en-US"/>
        </w:rPr>
        <w:t>ar</w:t>
      </w:r>
      <w:r w:rsidR="006A3B29" w:rsidRPr="61F632BB">
        <w:rPr>
          <w:rFonts w:eastAsia="Batang" w:cs="Times"/>
          <w:lang w:val="en-US"/>
        </w:rPr>
        <w:t xml:space="preserve"> away and do not have aligned timing. This framework is not suitable for </w:t>
      </w:r>
      <w:r w:rsidR="24E7147A" w:rsidRPr="61F632BB">
        <w:rPr>
          <w:rFonts w:eastAsia="Batang" w:cs="Times"/>
          <w:lang w:val="en-US"/>
        </w:rPr>
        <w:t>capturing</w:t>
      </w:r>
      <w:r w:rsidRPr="61F632BB">
        <w:rPr>
          <w:rFonts w:eastAsia="Batang" w:cs="Times"/>
          <w:lang w:val="en-US"/>
        </w:rPr>
        <w:t xml:space="preserve"> dynamically varying interference. For th</w:t>
      </w:r>
      <w:r w:rsidR="0059573D" w:rsidRPr="61F632BB">
        <w:rPr>
          <w:rFonts w:eastAsia="Batang" w:cs="Times"/>
          <w:lang w:val="en-US"/>
        </w:rPr>
        <w:t xml:space="preserve">ese reasons we do not see a clear motivation to introduce new DU-to-DU CLI measurements and/or </w:t>
      </w:r>
      <w:r w:rsidR="052F2314" w:rsidRPr="61F632BB">
        <w:rPr>
          <w:rFonts w:eastAsia="Batang" w:cs="Times"/>
          <w:lang w:val="en-US"/>
        </w:rPr>
        <w:t>reports and</w:t>
      </w:r>
      <w:r w:rsidR="0059573D" w:rsidRPr="61F632BB">
        <w:rPr>
          <w:rFonts w:eastAsia="Batang" w:cs="Times"/>
          <w:lang w:val="en-US"/>
        </w:rPr>
        <w:t xml:space="preserve"> have concerns that they will unnecessarily increase network overhead.</w:t>
      </w:r>
    </w:p>
    <w:p w14:paraId="1112A869" w14:textId="486A53DD" w:rsidR="00EF0A0E" w:rsidRPr="0059573D" w:rsidRDefault="0059573D" w:rsidP="61F632BB">
      <w:pPr>
        <w:ind w:left="1134" w:hanging="1134"/>
        <w:rPr>
          <w:rFonts w:eastAsia="Batang" w:cs="Times"/>
          <w:b/>
          <w:bCs/>
          <w:i/>
          <w:iCs/>
          <w:lang w:val="en-US"/>
        </w:rPr>
      </w:pPr>
      <w:r w:rsidRPr="61F632BB">
        <w:rPr>
          <w:rFonts w:eastAsia="Batang" w:cs="Times"/>
          <w:b/>
          <w:bCs/>
          <w:i/>
          <w:iCs/>
          <w:lang w:val="en-US"/>
        </w:rPr>
        <w:t xml:space="preserve">Proposal 3.1: </w:t>
      </w:r>
      <w:proofErr w:type="spellStart"/>
      <w:r w:rsidRPr="61F632BB">
        <w:rPr>
          <w:rFonts w:eastAsia="Batang" w:cs="Times"/>
          <w:b/>
          <w:bCs/>
          <w:i/>
          <w:iCs/>
          <w:lang w:val="en-US"/>
        </w:rPr>
        <w:t>Downselect</w:t>
      </w:r>
      <w:proofErr w:type="spellEnd"/>
      <w:r w:rsidRPr="61F632BB">
        <w:rPr>
          <w:rFonts w:eastAsia="Batang" w:cs="Times"/>
          <w:b/>
          <w:bCs/>
          <w:i/>
          <w:iCs/>
          <w:lang w:val="en-US"/>
        </w:rPr>
        <w:t xml:space="preserve"> to option 1.1 and option 2.1 from agreement made regarding DU-to-DU CLI measurement and reporting in RAN</w:t>
      </w:r>
      <w:r w:rsidR="00C219D2" w:rsidRPr="61F632BB">
        <w:rPr>
          <w:rFonts w:eastAsia="Batang" w:cs="Times"/>
          <w:b/>
          <w:bCs/>
          <w:i/>
          <w:iCs/>
          <w:lang w:val="en-US"/>
        </w:rPr>
        <w:t>1</w:t>
      </w:r>
      <w:r w:rsidRPr="61F632BB">
        <w:rPr>
          <w:rFonts w:eastAsia="Batang" w:cs="Times"/>
          <w:b/>
          <w:bCs/>
          <w:i/>
          <w:iCs/>
          <w:lang w:val="en-US"/>
        </w:rPr>
        <w:t xml:space="preserve"> #104-e </w:t>
      </w:r>
      <w:r w:rsidR="00696B52" w:rsidRPr="61F632BB">
        <w:rPr>
          <w:rFonts w:eastAsia="Batang" w:cs="Times"/>
          <w:b/>
          <w:bCs/>
          <w:i/>
          <w:iCs/>
          <w:lang w:val="en-US"/>
        </w:rPr>
        <w:t xml:space="preserve"> </w:t>
      </w:r>
    </w:p>
    <w:p w14:paraId="40BA3025" w14:textId="7847EEF3" w:rsidR="0059573D" w:rsidRPr="0059573D" w:rsidRDefault="0059573D" w:rsidP="61F632BB">
      <w:pPr>
        <w:rPr>
          <w:rFonts w:cs="Times"/>
          <w:lang w:val="en-US"/>
        </w:rPr>
      </w:pPr>
      <w:r w:rsidRPr="61F632BB">
        <w:rPr>
          <w:rFonts w:cs="Times"/>
          <w:lang w:val="en-US"/>
        </w:rPr>
        <w:t>The following agreement was made regarding beam management and CLI in RAN #104-e:</w:t>
      </w:r>
    </w:p>
    <w:p w14:paraId="13D36C4F" w14:textId="323F4802" w:rsidR="00EF0A0E" w:rsidRPr="0059573D" w:rsidRDefault="00EF0A0E" w:rsidP="61F632BB">
      <w:pPr>
        <w:ind w:left="284"/>
        <w:rPr>
          <w:rFonts w:cs="Times"/>
          <w:b/>
          <w:bCs/>
          <w:highlight w:val="green"/>
          <w:lang w:val="en-US"/>
        </w:rPr>
      </w:pPr>
      <w:r w:rsidRPr="61F632BB">
        <w:rPr>
          <w:rFonts w:cs="Times"/>
          <w:b/>
          <w:bCs/>
          <w:highlight w:val="green"/>
          <w:lang w:val="en-US"/>
        </w:rPr>
        <w:t>Agreement</w:t>
      </w:r>
    </w:p>
    <w:p w14:paraId="30EED3F7" w14:textId="77777777" w:rsidR="00EF0A0E" w:rsidRPr="0059573D" w:rsidRDefault="00EF0A0E" w:rsidP="61F632BB">
      <w:pPr>
        <w:ind w:left="284"/>
        <w:rPr>
          <w:rFonts w:eastAsia="Calibri"/>
          <w:i/>
          <w:iCs/>
          <w:lang w:val="en-US"/>
        </w:rPr>
      </w:pPr>
      <w:r w:rsidRPr="61F632BB">
        <w:rPr>
          <w:rFonts w:eastAsia="Calibri"/>
          <w:i/>
          <w:iCs/>
          <w:lang w:val="en-US"/>
        </w:rPr>
        <w:t>RAN1 to decide whether to enhance interference mitigation through information exchange to support beam-management at the parent or child node in RAN1#104bis-e</w:t>
      </w:r>
    </w:p>
    <w:p w14:paraId="55466639" w14:textId="77777777" w:rsidR="00EF0A0E" w:rsidRPr="0059573D" w:rsidRDefault="00EF0A0E" w:rsidP="61F632BB">
      <w:pPr>
        <w:pStyle w:val="ListParagraph"/>
        <w:numPr>
          <w:ilvl w:val="1"/>
          <w:numId w:val="46"/>
        </w:numPr>
        <w:autoSpaceDN w:val="0"/>
        <w:ind w:left="1364"/>
        <w:rPr>
          <w:rFonts w:eastAsia="Calibri"/>
          <w:i/>
          <w:iCs/>
          <w:sz w:val="20"/>
          <w:szCs w:val="20"/>
        </w:rPr>
      </w:pPr>
      <w:r w:rsidRPr="61F632BB">
        <w:rPr>
          <w:rFonts w:eastAsia="Calibri"/>
          <w:i/>
          <w:iCs/>
          <w:sz w:val="20"/>
          <w:szCs w:val="20"/>
          <w:lang w:val="en-US"/>
        </w:rPr>
        <w:t>FFS: reporting of desired beams for reception in DL or desired beams for transmission in UL by the IAB node for a given multiplexing mode</w:t>
      </w:r>
    </w:p>
    <w:p w14:paraId="08CC7B17" w14:textId="77777777" w:rsidR="00EF0A0E" w:rsidRPr="00E91551" w:rsidRDefault="00EF0A0E" w:rsidP="61F632BB">
      <w:pPr>
        <w:pStyle w:val="ListParagraph"/>
        <w:numPr>
          <w:ilvl w:val="1"/>
          <w:numId w:val="46"/>
        </w:numPr>
        <w:autoSpaceDN w:val="0"/>
        <w:ind w:left="1364"/>
        <w:rPr>
          <w:sz w:val="20"/>
          <w:szCs w:val="20"/>
        </w:rPr>
      </w:pPr>
      <w:r w:rsidRPr="61F632BB">
        <w:rPr>
          <w:rFonts w:eastAsia="Calibri"/>
          <w:i/>
          <w:iCs/>
          <w:sz w:val="20"/>
          <w:szCs w:val="20"/>
          <w:lang w:val="en-US"/>
        </w:rPr>
        <w:t>FFS: indicating applicable beams in DL or beams in UL for a given multiplexing mode.</w:t>
      </w:r>
    </w:p>
    <w:p w14:paraId="12D971CD" w14:textId="3AEF6E9C" w:rsidR="0059573D" w:rsidRDefault="0059573D" w:rsidP="00D177F3">
      <w:pPr>
        <w:rPr>
          <w:lang w:val="en-US"/>
        </w:rPr>
      </w:pPr>
    </w:p>
    <w:p w14:paraId="37247AB4" w14:textId="119FDF2F" w:rsidR="00C20F63" w:rsidRDefault="0059573D" w:rsidP="00C20F63">
      <w:pPr>
        <w:rPr>
          <w:lang w:val="en-US"/>
        </w:rPr>
      </w:pPr>
      <w:r w:rsidRPr="61F632BB">
        <w:rPr>
          <w:lang w:val="en-US"/>
        </w:rPr>
        <w:t xml:space="preserve">A parallel agreement is being discussed regarding </w:t>
      </w:r>
      <w:r w:rsidR="00C20F63" w:rsidRPr="61F632BB">
        <w:rPr>
          <w:lang w:val="en-US"/>
        </w:rPr>
        <w:t>indication</w:t>
      </w:r>
      <w:r w:rsidRPr="61F632BB">
        <w:rPr>
          <w:lang w:val="en-US"/>
        </w:rPr>
        <w:t xml:space="preserve"> of beam restriction/availability in support of SDM operation. </w:t>
      </w:r>
      <w:r w:rsidR="00C20F63" w:rsidRPr="61F632BB">
        <w:rPr>
          <w:lang w:val="en-US"/>
        </w:rPr>
        <w:t>To this end, indication of beam usage/availability is critical for mitigating interference particularly when IAB nodes are operating in SDM mode. If the IAB node can report the changes on activated beams for the parent link, that information could be used by the parent to avoid any overlap and still support the IAB MT with any other activated beam. In another method, the child IAB node might indicate that MT panel use does not prevent its DU serving any UEs or child nodes. Or if a parent could be received through more than one panel, the child could indicate which of the parent beams is optimal for it</w:t>
      </w:r>
      <w:r w:rsidR="00195BBB" w:rsidRPr="61F632BB">
        <w:rPr>
          <w:lang w:val="en-US"/>
        </w:rPr>
        <w:t>,</w:t>
      </w:r>
      <w:r w:rsidR="00C20F63" w:rsidRPr="61F632BB">
        <w:rPr>
          <w:lang w:val="en-US"/>
        </w:rPr>
        <w:t xml:space="preserve"> not just </w:t>
      </w:r>
      <w:r w:rsidR="5FC60B7F" w:rsidRPr="61F632BB">
        <w:rPr>
          <w:lang w:val="en-US"/>
        </w:rPr>
        <w:t>considering</w:t>
      </w:r>
      <w:r w:rsidR="00C20F63" w:rsidRPr="61F632BB">
        <w:rPr>
          <w:lang w:val="en-US"/>
        </w:rPr>
        <w:t xml:space="preserve"> the signal quality but also its DUs needs of panel use.</w:t>
      </w:r>
    </w:p>
    <w:p w14:paraId="793E6B06" w14:textId="7CD59B79" w:rsidR="00C20F63" w:rsidRDefault="00C20F63" w:rsidP="61F632BB">
      <w:pPr>
        <w:rPr>
          <w:b/>
          <w:bCs/>
          <w:i/>
          <w:iCs/>
          <w:lang w:val="en-US"/>
        </w:rPr>
      </w:pPr>
      <w:r w:rsidRPr="61F632BB">
        <w:rPr>
          <w:b/>
          <w:bCs/>
          <w:i/>
          <w:iCs/>
          <w:lang w:val="en-US"/>
        </w:rPr>
        <w:t xml:space="preserve">Proposal 3.2: </w:t>
      </w:r>
      <w:r w:rsidR="007F7667" w:rsidRPr="61F632BB">
        <w:rPr>
          <w:b/>
          <w:bCs/>
          <w:i/>
          <w:iCs/>
          <w:lang w:val="en-US"/>
        </w:rPr>
        <w:t>Support IAB node indicating</w:t>
      </w:r>
      <w:r w:rsidRPr="61F632BB">
        <w:rPr>
          <w:b/>
          <w:bCs/>
          <w:i/>
          <w:iCs/>
          <w:lang w:val="en-US"/>
        </w:rPr>
        <w:t xml:space="preserve"> </w:t>
      </w:r>
      <w:r w:rsidR="007F7667" w:rsidRPr="61F632BB">
        <w:rPr>
          <w:b/>
          <w:bCs/>
          <w:i/>
          <w:iCs/>
          <w:lang w:val="en-US"/>
        </w:rPr>
        <w:t xml:space="preserve">beam usage/availability towards its child </w:t>
      </w:r>
      <w:r w:rsidR="4864648A" w:rsidRPr="61F632BB">
        <w:rPr>
          <w:b/>
          <w:bCs/>
          <w:i/>
          <w:iCs/>
          <w:lang w:val="en-US"/>
        </w:rPr>
        <w:t>node.</w:t>
      </w:r>
    </w:p>
    <w:p w14:paraId="02951090" w14:textId="2E063886" w:rsidR="007F7667" w:rsidRPr="00C20F63" w:rsidRDefault="007F7667" w:rsidP="61F632BB">
      <w:pPr>
        <w:rPr>
          <w:b/>
          <w:bCs/>
          <w:i/>
          <w:iCs/>
          <w:lang w:val="en-US"/>
        </w:rPr>
      </w:pPr>
      <w:r w:rsidRPr="61F632BB">
        <w:rPr>
          <w:b/>
          <w:bCs/>
          <w:i/>
          <w:iCs/>
          <w:lang w:val="en-US"/>
        </w:rPr>
        <w:t>Proposal 3.3: Support IAB node indicating beam usage/availability towards its parent(s)</w:t>
      </w:r>
    </w:p>
    <w:p w14:paraId="0E7325CD" w14:textId="0D8420AA" w:rsidR="0059573D" w:rsidRDefault="0059573D" w:rsidP="00D177F3">
      <w:pPr>
        <w:rPr>
          <w:lang w:val="en-US"/>
        </w:rPr>
      </w:pPr>
    </w:p>
    <w:p w14:paraId="6DC4B053" w14:textId="4773EBD2" w:rsidR="00D177F3" w:rsidRDefault="00D177F3" w:rsidP="00D177F3">
      <w:pPr>
        <w:pStyle w:val="Heading1"/>
        <w:rPr>
          <w:lang w:val="en-US"/>
        </w:rPr>
      </w:pPr>
      <w:r w:rsidRPr="61F632BB">
        <w:rPr>
          <w:lang w:val="en-US"/>
        </w:rPr>
        <w:t>4</w:t>
      </w:r>
      <w:r>
        <w:tab/>
      </w:r>
      <w:r w:rsidRPr="61F632BB">
        <w:rPr>
          <w:lang w:val="en-US"/>
        </w:rPr>
        <w:t>Power Control</w:t>
      </w:r>
    </w:p>
    <w:p w14:paraId="7269D786" w14:textId="39D539A7" w:rsidR="007F7667" w:rsidRPr="007F7667" w:rsidRDefault="007F7667" w:rsidP="61F632BB">
      <w:pPr>
        <w:rPr>
          <w:rStyle w:val="Strong"/>
          <w:rFonts w:cs="Times"/>
          <w:b w:val="0"/>
          <w:bCs w:val="0"/>
          <w:lang w:val="en-US"/>
        </w:rPr>
      </w:pPr>
      <w:r w:rsidRPr="61F632BB">
        <w:rPr>
          <w:rStyle w:val="Strong"/>
          <w:rFonts w:cs="Times"/>
          <w:b w:val="0"/>
          <w:bCs w:val="0"/>
          <w:lang w:val="en-US"/>
        </w:rPr>
        <w:t>The following agreement regarding UL power control mechanisms was made in RAN #104-e:</w:t>
      </w:r>
    </w:p>
    <w:p w14:paraId="4D4BEDD2" w14:textId="27408CE4" w:rsidR="00EF0A0E" w:rsidRPr="00E91551" w:rsidRDefault="00EF0A0E" w:rsidP="61F632BB">
      <w:pPr>
        <w:ind w:left="284"/>
        <w:rPr>
          <w:rFonts w:cs="Times"/>
          <w:lang w:val="en-US" w:eastAsia="zh-CN"/>
        </w:rPr>
      </w:pPr>
      <w:r w:rsidRPr="61F632BB">
        <w:rPr>
          <w:rStyle w:val="Strong"/>
          <w:rFonts w:cs="Times"/>
          <w:highlight w:val="green"/>
          <w:lang w:val="en-US"/>
        </w:rPr>
        <w:t>Agreement</w:t>
      </w:r>
    </w:p>
    <w:p w14:paraId="74EF7FF5" w14:textId="77777777" w:rsidR="00EF0A0E" w:rsidRPr="007F7667" w:rsidRDefault="00EF0A0E" w:rsidP="61F632BB">
      <w:pPr>
        <w:ind w:left="284"/>
        <w:rPr>
          <w:rFonts w:eastAsia="Calibri" w:cs="Times"/>
          <w:i/>
          <w:iCs/>
          <w:lang w:val="en-US"/>
        </w:rPr>
      </w:pPr>
      <w:r w:rsidRPr="61F632BB">
        <w:rPr>
          <w:rFonts w:eastAsia="Calibri" w:cs="Times"/>
          <w:i/>
          <w:iCs/>
          <w:lang w:val="en-US"/>
        </w:rPr>
        <w:t>RAN1 to further study whether the legacy UL power control mechanism (including PHR) is sufficient for an IAB-node operating in an enhanced multiplexing mode.</w:t>
      </w:r>
    </w:p>
    <w:p w14:paraId="230CBEB6" w14:textId="77777777" w:rsidR="00EF0A0E" w:rsidRPr="007F7667" w:rsidRDefault="00EF0A0E" w:rsidP="61F632BB">
      <w:pPr>
        <w:pStyle w:val="ListParagraph"/>
        <w:numPr>
          <w:ilvl w:val="0"/>
          <w:numId w:val="45"/>
        </w:numPr>
        <w:autoSpaceDN w:val="0"/>
        <w:ind w:left="1004"/>
        <w:rPr>
          <w:rFonts w:eastAsia="MS PGothic" w:cs="Times"/>
          <w:i/>
          <w:iCs/>
          <w:sz w:val="20"/>
          <w:szCs w:val="20"/>
        </w:rPr>
      </w:pPr>
      <w:r w:rsidRPr="61F632BB">
        <w:rPr>
          <w:rFonts w:eastAsia="Calibri" w:cs="Times"/>
          <w:i/>
          <w:iCs/>
          <w:sz w:val="20"/>
          <w:szCs w:val="20"/>
          <w:lang w:val="en-US"/>
        </w:rPr>
        <w:t>FFS: if not (i.e., the legacy mechanism is not sufficient), support an IAB-node indicating information to assist with its UL power control.</w:t>
      </w:r>
    </w:p>
    <w:p w14:paraId="79270402" w14:textId="7A575EDC" w:rsidR="007F7667" w:rsidRPr="007F7667" w:rsidRDefault="007F7667"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 xml:space="preserve">Concerning </w:t>
      </w:r>
      <w:r w:rsidR="02DE5D22" w:rsidRPr="61F632BB">
        <w:rPr>
          <w:rFonts w:eastAsia="Times New Roman"/>
          <w:lang w:val="en-US"/>
        </w:rPr>
        <w:t>FDM</w:t>
      </w:r>
      <w:r w:rsidRPr="61F632BB">
        <w:rPr>
          <w:rFonts w:eastAsia="Times New Roman"/>
          <w:lang w:val="en-US"/>
        </w:rPr>
        <w:t xml:space="preserve">, when the simultaneous Tx at IAB-MT and IAB-DU is assumed, MT’s and DU's power gap may create a performance impact to either IAB-MT or IAB-DU depending on which one has the lower Tx power. If the IAB-node MT has lower power due to UL power control mechanism outcome, it may not be allowed by the parent node to increase the UL Tx power to avoid excess imbalance of Tx powers. Then the only way to reduce the imbalance, allowed by the present specification, would be to lower the IAB DU Tx power but that would impact cell coverage when supporting FDM mode. To improve the situation, changes in the MT power control mechanism could be considered. However, as IAB-MTs are supposed to follow the power control mechanism defined for UEs, such changes might be difficult to specify </w:t>
      </w:r>
      <w:r w:rsidRPr="61F632BB">
        <w:rPr>
          <w:rFonts w:eastAsia="Times New Roman"/>
          <w:lang w:val="en-US"/>
        </w:rPr>
        <w:lastRenderedPageBreak/>
        <w:t>because their impacts should be carefully considered. For SDM operation, the power imbalance should not be a big issue as transmissions are supposed to happen in overlapping frequency, and spatial separation of panels and beam management could be used to handle any issues.  </w:t>
      </w:r>
    </w:p>
    <w:p w14:paraId="68D1CC51" w14:textId="77777777" w:rsidR="007F7667" w:rsidRPr="007F7667" w:rsidRDefault="007F7667" w:rsidP="61F632BB">
      <w:pPr>
        <w:overflowPunct/>
        <w:autoSpaceDE/>
        <w:autoSpaceDN/>
        <w:adjustRightInd/>
        <w:spacing w:before="100" w:beforeAutospacing="1" w:after="100" w:afterAutospacing="1"/>
        <w:jc w:val="both"/>
        <w:rPr>
          <w:rFonts w:eastAsia="Times New Roman"/>
          <w:sz w:val="24"/>
          <w:szCs w:val="24"/>
          <w:lang w:val="en-US"/>
        </w:rPr>
      </w:pPr>
      <w:r w:rsidRPr="61F632BB">
        <w:rPr>
          <w:rFonts w:eastAsia="Times New Roman"/>
          <w:lang w:val="en-US"/>
        </w:rPr>
        <w:t>To solve the issue of Tx power imbalance, one option is that an IAB-node reports DU power setting/ratio (or any other metric) used by the IAB node when it is supporting FDM/SDM operation. The parent/CU could use such information when setting the IAB-MT power in UL via open-loop and closed-loop power control mechanisms. For example, if the FDM/SDM is in use, the parent may keep the TX power of the IAB-MT on a suitable level with the existing power control mechanisms.  </w:t>
      </w:r>
    </w:p>
    <w:p w14:paraId="5398288D" w14:textId="0F89858B" w:rsidR="007F7667" w:rsidRPr="007F7667" w:rsidRDefault="007F7667" w:rsidP="008B0FE9">
      <w:pPr>
        <w:overflowPunct/>
        <w:autoSpaceDE/>
        <w:autoSpaceDN/>
        <w:adjustRightInd/>
        <w:spacing w:after="0"/>
        <w:ind w:left="1276" w:hanging="1276"/>
        <w:jc w:val="both"/>
        <w:rPr>
          <w:rFonts w:eastAsia="Times New Roman"/>
          <w:i/>
          <w:iCs/>
          <w:sz w:val="24"/>
          <w:szCs w:val="24"/>
          <w:lang w:val="en-US"/>
        </w:rPr>
      </w:pPr>
      <w:r w:rsidRPr="61F632BB">
        <w:rPr>
          <w:rFonts w:eastAsia="Times New Roman"/>
          <w:b/>
          <w:bCs/>
          <w:i/>
          <w:iCs/>
          <w:lang w:val="en-US"/>
        </w:rPr>
        <w:t>Proposal 4.1: For simultaneous Tx operation at the IAB node, the power control mechanism shall consider the following</w:t>
      </w:r>
      <w:r w:rsidRPr="61F632BB">
        <w:rPr>
          <w:rFonts w:ascii="Batang" w:eastAsia="Batang" w:hAnsi="Batang"/>
          <w:b/>
          <w:bCs/>
          <w:i/>
          <w:iCs/>
          <w:lang w:val="en-US"/>
        </w:rPr>
        <w:t>: </w:t>
      </w:r>
      <w:r w:rsidRPr="61F632BB">
        <w:rPr>
          <w:rFonts w:ascii="Batang" w:eastAsia="Batang" w:hAnsi="Batang"/>
          <w:i/>
          <w:iCs/>
          <w:lang w:val="en-US"/>
        </w:rPr>
        <w:t> </w:t>
      </w:r>
    </w:p>
    <w:p w14:paraId="0F587CFF" w14:textId="22C60112" w:rsidR="007F7667" w:rsidRPr="007F7667" w:rsidRDefault="007F7667" w:rsidP="61F632BB">
      <w:pPr>
        <w:numPr>
          <w:ilvl w:val="0"/>
          <w:numId w:val="78"/>
        </w:numPr>
        <w:overflowPunct/>
        <w:autoSpaceDE/>
        <w:autoSpaceDN/>
        <w:adjustRightInd/>
        <w:spacing w:after="0"/>
        <w:ind w:left="1440" w:hanging="306"/>
        <w:jc w:val="both"/>
        <w:rPr>
          <w:rFonts w:ascii="Batang" w:eastAsia="Batang" w:hAnsi="Batang"/>
          <w:i/>
          <w:iCs/>
          <w:lang w:val="en-US"/>
        </w:rPr>
      </w:pPr>
      <w:r w:rsidRPr="61F632BB">
        <w:rPr>
          <w:rFonts w:eastAsia="Batang"/>
          <w:b/>
          <w:bCs/>
          <w:i/>
          <w:iCs/>
          <w:lang w:val="en-US"/>
        </w:rPr>
        <w:t xml:space="preserve">IAB-node may report via capability </w:t>
      </w:r>
      <w:r w:rsidR="58478143" w:rsidRPr="61F632BB">
        <w:rPr>
          <w:rFonts w:eastAsia="Batang"/>
          <w:b/>
          <w:bCs/>
          <w:i/>
          <w:iCs/>
          <w:lang w:val="en-US"/>
        </w:rPr>
        <w:t>signaling</w:t>
      </w:r>
      <w:r w:rsidRPr="61F632BB">
        <w:rPr>
          <w:rFonts w:eastAsia="Batang"/>
          <w:b/>
          <w:bCs/>
          <w:i/>
          <w:iCs/>
          <w:lang w:val="en-US"/>
        </w:rPr>
        <w:t xml:space="preserve"> the IAB-MT operating power range/limits when IAB node is supported with FDM or SDM mode.</w:t>
      </w:r>
      <w:r w:rsidRPr="61F632BB">
        <w:rPr>
          <w:rFonts w:eastAsia="Batang"/>
          <w:i/>
          <w:iCs/>
          <w:lang w:val="en-US"/>
        </w:rPr>
        <w:t> </w:t>
      </w:r>
    </w:p>
    <w:p w14:paraId="50BFF8F6" w14:textId="77777777" w:rsidR="007F7667" w:rsidRPr="007F7667" w:rsidRDefault="007F7667" w:rsidP="61F632BB">
      <w:pPr>
        <w:numPr>
          <w:ilvl w:val="0"/>
          <w:numId w:val="78"/>
        </w:numPr>
        <w:overflowPunct/>
        <w:autoSpaceDE/>
        <w:autoSpaceDN/>
        <w:adjustRightInd/>
        <w:spacing w:after="0"/>
        <w:ind w:left="1440" w:hanging="306"/>
        <w:jc w:val="both"/>
        <w:rPr>
          <w:rFonts w:ascii="Batang" w:eastAsia="Batang" w:hAnsi="Batang"/>
          <w:i/>
          <w:iCs/>
          <w:lang w:val="en-US"/>
        </w:rPr>
      </w:pPr>
      <w:r w:rsidRPr="61F632BB">
        <w:rPr>
          <w:rFonts w:eastAsia="Batang"/>
          <w:b/>
          <w:bCs/>
          <w:i/>
          <w:iCs/>
          <w:lang w:val="en-US"/>
        </w:rPr>
        <w:t>Use the existing power control mechanism by the parent to minimize power imbalance instances (no spec impact)</w:t>
      </w:r>
      <w:r w:rsidRPr="61F632BB">
        <w:rPr>
          <w:rFonts w:eastAsia="Batang"/>
          <w:i/>
          <w:iCs/>
          <w:lang w:val="en-US"/>
        </w:rPr>
        <w:t> </w:t>
      </w:r>
    </w:p>
    <w:p w14:paraId="044624EA" w14:textId="77777777" w:rsidR="006A3B29" w:rsidRPr="007F7667" w:rsidRDefault="006A3B29" w:rsidP="61F632BB">
      <w:pPr>
        <w:overflowPunct/>
        <w:autoSpaceDE/>
        <w:autoSpaceDN/>
        <w:adjustRightInd/>
        <w:spacing w:after="0"/>
        <w:ind w:left="1440"/>
        <w:jc w:val="both"/>
        <w:rPr>
          <w:rFonts w:ascii="Batang" w:eastAsia="Batang" w:hAnsi="Batang"/>
          <w:i/>
          <w:iCs/>
          <w:lang w:val="en-US"/>
        </w:rPr>
      </w:pPr>
    </w:p>
    <w:p w14:paraId="3AFD0464" w14:textId="0B88EE5A" w:rsidR="00EF0A0E" w:rsidRPr="00E91551" w:rsidRDefault="007F7667" w:rsidP="61F632BB">
      <w:pPr>
        <w:rPr>
          <w:rFonts w:eastAsia="Batang" w:cs="Times"/>
          <w:lang w:val="en-US"/>
        </w:rPr>
      </w:pPr>
      <w:r w:rsidRPr="61F632BB">
        <w:rPr>
          <w:rFonts w:eastAsia="Batang" w:cs="Times"/>
          <w:lang w:val="en-US"/>
        </w:rPr>
        <w:t>The following agreement regarding DL power control was made in RAN #104-e:</w:t>
      </w:r>
    </w:p>
    <w:p w14:paraId="179E339E" w14:textId="77777777" w:rsidR="00EF0A0E" w:rsidRPr="00E91551" w:rsidRDefault="00EF0A0E" w:rsidP="61F632BB">
      <w:pPr>
        <w:ind w:left="284"/>
        <w:rPr>
          <w:rFonts w:cs="Times"/>
          <w:lang w:val="en-US" w:eastAsia="zh-CN"/>
        </w:rPr>
      </w:pPr>
      <w:r w:rsidRPr="61F632BB">
        <w:rPr>
          <w:rStyle w:val="Strong"/>
          <w:rFonts w:cs="Times"/>
          <w:highlight w:val="green"/>
          <w:lang w:val="en-US"/>
        </w:rPr>
        <w:t>Agreement</w:t>
      </w:r>
    </w:p>
    <w:p w14:paraId="2B2EEC39" w14:textId="77777777" w:rsidR="00EF0A0E" w:rsidRPr="007F7667" w:rsidRDefault="00EF0A0E" w:rsidP="61F632BB">
      <w:pPr>
        <w:ind w:left="284"/>
        <w:rPr>
          <w:rFonts w:eastAsia="Calibri" w:cs="Times"/>
          <w:i/>
          <w:iCs/>
          <w:lang w:val="en-US"/>
        </w:rPr>
      </w:pPr>
      <w:r w:rsidRPr="61F632BB">
        <w:rPr>
          <w:rFonts w:eastAsia="Calibri" w:cs="Times"/>
          <w:i/>
          <w:iCs/>
          <w:lang w:val="en-US"/>
        </w:rPr>
        <w:t>Support an IAB-node indicating information to assist with the DL power control of its parent-node towards the IAB-node without mandating an expected behavior at the parent node.</w:t>
      </w:r>
    </w:p>
    <w:p w14:paraId="4229068C" w14:textId="77777777" w:rsidR="00EF0A0E" w:rsidRPr="007F7667"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t>Note: At least the assistance information is for supporting the simultaneous operation within the IAB-node to avoid power imbalance</w:t>
      </w:r>
    </w:p>
    <w:p w14:paraId="3AECF968" w14:textId="77777777" w:rsidR="00EF0A0E" w:rsidRPr="007F7667"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t>FFS: type of assistance information (e.g., desired received power, power adjustment, preferred CSI-RS resource)</w:t>
      </w:r>
    </w:p>
    <w:p w14:paraId="3028EEBD" w14:textId="77777777" w:rsidR="00EF0A0E" w:rsidRPr="007F7667"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t>FFS: whether this information is provided to the parent-node, the CU, or both.</w:t>
      </w:r>
    </w:p>
    <w:p w14:paraId="2D5B87FA" w14:textId="76189560" w:rsidR="00EF0A0E" w:rsidRPr="007F7667"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t>FFS: applicability of the assistance information (e.g. relation to beams or multiplexing modes)</w:t>
      </w:r>
    </w:p>
    <w:p w14:paraId="2B7C47F4" w14:textId="77777777" w:rsidR="00EF0A0E" w:rsidRPr="007F7667" w:rsidRDefault="00EF0A0E" w:rsidP="61F632BB">
      <w:pPr>
        <w:pStyle w:val="ListParagraph"/>
        <w:numPr>
          <w:ilvl w:val="0"/>
          <w:numId w:val="45"/>
        </w:numPr>
        <w:autoSpaceDN w:val="0"/>
        <w:ind w:left="1004"/>
        <w:rPr>
          <w:rFonts w:eastAsia="Calibri" w:cs="Times"/>
          <w:i/>
          <w:iCs/>
          <w:sz w:val="20"/>
          <w:szCs w:val="20"/>
        </w:rPr>
      </w:pPr>
      <w:r w:rsidRPr="61F632BB">
        <w:rPr>
          <w:rFonts w:eastAsia="Calibri" w:cs="Times"/>
          <w:i/>
          <w:iCs/>
          <w:sz w:val="20"/>
          <w:szCs w:val="20"/>
          <w:lang w:val="en-US"/>
        </w:rPr>
        <w:t>FFS: the channel carrying this assistance information</w:t>
      </w:r>
    </w:p>
    <w:p w14:paraId="452AABF5" w14:textId="558EB627" w:rsidR="00D177F3" w:rsidRDefault="00D177F3" w:rsidP="00D177F3">
      <w:pPr>
        <w:rPr>
          <w:lang w:val="en-US"/>
        </w:rPr>
      </w:pPr>
    </w:p>
    <w:p w14:paraId="74469485" w14:textId="77D64E93" w:rsidR="00D72385" w:rsidRDefault="004102EC" w:rsidP="61F632BB">
      <w:pPr>
        <w:overflowPunct/>
        <w:autoSpaceDE/>
        <w:autoSpaceDN/>
        <w:adjustRightInd/>
        <w:spacing w:before="100" w:beforeAutospacing="1" w:after="100" w:afterAutospacing="1"/>
        <w:jc w:val="both"/>
        <w:rPr>
          <w:rFonts w:eastAsia="Times New Roman"/>
          <w:lang w:val="en-US"/>
        </w:rPr>
      </w:pPr>
      <w:r w:rsidRPr="61F632BB">
        <w:rPr>
          <w:rFonts w:eastAsia="Times New Roman"/>
          <w:lang w:val="en-US"/>
        </w:rPr>
        <w:t xml:space="preserve">When the simultaneous Rx is considered at the IAB-MT and IAB-DU, there could also be an imbalance between the IAB node's reception power. However, this may not be a problem when the IAB node uses separate panels for IAB MT and </w:t>
      </w:r>
      <w:r w:rsidR="09060B15" w:rsidRPr="61F632BB">
        <w:rPr>
          <w:rFonts w:eastAsia="Times New Roman"/>
          <w:lang w:val="en-US"/>
        </w:rPr>
        <w:t>DU and</w:t>
      </w:r>
      <w:r w:rsidRPr="61F632BB">
        <w:rPr>
          <w:rFonts w:eastAsia="Times New Roman"/>
          <w:lang w:val="en-US"/>
        </w:rPr>
        <w:t xml:space="preserve"> have narrow Rx beams for the reception. If the same panel or wide Rx beams are used, the IAB node's power imbalance could create high interference to one of the receptions. Anyways, we think that SDM simultaneous reception should consider enhancements to the beam management, and RAN1 could address power imbalance issues within such an enhancement without a separate effort. For FDM mode, the Rx power imbalance issue could be handled still by the </w:t>
      </w:r>
      <w:r w:rsidR="00D72385" w:rsidRPr="61F632BB">
        <w:rPr>
          <w:rFonts w:eastAsia="Times New Roman"/>
          <w:lang w:val="en-US"/>
        </w:rPr>
        <w:t xml:space="preserve">same framework of beam reporting. Therefore, we suggest </w:t>
      </w:r>
      <w:r w:rsidR="006B1626" w:rsidRPr="61F632BB">
        <w:rPr>
          <w:rFonts w:eastAsia="Times New Roman"/>
          <w:lang w:val="en-US"/>
        </w:rPr>
        <w:t>having</w:t>
      </w:r>
      <w:r w:rsidR="00D72385" w:rsidRPr="61F632BB">
        <w:rPr>
          <w:rFonts w:eastAsia="Times New Roman"/>
          <w:lang w:val="en-US"/>
        </w:rPr>
        <w:t xml:space="preserve"> a unified design for both SDM/FDM where applicability of beams can be indicated towards the parent, and this applicability can be due to support of a multiplexing mode, power </w:t>
      </w:r>
      <w:r w:rsidR="0FB714BA" w:rsidRPr="61F632BB">
        <w:rPr>
          <w:rFonts w:eastAsia="Times New Roman"/>
          <w:lang w:val="en-US"/>
        </w:rPr>
        <w:t>imbalance</w:t>
      </w:r>
      <w:r w:rsidR="00D72385" w:rsidRPr="61F632BB">
        <w:rPr>
          <w:rFonts w:eastAsia="Times New Roman"/>
          <w:lang w:val="en-US"/>
        </w:rPr>
        <w:t xml:space="preserve"> or any other issue that IAB node faces when supporting a multiplexing mode. </w:t>
      </w:r>
    </w:p>
    <w:p w14:paraId="1156FE3A" w14:textId="7EFA4D90" w:rsidR="00D72385" w:rsidRPr="000E5FBF" w:rsidRDefault="00D72385" w:rsidP="009341BC">
      <w:pPr>
        <w:spacing w:beforeAutospacing="1" w:after="0" w:afterAutospacing="1"/>
        <w:ind w:left="1134" w:hanging="1134"/>
        <w:jc w:val="both"/>
        <w:rPr>
          <w:rFonts w:eastAsia="Batang"/>
          <w:b/>
          <w:bCs/>
          <w:i/>
          <w:iCs/>
          <w:lang w:val="en-US"/>
        </w:rPr>
      </w:pPr>
      <w:r w:rsidRPr="000E5FBF">
        <w:rPr>
          <w:rFonts w:eastAsia="Batang"/>
          <w:b/>
          <w:bCs/>
          <w:i/>
          <w:iCs/>
          <w:lang w:val="en-US"/>
        </w:rPr>
        <w:t xml:space="preserve">Proposal </w:t>
      </w:r>
      <w:r w:rsidR="00787A49" w:rsidRPr="000E5FBF">
        <w:rPr>
          <w:rFonts w:eastAsia="Batang"/>
          <w:b/>
          <w:bCs/>
          <w:i/>
          <w:iCs/>
          <w:lang w:val="en-US"/>
        </w:rPr>
        <w:t>4.2</w:t>
      </w:r>
      <w:r w:rsidRPr="000E5FBF">
        <w:rPr>
          <w:rFonts w:eastAsia="Batang"/>
          <w:b/>
          <w:bCs/>
          <w:i/>
          <w:iCs/>
          <w:lang w:val="en-US"/>
        </w:rPr>
        <w:t>: For SDM and FDM Rx operation (DU Rx and MT Rx), support the IAB node indicating towards the parent node about the changes of active beams used for MT reception by introducing signaling (</w:t>
      </w:r>
      <w:r w:rsidR="1F6E01E8" w:rsidRPr="000E5FBF">
        <w:rPr>
          <w:rFonts w:eastAsia="Batang"/>
          <w:b/>
          <w:bCs/>
          <w:i/>
          <w:iCs/>
          <w:lang w:val="en-US"/>
        </w:rPr>
        <w:t>e.g.,</w:t>
      </w:r>
      <w:r w:rsidRPr="000E5FBF">
        <w:rPr>
          <w:rFonts w:eastAsia="Batang"/>
          <w:b/>
          <w:bCs/>
          <w:i/>
          <w:iCs/>
          <w:lang w:val="en-US"/>
        </w:rPr>
        <w:t xml:space="preserve"> MAC-CE) to report the desired beams (</w:t>
      </w:r>
      <w:r w:rsidR="24B93A8E" w:rsidRPr="000E5FBF">
        <w:rPr>
          <w:rFonts w:eastAsia="Batang"/>
          <w:b/>
          <w:bCs/>
          <w:i/>
          <w:iCs/>
          <w:lang w:val="en-US"/>
        </w:rPr>
        <w:t>e.g.,</w:t>
      </w:r>
      <w:r w:rsidRPr="000E5FBF">
        <w:rPr>
          <w:rFonts w:eastAsia="Batang"/>
          <w:b/>
          <w:bCs/>
          <w:i/>
          <w:iCs/>
          <w:lang w:val="en-US"/>
        </w:rPr>
        <w:t xml:space="preserve"> a sub-set of TCI states from the activated TCI states of PDCCH/PDSCH) for the IAB-MT to support SDM/FDM operation. </w:t>
      </w:r>
    </w:p>
    <w:p w14:paraId="196E9682" w14:textId="77777777" w:rsidR="00D72385" w:rsidRDefault="00D72385" w:rsidP="009341BC">
      <w:pPr>
        <w:pStyle w:val="ListParagraph"/>
        <w:numPr>
          <w:ilvl w:val="0"/>
          <w:numId w:val="83"/>
        </w:numPr>
        <w:ind w:left="1560" w:hanging="426"/>
        <w:jc w:val="both"/>
        <w:rPr>
          <w:rFonts w:eastAsia="Batang"/>
          <w:b/>
          <w:bCs/>
          <w:sz w:val="20"/>
          <w:szCs w:val="20"/>
          <w:lang w:val="en-US"/>
        </w:rPr>
      </w:pPr>
      <w:r w:rsidRPr="000E5FBF">
        <w:rPr>
          <w:rFonts w:eastAsia="Batang"/>
          <w:b/>
          <w:bCs/>
          <w:i/>
          <w:iCs/>
          <w:sz w:val="20"/>
          <w:szCs w:val="20"/>
          <w:lang w:val="en-US"/>
        </w:rPr>
        <w:t>Note: the same enhancement is being discussed within resource multiplexing, and RAN1 should support unified design than defining different solutions.</w:t>
      </w:r>
      <w:r w:rsidRPr="61F632BB">
        <w:rPr>
          <w:rFonts w:eastAsia="Batang"/>
          <w:b/>
          <w:bCs/>
          <w:sz w:val="20"/>
          <w:szCs w:val="20"/>
          <w:lang w:val="en-US"/>
        </w:rPr>
        <w:t xml:space="preserve"> </w:t>
      </w:r>
    </w:p>
    <w:p w14:paraId="5EEECCF0" w14:textId="77777777" w:rsidR="004102EC" w:rsidRDefault="004102EC" w:rsidP="00D177F3">
      <w:pPr>
        <w:rPr>
          <w:lang w:val="en-US"/>
        </w:rPr>
      </w:pPr>
    </w:p>
    <w:p w14:paraId="3CC37254" w14:textId="49F5FD60" w:rsidR="00D177F3" w:rsidRPr="00425A14" w:rsidRDefault="00D177F3" w:rsidP="61F632BB">
      <w:pPr>
        <w:pStyle w:val="Heading1"/>
        <w:rPr>
          <w:lang w:val="en-US"/>
        </w:rPr>
      </w:pPr>
      <w:r w:rsidRPr="61F632BB">
        <w:rPr>
          <w:lang w:val="en-US"/>
        </w:rPr>
        <w:t>5</w:t>
      </w:r>
      <w:r>
        <w:tab/>
      </w:r>
      <w:r w:rsidRPr="61F632BB">
        <w:rPr>
          <w:lang w:val="en-US"/>
        </w:rPr>
        <w:t>Conclusions</w:t>
      </w:r>
    </w:p>
    <w:p w14:paraId="4D986555" w14:textId="6EB43D13" w:rsidR="00C33AF4" w:rsidRPr="003669FF" w:rsidRDefault="00C33AF4" w:rsidP="00C33AF4">
      <w:pPr>
        <w:rPr>
          <w:lang w:val="en-US"/>
        </w:rPr>
      </w:pPr>
      <w:r w:rsidRPr="003669FF">
        <w:rPr>
          <w:lang w:val="en-US"/>
        </w:rPr>
        <w:t xml:space="preserve">Our observations and proposals on </w:t>
      </w:r>
      <w:r>
        <w:rPr>
          <w:lang w:val="en-US"/>
        </w:rPr>
        <w:t>timing options</w:t>
      </w:r>
      <w:r w:rsidRPr="003669FF">
        <w:rPr>
          <w:lang w:val="en-US"/>
        </w:rPr>
        <w:t xml:space="preserve"> are:</w:t>
      </w:r>
    </w:p>
    <w:p w14:paraId="576EC083" w14:textId="1334735C" w:rsidR="007958DD" w:rsidRDefault="007958DD" w:rsidP="007958DD">
      <w:pPr>
        <w:overflowPunct/>
        <w:autoSpaceDE/>
        <w:autoSpaceDN/>
        <w:adjustRightInd/>
        <w:spacing w:before="100" w:beforeAutospacing="1" w:after="100" w:afterAutospacing="1"/>
        <w:ind w:left="1418" w:hanging="1418"/>
        <w:jc w:val="both"/>
        <w:rPr>
          <w:rFonts w:eastAsia="Times New Roman"/>
          <w:b/>
          <w:bCs/>
          <w:i/>
          <w:iCs/>
          <w:lang w:val="en-US"/>
        </w:rPr>
      </w:pPr>
      <w:r w:rsidRPr="61F632BB">
        <w:rPr>
          <w:rFonts w:eastAsia="Times New Roman"/>
          <w:b/>
          <w:bCs/>
          <w:i/>
          <w:iCs/>
          <w:lang w:val="en-US"/>
        </w:rPr>
        <w:t xml:space="preserve">Observation 2.1: An IAB node DU DL Tx timing is the same in all the timing modes. The discussion on switching of timing modes is required only for the case where different UL Tx timing for IAB MT is applied, which can be generalized as switching between legacy UL Tx timing vs Case #6 UL timing. </w:t>
      </w:r>
    </w:p>
    <w:p w14:paraId="15E07C4F" w14:textId="017645BF" w:rsidR="007958DD" w:rsidRDefault="007958DD" w:rsidP="007958DD">
      <w:pPr>
        <w:overflowPunct/>
        <w:autoSpaceDE/>
        <w:autoSpaceDN/>
        <w:adjustRightInd/>
        <w:spacing w:before="100" w:beforeAutospacing="1" w:after="100" w:afterAutospacing="1"/>
        <w:ind w:left="1134" w:hanging="1134"/>
        <w:jc w:val="both"/>
        <w:rPr>
          <w:rFonts w:eastAsia="Times New Roman"/>
          <w:b/>
          <w:bCs/>
          <w:i/>
          <w:iCs/>
          <w:lang w:val="en-US"/>
        </w:rPr>
      </w:pPr>
      <w:r w:rsidRPr="61F632BB">
        <w:rPr>
          <w:rFonts w:eastAsia="Times New Roman"/>
          <w:b/>
          <w:bCs/>
          <w:i/>
          <w:iCs/>
          <w:lang w:val="en-US"/>
        </w:rPr>
        <w:lastRenderedPageBreak/>
        <w:t>Proposal 2.1: An IAB node should be explicitly configured to use either case #1 or case #6 timing when operating in either SDM or FDM modes.</w:t>
      </w:r>
    </w:p>
    <w:p w14:paraId="0C8BCE13" w14:textId="77777777" w:rsidR="007958DD" w:rsidRPr="007958DD" w:rsidRDefault="007958DD" w:rsidP="007958DD">
      <w:pPr>
        <w:spacing w:after="0"/>
        <w:jc w:val="both"/>
        <w:rPr>
          <w:b/>
          <w:bCs/>
          <w:i/>
          <w:iCs/>
          <w:lang w:val="en-US"/>
        </w:rPr>
      </w:pPr>
      <w:r w:rsidRPr="007958DD">
        <w:rPr>
          <w:b/>
          <w:bCs/>
          <w:i/>
          <w:iCs/>
          <w:lang w:val="en-US"/>
        </w:rPr>
        <w:t xml:space="preserve">Observation 2.2: </w:t>
      </w:r>
    </w:p>
    <w:p w14:paraId="6A6D69E8" w14:textId="77777777" w:rsidR="007958DD" w:rsidRPr="007958DD" w:rsidRDefault="007958DD" w:rsidP="007958DD">
      <w:pPr>
        <w:pStyle w:val="ListParagraph"/>
        <w:numPr>
          <w:ilvl w:val="0"/>
          <w:numId w:val="82"/>
        </w:numPr>
        <w:jc w:val="both"/>
        <w:rPr>
          <w:b/>
          <w:bCs/>
          <w:i/>
          <w:iCs/>
          <w:sz w:val="20"/>
          <w:szCs w:val="20"/>
          <w:lang w:val="en-US"/>
        </w:rPr>
      </w:pPr>
      <w:r w:rsidRPr="007958DD">
        <w:rPr>
          <w:b/>
          <w:bCs/>
          <w:i/>
          <w:iCs/>
          <w:sz w:val="20"/>
          <w:szCs w:val="20"/>
          <w:lang w:val="en-US"/>
        </w:rPr>
        <w:t xml:space="preserve">Relying on Rel-16 OTA synchronization to maintain Case #6 timing assumes that there are frequent enough TA samples (MT transmissions with Case #1 timing). Depending on the operation mode, UL transmissions with Case #1 timing might be needed just for TA determination. </w:t>
      </w:r>
    </w:p>
    <w:p w14:paraId="0284D7EB" w14:textId="77777777" w:rsidR="007958DD" w:rsidRPr="007958DD" w:rsidRDefault="007958DD" w:rsidP="007958DD">
      <w:pPr>
        <w:pStyle w:val="ListParagraph"/>
        <w:numPr>
          <w:ilvl w:val="0"/>
          <w:numId w:val="82"/>
        </w:numPr>
        <w:jc w:val="both"/>
        <w:rPr>
          <w:b/>
          <w:bCs/>
          <w:i/>
          <w:iCs/>
          <w:lang w:val="en-US"/>
        </w:rPr>
      </w:pPr>
      <w:r w:rsidRPr="007958DD">
        <w:rPr>
          <w:b/>
          <w:bCs/>
          <w:i/>
          <w:iCs/>
          <w:sz w:val="20"/>
          <w:szCs w:val="20"/>
          <w:lang w:val="en-US"/>
        </w:rPr>
        <w:t xml:space="preserve">Case#1 timing can be derived from the propagation delay without TA control loop. </w:t>
      </w:r>
    </w:p>
    <w:p w14:paraId="3D5BFA15" w14:textId="77777777" w:rsidR="007958DD" w:rsidRPr="007958DD" w:rsidRDefault="007958DD" w:rsidP="007958DD">
      <w:pPr>
        <w:pStyle w:val="ListParagraph"/>
        <w:numPr>
          <w:ilvl w:val="0"/>
          <w:numId w:val="82"/>
        </w:numPr>
        <w:jc w:val="both"/>
        <w:rPr>
          <w:b/>
          <w:bCs/>
          <w:i/>
          <w:iCs/>
          <w:lang w:val="en-US"/>
        </w:rPr>
      </w:pPr>
      <w:r w:rsidRPr="007958DD">
        <w:rPr>
          <w:b/>
          <w:bCs/>
          <w:i/>
          <w:iCs/>
          <w:sz w:val="20"/>
          <w:szCs w:val="20"/>
          <w:lang w:val="en-US"/>
        </w:rPr>
        <w:t>The specification impact when introducing new timing information to support Case #6 timing mode is minimal as most of the design and signaling of Case #1 can be reused. E.g., the timing delta MAC CE may carry the time offset signaling of Alt. 2 for Case #6 timing derivation.</w:t>
      </w:r>
    </w:p>
    <w:p w14:paraId="171B5D41" w14:textId="7C664B6A" w:rsidR="007958DD" w:rsidRPr="007958DD" w:rsidRDefault="007958DD" w:rsidP="007958DD">
      <w:pPr>
        <w:overflowPunct/>
        <w:autoSpaceDE/>
        <w:autoSpaceDN/>
        <w:adjustRightInd/>
        <w:spacing w:before="100" w:beforeAutospacing="1" w:after="0"/>
        <w:jc w:val="both"/>
        <w:rPr>
          <w:rFonts w:eastAsia="Times New Roman"/>
          <w:i/>
          <w:iCs/>
          <w:sz w:val="24"/>
          <w:szCs w:val="24"/>
          <w:lang w:val="en-US"/>
        </w:rPr>
      </w:pPr>
      <w:r w:rsidRPr="007958DD">
        <w:rPr>
          <w:rFonts w:eastAsia="Times New Roman"/>
          <w:b/>
          <w:bCs/>
          <w:i/>
          <w:iCs/>
          <w:lang w:val="en-US"/>
        </w:rPr>
        <w:t>Proposal 2.2: The following shall be supported for Case #6 timing.</w:t>
      </w:r>
    </w:p>
    <w:p w14:paraId="0FD54020" w14:textId="77777777" w:rsidR="007958DD" w:rsidRPr="007958DD" w:rsidRDefault="007958DD" w:rsidP="007958DD">
      <w:pPr>
        <w:numPr>
          <w:ilvl w:val="0"/>
          <w:numId w:val="75"/>
        </w:numPr>
        <w:overflowPunct/>
        <w:autoSpaceDE/>
        <w:autoSpaceDN/>
        <w:adjustRightInd/>
        <w:spacing w:before="100" w:beforeAutospacing="1" w:after="100" w:afterAutospacing="1"/>
        <w:ind w:left="567" w:hanging="246"/>
        <w:jc w:val="both"/>
        <w:rPr>
          <w:rFonts w:ascii="Malgun Gothic" w:eastAsia="Malgun Gothic" w:hAnsi="Malgun Gothic"/>
          <w:i/>
          <w:iCs/>
          <w:sz w:val="22"/>
          <w:szCs w:val="22"/>
          <w:lang w:val="en-US"/>
        </w:rPr>
      </w:pPr>
      <w:r w:rsidRPr="007958DD">
        <w:rPr>
          <w:rFonts w:eastAsia="Malgun Gothic"/>
          <w:b/>
          <w:bCs/>
          <w:i/>
          <w:iCs/>
          <w:lang w:val="en-US"/>
        </w:rPr>
        <w:t xml:space="preserve">Signaling the time difference of the DL Tx and UL Rx timing at the parent node </w:t>
      </w:r>
      <w:proofErr w:type="gramStart"/>
      <w:r w:rsidRPr="007958DD">
        <w:rPr>
          <w:rFonts w:eastAsia="Malgun Gothic"/>
          <w:b/>
          <w:bCs/>
          <w:i/>
          <w:iCs/>
          <w:lang w:val="en-US"/>
        </w:rPr>
        <w:t>in order to</w:t>
      </w:r>
      <w:proofErr w:type="gramEnd"/>
      <w:r w:rsidRPr="007958DD">
        <w:rPr>
          <w:rFonts w:eastAsia="Malgun Gothic"/>
          <w:b/>
          <w:bCs/>
          <w:i/>
          <w:iCs/>
          <w:lang w:val="en-US"/>
        </w:rPr>
        <w:t xml:space="preserve"> correct potential misalignment of the DL Tx timing at the child node</w:t>
      </w:r>
      <w:r w:rsidRPr="007958DD">
        <w:rPr>
          <w:rFonts w:ascii="Malgun Gothic" w:eastAsia="Malgun Gothic" w:hAnsi="Malgun Gothic"/>
          <w:b/>
          <w:bCs/>
          <w:i/>
          <w:iCs/>
          <w:lang w:val="en-US"/>
        </w:rPr>
        <w:t xml:space="preserve"> </w:t>
      </w:r>
      <w:r w:rsidRPr="007958DD">
        <w:rPr>
          <w:rFonts w:eastAsia="Malgun Gothic"/>
          <w:b/>
          <w:bCs/>
          <w:i/>
          <w:iCs/>
          <w:lang w:val="en-US"/>
        </w:rPr>
        <w:t>(Alt.2 agreed for Case #6 in the Rel-16 IAB SI)</w:t>
      </w:r>
      <w:r w:rsidRPr="007958DD">
        <w:rPr>
          <w:rFonts w:ascii="Malgun Gothic" w:eastAsia="Malgun Gothic" w:hAnsi="Malgun Gothic"/>
          <w:b/>
          <w:bCs/>
          <w:i/>
          <w:iCs/>
          <w:lang w:val="en-US"/>
        </w:rPr>
        <w:t>. </w:t>
      </w:r>
      <w:r w:rsidRPr="007958DD">
        <w:rPr>
          <w:rFonts w:ascii="Malgun Gothic" w:eastAsia="Malgun Gothic" w:hAnsi="Malgun Gothic"/>
          <w:i/>
          <w:iCs/>
          <w:lang w:val="en-US"/>
        </w:rPr>
        <w:t> </w:t>
      </w:r>
    </w:p>
    <w:p w14:paraId="0309BB9F" w14:textId="77777777" w:rsidR="007958DD" w:rsidRPr="007958DD" w:rsidRDefault="007958DD" w:rsidP="007958DD">
      <w:pPr>
        <w:numPr>
          <w:ilvl w:val="0"/>
          <w:numId w:val="75"/>
        </w:numPr>
        <w:overflowPunct/>
        <w:autoSpaceDE/>
        <w:autoSpaceDN/>
        <w:adjustRightInd/>
        <w:spacing w:before="100" w:beforeAutospacing="1" w:after="100" w:afterAutospacing="1"/>
        <w:ind w:left="567" w:hanging="246"/>
        <w:jc w:val="both"/>
        <w:rPr>
          <w:rFonts w:ascii="Malgun Gothic" w:eastAsia="Malgun Gothic" w:hAnsi="Malgun Gothic"/>
          <w:i/>
          <w:iCs/>
          <w:sz w:val="22"/>
          <w:szCs w:val="22"/>
          <w:lang w:val="en-US"/>
        </w:rPr>
      </w:pPr>
      <w:r w:rsidRPr="007958DD">
        <w:rPr>
          <w:rFonts w:eastAsia="Malgun Gothic"/>
          <w:b/>
          <w:bCs/>
          <w:i/>
          <w:iCs/>
          <w:lang w:val="en-US"/>
        </w:rPr>
        <w:t>Use the existing timing delta MAC-CE to indicate the time difference of the DL Tx and UL Rx timing at the parent node</w:t>
      </w:r>
      <w:r w:rsidRPr="007958DD">
        <w:rPr>
          <w:rFonts w:ascii="Malgun Gothic" w:eastAsia="Malgun Gothic" w:hAnsi="Malgun Gothic"/>
          <w:b/>
          <w:bCs/>
          <w:i/>
          <w:iCs/>
          <w:lang w:val="en-US"/>
        </w:rPr>
        <w:t>.</w:t>
      </w:r>
      <w:r w:rsidRPr="007958DD">
        <w:rPr>
          <w:rFonts w:ascii="Malgun Gothic" w:eastAsia="Malgun Gothic" w:hAnsi="Malgun Gothic"/>
          <w:i/>
          <w:iCs/>
          <w:lang w:val="en-US"/>
        </w:rPr>
        <w:t> </w:t>
      </w:r>
    </w:p>
    <w:p w14:paraId="276F7022" w14:textId="77777777" w:rsidR="007958DD" w:rsidRPr="007958DD" w:rsidRDefault="007958DD" w:rsidP="007958DD">
      <w:pPr>
        <w:numPr>
          <w:ilvl w:val="0"/>
          <w:numId w:val="75"/>
        </w:numPr>
        <w:overflowPunct/>
        <w:autoSpaceDE/>
        <w:autoSpaceDN/>
        <w:adjustRightInd/>
        <w:spacing w:before="100" w:beforeAutospacing="1" w:after="100" w:afterAutospacing="1"/>
        <w:ind w:left="567" w:hanging="246"/>
        <w:jc w:val="both"/>
        <w:rPr>
          <w:rFonts w:ascii="Malgun Gothic" w:eastAsia="Malgun Gothic" w:hAnsi="Malgun Gothic"/>
          <w:i/>
          <w:iCs/>
          <w:sz w:val="22"/>
          <w:szCs w:val="22"/>
          <w:lang w:val="en-US"/>
        </w:rPr>
      </w:pPr>
      <w:r w:rsidRPr="007958DD">
        <w:rPr>
          <w:rFonts w:eastAsia="Malgun Gothic"/>
          <w:b/>
          <w:bCs/>
          <w:i/>
          <w:iCs/>
          <w:lang w:val="en-US"/>
        </w:rPr>
        <w:t>FFS: Required range and granularity for the time difference of the DL Tx and UL Rx timing at the parent node</w:t>
      </w:r>
      <w:r w:rsidRPr="007958DD">
        <w:rPr>
          <w:rFonts w:ascii="Malgun Gothic" w:eastAsia="Malgun Gothic" w:hAnsi="Malgun Gothic"/>
          <w:b/>
          <w:bCs/>
          <w:i/>
          <w:iCs/>
          <w:lang w:val="en-US"/>
        </w:rPr>
        <w:t>. </w:t>
      </w:r>
      <w:r w:rsidRPr="007958DD">
        <w:rPr>
          <w:rFonts w:ascii="Malgun Gothic" w:eastAsia="Malgun Gothic" w:hAnsi="Malgun Gothic"/>
          <w:i/>
          <w:iCs/>
          <w:lang w:val="en-US"/>
        </w:rPr>
        <w:t> </w:t>
      </w:r>
    </w:p>
    <w:p w14:paraId="0A736488" w14:textId="4E9D7E46" w:rsidR="007958DD" w:rsidRDefault="007958DD" w:rsidP="007958DD">
      <w:pPr>
        <w:rPr>
          <w:b/>
          <w:bCs/>
          <w:i/>
          <w:iCs/>
          <w:lang w:val="en-US"/>
        </w:rPr>
      </w:pPr>
      <w:r w:rsidRPr="007958DD">
        <w:rPr>
          <w:b/>
          <w:bCs/>
          <w:i/>
          <w:iCs/>
          <w:lang w:val="en-US"/>
        </w:rPr>
        <w:t>Observation 2.3: Support of case #7 timing does not require enhanced OTA procedures</w:t>
      </w:r>
    </w:p>
    <w:p w14:paraId="6A15D527" w14:textId="6E1D85AC" w:rsidR="00C33AF4" w:rsidRPr="003669FF" w:rsidRDefault="00C33AF4" w:rsidP="00C33AF4">
      <w:pPr>
        <w:rPr>
          <w:lang w:val="en-US"/>
        </w:rPr>
      </w:pPr>
      <w:r w:rsidRPr="003669FF">
        <w:rPr>
          <w:lang w:val="en-US"/>
        </w:rPr>
        <w:t xml:space="preserve">Our observations and proposals on </w:t>
      </w:r>
      <w:r>
        <w:rPr>
          <w:lang w:val="en-US"/>
        </w:rPr>
        <w:t>interference management</w:t>
      </w:r>
      <w:r w:rsidRPr="003669FF">
        <w:rPr>
          <w:lang w:val="en-US"/>
        </w:rPr>
        <w:t xml:space="preserve"> are:</w:t>
      </w:r>
    </w:p>
    <w:p w14:paraId="4E7FEE73" w14:textId="77777777" w:rsidR="007958DD" w:rsidRDefault="007958DD" w:rsidP="007958DD">
      <w:pPr>
        <w:overflowPunct/>
        <w:autoSpaceDE/>
        <w:autoSpaceDN/>
        <w:adjustRightInd/>
        <w:spacing w:before="100" w:beforeAutospacing="1" w:after="100" w:afterAutospacing="1"/>
        <w:ind w:left="1134" w:hanging="1134"/>
        <w:jc w:val="both"/>
        <w:rPr>
          <w:rFonts w:eastAsia="Batang" w:cs="Times"/>
          <w:b/>
          <w:bCs/>
          <w:i/>
          <w:iCs/>
          <w:lang w:val="en-US"/>
        </w:rPr>
      </w:pPr>
      <w:r w:rsidRPr="61F632BB">
        <w:rPr>
          <w:rFonts w:eastAsia="Batang" w:cs="Times"/>
          <w:b/>
          <w:bCs/>
          <w:i/>
          <w:iCs/>
          <w:lang w:val="en-US"/>
        </w:rPr>
        <w:t xml:space="preserve">Proposal 3.1: </w:t>
      </w:r>
      <w:proofErr w:type="spellStart"/>
      <w:r w:rsidRPr="61F632BB">
        <w:rPr>
          <w:rFonts w:eastAsia="Batang" w:cs="Times"/>
          <w:b/>
          <w:bCs/>
          <w:i/>
          <w:iCs/>
          <w:lang w:val="en-US"/>
        </w:rPr>
        <w:t>Downselect</w:t>
      </w:r>
      <w:proofErr w:type="spellEnd"/>
      <w:r w:rsidRPr="61F632BB">
        <w:rPr>
          <w:rFonts w:eastAsia="Batang" w:cs="Times"/>
          <w:b/>
          <w:bCs/>
          <w:i/>
          <w:iCs/>
          <w:lang w:val="en-US"/>
        </w:rPr>
        <w:t xml:space="preserve"> to option 1.1 and option 2.1 from agreement made regarding DU-to-DU CLI measurement and reporting in RAN1 #104-e</w:t>
      </w:r>
    </w:p>
    <w:p w14:paraId="1CEB9C54" w14:textId="77777777" w:rsidR="007958DD" w:rsidRDefault="007958DD" w:rsidP="007958DD">
      <w:pPr>
        <w:rPr>
          <w:b/>
          <w:bCs/>
          <w:i/>
          <w:iCs/>
          <w:lang w:val="en-US"/>
        </w:rPr>
      </w:pPr>
      <w:r w:rsidRPr="61F632BB">
        <w:rPr>
          <w:b/>
          <w:bCs/>
          <w:i/>
          <w:iCs/>
          <w:lang w:val="en-US"/>
        </w:rPr>
        <w:t>Proposal 3.2: Support IAB node indicating beam usage/availability towards its child node.</w:t>
      </w:r>
    </w:p>
    <w:p w14:paraId="315E5FBE" w14:textId="7D9E0806" w:rsidR="007958DD" w:rsidRDefault="007958DD" w:rsidP="007958DD">
      <w:pPr>
        <w:rPr>
          <w:b/>
          <w:bCs/>
          <w:i/>
          <w:iCs/>
          <w:lang w:val="en-US"/>
        </w:rPr>
      </w:pPr>
      <w:r w:rsidRPr="61F632BB">
        <w:rPr>
          <w:b/>
          <w:bCs/>
          <w:i/>
          <w:iCs/>
          <w:lang w:val="en-US"/>
        </w:rPr>
        <w:t>Proposal 3.3: Support IAB node indicating beam usage/availability towards its parent(s)</w:t>
      </w:r>
    </w:p>
    <w:p w14:paraId="434B62BB" w14:textId="24A1CFF9" w:rsidR="00C33AF4" w:rsidRPr="003669FF" w:rsidRDefault="00C33AF4" w:rsidP="00C33AF4">
      <w:pPr>
        <w:rPr>
          <w:lang w:val="en-US"/>
        </w:rPr>
      </w:pPr>
      <w:r w:rsidRPr="003669FF">
        <w:rPr>
          <w:lang w:val="en-US"/>
        </w:rPr>
        <w:t xml:space="preserve">Our observations and proposals on </w:t>
      </w:r>
      <w:r>
        <w:rPr>
          <w:lang w:val="en-US"/>
        </w:rPr>
        <w:t>power control</w:t>
      </w:r>
      <w:r w:rsidRPr="003669FF">
        <w:rPr>
          <w:lang w:val="en-US"/>
        </w:rPr>
        <w:t xml:space="preserve"> are:</w:t>
      </w:r>
    </w:p>
    <w:p w14:paraId="168455AF" w14:textId="77777777" w:rsidR="007958DD" w:rsidRPr="007F7667" w:rsidRDefault="007958DD" w:rsidP="007958DD">
      <w:pPr>
        <w:overflowPunct/>
        <w:autoSpaceDE/>
        <w:autoSpaceDN/>
        <w:adjustRightInd/>
        <w:spacing w:after="0"/>
        <w:ind w:left="1276" w:hanging="1276"/>
        <w:jc w:val="both"/>
        <w:rPr>
          <w:rFonts w:eastAsia="Times New Roman"/>
          <w:i/>
          <w:iCs/>
          <w:sz w:val="24"/>
          <w:szCs w:val="24"/>
          <w:lang w:val="en-US"/>
        </w:rPr>
      </w:pPr>
      <w:r w:rsidRPr="61F632BB">
        <w:rPr>
          <w:rFonts w:eastAsia="Times New Roman"/>
          <w:b/>
          <w:bCs/>
          <w:i/>
          <w:iCs/>
          <w:lang w:val="en-US"/>
        </w:rPr>
        <w:t>Proposal 4.1: For simultaneous Tx operation at the IAB node, the power control mechanism shall consider the following</w:t>
      </w:r>
      <w:r w:rsidRPr="61F632BB">
        <w:rPr>
          <w:rFonts w:ascii="Batang" w:eastAsia="Batang" w:hAnsi="Batang"/>
          <w:b/>
          <w:bCs/>
          <w:i/>
          <w:iCs/>
          <w:lang w:val="en-US"/>
        </w:rPr>
        <w:t>: </w:t>
      </w:r>
      <w:r w:rsidRPr="61F632BB">
        <w:rPr>
          <w:rFonts w:ascii="Batang" w:eastAsia="Batang" w:hAnsi="Batang"/>
          <w:i/>
          <w:iCs/>
          <w:lang w:val="en-US"/>
        </w:rPr>
        <w:t> </w:t>
      </w:r>
    </w:p>
    <w:p w14:paraId="6DD7E32D" w14:textId="77777777" w:rsidR="007958DD" w:rsidRPr="007F7667" w:rsidRDefault="007958DD" w:rsidP="007958DD">
      <w:pPr>
        <w:numPr>
          <w:ilvl w:val="0"/>
          <w:numId w:val="78"/>
        </w:numPr>
        <w:overflowPunct/>
        <w:autoSpaceDE/>
        <w:autoSpaceDN/>
        <w:adjustRightInd/>
        <w:spacing w:after="0"/>
        <w:ind w:left="1440" w:hanging="306"/>
        <w:jc w:val="both"/>
        <w:rPr>
          <w:rFonts w:ascii="Batang" w:eastAsia="Batang" w:hAnsi="Batang"/>
          <w:i/>
          <w:iCs/>
          <w:lang w:val="en-US"/>
        </w:rPr>
      </w:pPr>
      <w:r w:rsidRPr="61F632BB">
        <w:rPr>
          <w:rFonts w:eastAsia="Batang"/>
          <w:b/>
          <w:bCs/>
          <w:i/>
          <w:iCs/>
          <w:lang w:val="en-US"/>
        </w:rPr>
        <w:t>IAB-node may report via capability signaling the IAB-MT operating power range/limits when IAB node is supported with FDM or SDM mode.</w:t>
      </w:r>
      <w:r w:rsidRPr="61F632BB">
        <w:rPr>
          <w:rFonts w:eastAsia="Batang"/>
          <w:i/>
          <w:iCs/>
          <w:lang w:val="en-US"/>
        </w:rPr>
        <w:t> </w:t>
      </w:r>
    </w:p>
    <w:p w14:paraId="0E3335EE" w14:textId="77777777" w:rsidR="007958DD" w:rsidRPr="007F7667" w:rsidRDefault="007958DD" w:rsidP="007958DD">
      <w:pPr>
        <w:numPr>
          <w:ilvl w:val="0"/>
          <w:numId w:val="78"/>
        </w:numPr>
        <w:overflowPunct/>
        <w:autoSpaceDE/>
        <w:autoSpaceDN/>
        <w:adjustRightInd/>
        <w:spacing w:after="0"/>
        <w:ind w:left="1440" w:hanging="306"/>
        <w:jc w:val="both"/>
        <w:rPr>
          <w:rFonts w:ascii="Batang" w:eastAsia="Batang" w:hAnsi="Batang"/>
          <w:i/>
          <w:iCs/>
          <w:lang w:val="en-US"/>
        </w:rPr>
      </w:pPr>
      <w:r w:rsidRPr="61F632BB">
        <w:rPr>
          <w:rFonts w:eastAsia="Batang"/>
          <w:b/>
          <w:bCs/>
          <w:i/>
          <w:iCs/>
          <w:lang w:val="en-US"/>
        </w:rPr>
        <w:t>Use the existing power control mechanism by the parent to minimize power imbalance instances (no spec impact)</w:t>
      </w:r>
      <w:r w:rsidRPr="61F632BB">
        <w:rPr>
          <w:rFonts w:eastAsia="Batang"/>
          <w:i/>
          <w:iCs/>
          <w:lang w:val="en-US"/>
        </w:rPr>
        <w:t> </w:t>
      </w:r>
    </w:p>
    <w:p w14:paraId="06B4925E" w14:textId="77777777" w:rsidR="007958DD" w:rsidRPr="007958DD" w:rsidRDefault="007958DD" w:rsidP="007958DD">
      <w:pPr>
        <w:spacing w:beforeAutospacing="1" w:after="0" w:afterAutospacing="1"/>
        <w:ind w:left="1134" w:hanging="1134"/>
        <w:jc w:val="both"/>
        <w:rPr>
          <w:rFonts w:eastAsia="Batang"/>
          <w:b/>
          <w:bCs/>
          <w:i/>
          <w:iCs/>
          <w:lang w:val="en-US"/>
        </w:rPr>
      </w:pPr>
      <w:r w:rsidRPr="007958DD">
        <w:rPr>
          <w:rFonts w:eastAsia="Batang"/>
          <w:b/>
          <w:bCs/>
          <w:i/>
          <w:iCs/>
          <w:lang w:val="en-US"/>
        </w:rPr>
        <w:t xml:space="preserve">Proposal 4.2: For SDM and FDM Rx operation (DU Rx and MT Rx), support the IAB node indicating towards the parent node about the changes of active beams used for MT reception by introducing signaling (e.g., MAC-CE) to report the desired beams (e.g., a sub-set of TCI states from the activated TCI states of PDCCH/PDSCH) for the IAB-MT to support SDM/FDM operation. </w:t>
      </w:r>
    </w:p>
    <w:p w14:paraId="69EF04D8" w14:textId="585FD618" w:rsidR="007958DD" w:rsidRPr="007958DD" w:rsidRDefault="007958DD" w:rsidP="007958DD">
      <w:pPr>
        <w:pStyle w:val="ListParagraph"/>
        <w:numPr>
          <w:ilvl w:val="0"/>
          <w:numId w:val="83"/>
        </w:numPr>
        <w:ind w:left="1418" w:hanging="284"/>
        <w:rPr>
          <w:b/>
          <w:bCs/>
          <w:i/>
          <w:iCs/>
          <w:sz w:val="20"/>
          <w:szCs w:val="20"/>
          <w:lang w:val="en-US"/>
        </w:rPr>
      </w:pPr>
      <w:r w:rsidRPr="007958DD">
        <w:rPr>
          <w:rFonts w:eastAsia="Batang"/>
          <w:b/>
          <w:bCs/>
          <w:i/>
          <w:iCs/>
          <w:sz w:val="20"/>
          <w:szCs w:val="20"/>
          <w:lang w:val="en-US"/>
        </w:rPr>
        <w:t>Note: the same enhancement is being discussed within resource multiplexing, and RAN1 should support unified design than defining different solutions.</w:t>
      </w:r>
    </w:p>
    <w:p w14:paraId="0993833E" w14:textId="6AC4E942" w:rsidR="00514CEA" w:rsidRPr="00173827" w:rsidRDefault="0091650D" w:rsidP="007958DD">
      <w:pPr>
        <w:pStyle w:val="3GPPNormalText"/>
      </w:pPr>
      <w:r w:rsidRPr="61F632BB">
        <w:t xml:space="preserve">   </w:t>
      </w:r>
      <w:r w:rsidR="00774187" w:rsidRPr="61F632BB">
        <w:t xml:space="preserve"> </w:t>
      </w:r>
      <w:r w:rsidR="0032759E" w:rsidRPr="61F632BB">
        <w:t xml:space="preserve">  </w:t>
      </w:r>
      <w:r w:rsidR="00885FA7" w:rsidRPr="61F632BB">
        <w:t xml:space="preserve"> </w:t>
      </w:r>
    </w:p>
    <w:p w14:paraId="43166400" w14:textId="4D071F74" w:rsidR="00D0094C" w:rsidRDefault="00D0094C" w:rsidP="000B0C59">
      <w:pPr>
        <w:overflowPunct/>
        <w:autoSpaceDE/>
        <w:autoSpaceDN/>
        <w:adjustRightInd/>
        <w:spacing w:after="0"/>
        <w:contextualSpacing/>
        <w:jc w:val="both"/>
        <w:rPr>
          <w:lang w:val="en-US"/>
        </w:rPr>
      </w:pPr>
    </w:p>
    <w:p w14:paraId="5575AB1C" w14:textId="77777777" w:rsidR="005A4B81" w:rsidRDefault="005A4B81">
      <w:pPr>
        <w:overflowPunct/>
        <w:autoSpaceDE/>
        <w:autoSpaceDN/>
        <w:adjustRightInd/>
        <w:spacing w:after="0"/>
        <w:textAlignment w:val="auto"/>
        <w:rPr>
          <w:rFonts w:ascii="Arial" w:hAnsi="Arial"/>
          <w:sz w:val="36"/>
          <w:lang w:val="en-US"/>
        </w:rPr>
      </w:pPr>
      <w:r>
        <w:rPr>
          <w:lang w:val="en-US"/>
        </w:rPr>
        <w:br w:type="page"/>
      </w:r>
    </w:p>
    <w:p w14:paraId="1AA2E7FF" w14:textId="7B8C6E70" w:rsidR="00D26766" w:rsidRPr="008B0FE9" w:rsidRDefault="009865D5" w:rsidP="009865D5">
      <w:pPr>
        <w:pStyle w:val="Heading1"/>
        <w:rPr>
          <w:sz w:val="24"/>
          <w:szCs w:val="24"/>
          <w:lang w:val="en-US"/>
        </w:rPr>
      </w:pPr>
      <w:r>
        <w:rPr>
          <w:lang w:val="en-US"/>
        </w:rPr>
        <w:lastRenderedPageBreak/>
        <w:t>References</w:t>
      </w:r>
    </w:p>
    <w:p w14:paraId="76AAD0C3" w14:textId="76A24C13"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 xml:space="preserve">RP-193251, </w:t>
      </w:r>
      <w:r w:rsidRPr="005A4B81">
        <w:rPr>
          <w:rFonts w:eastAsia="Times New Roman"/>
          <w:i/>
          <w:iCs/>
          <w:sz w:val="20"/>
          <w:szCs w:val="20"/>
          <w:lang w:val="en-US" w:eastAsia="en-US"/>
        </w:rPr>
        <w:t>New WID on Enhancements to Integrated Access and Backhaul</w:t>
      </w:r>
      <w:r w:rsidRPr="005A4B81">
        <w:rPr>
          <w:rFonts w:eastAsia="Times New Roman"/>
          <w:sz w:val="20"/>
          <w:szCs w:val="20"/>
          <w:lang w:val="en-US" w:eastAsia="en-US"/>
        </w:rPr>
        <w:t>. </w:t>
      </w:r>
    </w:p>
    <w:p w14:paraId="4B4D74F4" w14:textId="1E9A80F0" w:rsidR="004A0AC9" w:rsidRPr="005A4B81" w:rsidRDefault="004A0AC9"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 xml:space="preserve">TR 38.874, </w:t>
      </w:r>
      <w:r w:rsidRPr="005A4B81">
        <w:rPr>
          <w:rFonts w:eastAsia="Times New Roman"/>
          <w:i/>
          <w:iCs/>
          <w:sz w:val="20"/>
          <w:szCs w:val="20"/>
          <w:lang w:val="en-US" w:eastAsia="en-US"/>
        </w:rPr>
        <w:t>Study on Integrated Access and Backhaul</w:t>
      </w:r>
    </w:p>
    <w:p w14:paraId="1217D2B6"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Chairman’s notes RAN1#102-e </w:t>
      </w:r>
    </w:p>
    <w:p w14:paraId="36FB4BFC"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R1-2007241, Summary #1 of [102-e-NR-eIAB-01], Moderator (AT&amp;T) </w:t>
      </w:r>
    </w:p>
    <w:p w14:paraId="619EE168"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R1-2007322, Summary #2 of [102-e-NR-eIAB-01], Moderator (AT&amp;T) </w:t>
      </w:r>
    </w:p>
    <w:p w14:paraId="273A2AF9"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R1-2007287, Summary of [102-e-NR-eIAB-02], Moderator (Qualcomm) </w:t>
      </w:r>
    </w:p>
    <w:p w14:paraId="7D8F6446"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R1-2007352, Summary #3 of [102-e-NR-eIAB-02], Moderator (Qualcomm) </w:t>
      </w:r>
    </w:p>
    <w:p w14:paraId="0106DF20"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Chairman’s notes RAN1#103-e </w:t>
      </w:r>
    </w:p>
    <w:p w14:paraId="7FAA6E51"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R1-2009604 Summary #1 of [103-e-NR-eIAB-01] Moderator (AT&amp;T) </w:t>
      </w:r>
    </w:p>
    <w:p w14:paraId="48571343"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R1-2009567 Summary #1 of [103-e-NR-eIAB-02] Moderator (Qualcomm Incorporated) </w:t>
      </w:r>
    </w:p>
    <w:p w14:paraId="4F8ABDB1"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R1-2101878 Summary #1 of [104-e-NR-eIAB-02] on other enhancements for simultaneous operation of IAB-node’s child and parent links Moderator (Qualcomm) </w:t>
      </w:r>
    </w:p>
    <w:p w14:paraId="189C0CAA"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R1-2101889 Summary of [104-e-NR-eIAB-01] – 1st Checkpoint Moderator (AT&amp;T) </w:t>
      </w:r>
    </w:p>
    <w:p w14:paraId="359E95AC"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R1-2101890 Summary of [104-e-NR-eIAB-01] – 2nd Checkpoint Moderator (AT&amp;T) </w:t>
      </w:r>
    </w:p>
    <w:p w14:paraId="1FE0BF01"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R1-2101891 Summary of [104-e-NR-eIAB-01] – 3rd Checkpoint Moderator (AT&amp;T) </w:t>
      </w:r>
    </w:p>
    <w:p w14:paraId="0C0C42D6"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R1-2101909 Summary #2 of [104-e-NR-eIAB-02] on other enhancements for simultaneous operation of IAB-node’s child and parent links Moderator (Qualcomm) </w:t>
      </w:r>
    </w:p>
    <w:p w14:paraId="4D6CCB6E" w14:textId="77777777" w:rsidR="00D26766" w:rsidRPr="005A4B81" w:rsidRDefault="00D26766" w:rsidP="00EE6CF6">
      <w:pPr>
        <w:pStyle w:val="ListParagraph"/>
        <w:numPr>
          <w:ilvl w:val="0"/>
          <w:numId w:val="63"/>
        </w:numPr>
        <w:ind w:left="567" w:hanging="567"/>
        <w:rPr>
          <w:rFonts w:eastAsia="Times New Roman"/>
          <w:sz w:val="20"/>
          <w:szCs w:val="20"/>
          <w:lang w:val="en-US" w:eastAsia="en-US"/>
        </w:rPr>
      </w:pPr>
      <w:r w:rsidRPr="005A4B81">
        <w:rPr>
          <w:rFonts w:eastAsia="Times New Roman"/>
          <w:sz w:val="20"/>
          <w:szCs w:val="20"/>
          <w:lang w:val="en-US" w:eastAsia="en-US"/>
        </w:rPr>
        <w:t>R1-2102031 Summary #3 of [104-e-NR-eIAB-02] on other enhancements for simultaneous operation of IAB-node’s child and parent links Moderator (Qualcomm) </w:t>
      </w:r>
    </w:p>
    <w:p w14:paraId="7785B7A5" w14:textId="621BBDE4" w:rsidR="00EE6CF6" w:rsidRPr="005A4B81" w:rsidRDefault="00EE6CF6" w:rsidP="00EE6CF6">
      <w:pPr>
        <w:pStyle w:val="ListParagraph"/>
        <w:numPr>
          <w:ilvl w:val="0"/>
          <w:numId w:val="63"/>
        </w:numPr>
        <w:ind w:left="567" w:hanging="567"/>
        <w:rPr>
          <w:rFonts w:eastAsia="Times New Roman"/>
          <w:i/>
          <w:iCs/>
          <w:sz w:val="20"/>
          <w:szCs w:val="20"/>
          <w:lang w:val="en-US"/>
        </w:rPr>
      </w:pPr>
      <w:r w:rsidRPr="005A4B81">
        <w:rPr>
          <w:rFonts w:eastAsia="Times New Roman"/>
          <w:sz w:val="20"/>
          <w:szCs w:val="20"/>
          <w:lang w:val="en-US" w:eastAsia="en-US"/>
        </w:rPr>
        <w:t xml:space="preserve">R1-2102172 Summary #4 of [104-e-NR-eIAB-02] on other enhancements for simultaneous operation of IAB-node’s child and parent links Moderator (Qualcomm) </w:t>
      </w:r>
    </w:p>
    <w:p w14:paraId="062B3E71" w14:textId="1B2863B4" w:rsidR="00BD479C" w:rsidRPr="005A4B81" w:rsidRDefault="00BD479C" w:rsidP="00EE6CF6">
      <w:pPr>
        <w:numPr>
          <w:ilvl w:val="0"/>
          <w:numId w:val="63"/>
        </w:numPr>
        <w:overflowPunct/>
        <w:autoSpaceDE/>
        <w:autoSpaceDN/>
        <w:adjustRightInd/>
        <w:spacing w:after="0"/>
        <w:ind w:left="567" w:hanging="567"/>
        <w:rPr>
          <w:rFonts w:eastAsia="Times New Roman"/>
          <w:i/>
          <w:iCs/>
          <w:lang w:val="en-US"/>
        </w:rPr>
      </w:pPr>
      <w:r w:rsidRPr="005A4B81">
        <w:rPr>
          <w:rFonts w:eastAsia="Times New Roman"/>
          <w:lang w:val="en-US"/>
        </w:rPr>
        <w:t xml:space="preserve">TS 38.213, </w:t>
      </w:r>
      <w:r w:rsidR="2787E27E" w:rsidRPr="005A4B81">
        <w:rPr>
          <w:rFonts w:eastAsia="Times New Roman"/>
          <w:i/>
          <w:iCs/>
          <w:lang w:val="en-US"/>
        </w:rPr>
        <w:t>NR Physical layer procedures for control</w:t>
      </w:r>
    </w:p>
    <w:p w14:paraId="63007405" w14:textId="7306D02C" w:rsidR="00D26766" w:rsidRDefault="00D26766" w:rsidP="00D177F3">
      <w:pPr>
        <w:pStyle w:val="Heading1"/>
        <w:rPr>
          <w:lang w:val="en-US"/>
        </w:rPr>
      </w:pPr>
      <w:r w:rsidRPr="61F632BB">
        <w:rPr>
          <w:lang w:val="en-US"/>
        </w:rPr>
        <w:t>Annex I </w:t>
      </w:r>
    </w:p>
    <w:p w14:paraId="676D1707" w14:textId="297356D7" w:rsidR="00D177F3" w:rsidRPr="00425A14" w:rsidRDefault="00D177F3" w:rsidP="61F632BB">
      <w:pPr>
        <w:pStyle w:val="Heading2"/>
        <w:rPr>
          <w:lang w:val="en-US"/>
        </w:rPr>
      </w:pPr>
      <w:r w:rsidRPr="61F632BB">
        <w:rPr>
          <w:lang w:val="en-US"/>
        </w:rPr>
        <w:t>RAN 104-e</w:t>
      </w:r>
    </w:p>
    <w:p w14:paraId="4C21CDC3" w14:textId="4F9776A5" w:rsidR="00D177F3" w:rsidRPr="00D177F3" w:rsidRDefault="00D177F3" w:rsidP="61F632BB">
      <w:pPr>
        <w:rPr>
          <w:b/>
          <w:bCs/>
          <w:lang w:val="en-US"/>
        </w:rPr>
      </w:pPr>
      <w:r w:rsidRPr="61F632BB">
        <w:rPr>
          <w:b/>
          <w:bCs/>
          <w:highlight w:val="green"/>
          <w:lang w:val="en-US"/>
        </w:rPr>
        <w:t>Agreement</w:t>
      </w:r>
    </w:p>
    <w:p w14:paraId="153E4131" w14:textId="0DE09471" w:rsidR="00D26766" w:rsidRPr="00D177F3" w:rsidRDefault="00D26766" w:rsidP="61F632BB">
      <w:pPr>
        <w:rPr>
          <w:lang w:val="en-US"/>
        </w:rPr>
      </w:pPr>
      <w:r w:rsidRPr="61F632BB">
        <w:rPr>
          <w:lang w:val="en-US"/>
        </w:rPr>
        <w:t xml:space="preserve">Case 7 timing is supported with symbol level alignment without explicit support for slot level </w:t>
      </w:r>
      <w:r w:rsidR="4D088EB8" w:rsidRPr="61F632BB">
        <w:rPr>
          <w:lang w:val="en-US"/>
        </w:rPr>
        <w:t>alignment.</w:t>
      </w:r>
    </w:p>
    <w:p w14:paraId="1057BAC9" w14:textId="77777777" w:rsidR="00D26766" w:rsidRPr="00D177F3" w:rsidRDefault="00D26766" w:rsidP="61F632BB">
      <w:pPr>
        <w:pStyle w:val="ListParagraph"/>
        <w:ind w:left="0"/>
        <w:rPr>
          <w:rFonts w:eastAsia="Calibri" w:cs="Times"/>
          <w:sz w:val="20"/>
          <w:szCs w:val="20"/>
          <w:lang w:val="en-US" w:eastAsia="ja-JP"/>
        </w:rPr>
      </w:pPr>
    </w:p>
    <w:p w14:paraId="37CD429D" w14:textId="77777777" w:rsidR="00D26766" w:rsidRPr="00D177F3" w:rsidRDefault="00D26766" w:rsidP="00D26766">
      <w:pPr>
        <w:rPr>
          <w:rFonts w:eastAsia="Batang" w:cs="Times"/>
          <w:lang w:val="en-US" w:eastAsia="zh-CN"/>
        </w:rPr>
      </w:pPr>
      <w:r w:rsidRPr="61F632BB">
        <w:rPr>
          <w:rStyle w:val="Strong"/>
          <w:rFonts w:cs="Times"/>
          <w:highlight w:val="green"/>
          <w:lang w:val="en-US"/>
        </w:rPr>
        <w:t>Agreement</w:t>
      </w:r>
    </w:p>
    <w:p w14:paraId="58815F12" w14:textId="77777777" w:rsidR="00D26766" w:rsidRPr="00D177F3" w:rsidRDefault="00D26766" w:rsidP="61F632BB">
      <w:pPr>
        <w:rPr>
          <w:rFonts w:cs="Times"/>
          <w:lang w:val="en-US"/>
        </w:rPr>
      </w:pPr>
      <w:r w:rsidRPr="61F632BB">
        <w:rPr>
          <w:rFonts w:cs="Times"/>
          <w:lang w:val="en-US"/>
        </w:rPr>
        <w:t>Switching between Case 1, Case 6, and Case 7 timing is supported.</w:t>
      </w:r>
    </w:p>
    <w:p w14:paraId="76290DCD" w14:textId="3AD373E4"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whether Case 6 and Case 7 timing shall be restricted to certain resources, </w:t>
      </w:r>
      <w:r w:rsidR="031D0665" w:rsidRPr="61F632BB">
        <w:rPr>
          <w:rFonts w:cs="Times"/>
          <w:lang w:val="en-US" w:eastAsia="zh-CN"/>
        </w:rPr>
        <w:t>e.g.,</w:t>
      </w:r>
      <w:r w:rsidRPr="61F632BB">
        <w:rPr>
          <w:rFonts w:cs="Times"/>
          <w:lang w:val="en-US" w:eastAsia="zh-CN"/>
        </w:rPr>
        <w:t xml:space="preserve"> excluding resources used for access or TDM </w:t>
      </w:r>
      <w:r w:rsidR="1831B178" w:rsidRPr="61F632BB">
        <w:rPr>
          <w:rFonts w:cs="Times"/>
          <w:lang w:val="en-US" w:eastAsia="zh-CN"/>
        </w:rPr>
        <w:t>backhaul.</w:t>
      </w:r>
    </w:p>
    <w:p w14:paraId="200370A1" w14:textId="424F6F88"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details on switching including the switching </w:t>
      </w:r>
      <w:r w:rsidR="60B6D4B0" w:rsidRPr="61F632BB">
        <w:rPr>
          <w:rFonts w:cs="Times"/>
          <w:lang w:val="en-US" w:eastAsia="zh-CN"/>
        </w:rPr>
        <w:t>conditions.</w:t>
      </w:r>
    </w:p>
    <w:p w14:paraId="3F048D68" w14:textId="130842F2"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relationship between switching timing modes with the usage/indication of different resource multiplexing </w:t>
      </w:r>
      <w:r w:rsidR="0FE2EB27" w:rsidRPr="61F632BB">
        <w:rPr>
          <w:rFonts w:cs="Times"/>
          <w:lang w:val="en-US" w:eastAsia="zh-CN"/>
        </w:rPr>
        <w:t>modes.</w:t>
      </w:r>
    </w:p>
    <w:p w14:paraId="2CB19C1C" w14:textId="4AF7BA62" w:rsidR="00D26766" w:rsidRPr="00D177F3" w:rsidRDefault="00D26766" w:rsidP="61F632BB">
      <w:pPr>
        <w:numPr>
          <w:ilvl w:val="0"/>
          <w:numId w:val="44"/>
        </w:numPr>
        <w:overflowPunct/>
        <w:autoSpaceDE/>
        <w:autoSpaceDN/>
        <w:adjustRightInd/>
        <w:spacing w:after="0"/>
        <w:textAlignment w:val="auto"/>
        <w:rPr>
          <w:rFonts w:cs="Times"/>
          <w:lang w:val="en-US" w:eastAsia="zh-CN"/>
        </w:rPr>
      </w:pPr>
      <w:r w:rsidRPr="61F632BB">
        <w:rPr>
          <w:rFonts w:cs="Times"/>
          <w:lang w:val="en-US" w:eastAsia="zh-CN"/>
        </w:rPr>
        <w:t xml:space="preserve">FFS whether Rel-16 OTA synchronization shall be enhanced to support switching timing </w:t>
      </w:r>
      <w:r w:rsidR="090AE063" w:rsidRPr="61F632BB">
        <w:rPr>
          <w:rFonts w:cs="Times"/>
          <w:lang w:val="en-US" w:eastAsia="zh-CN"/>
        </w:rPr>
        <w:t>modes.</w:t>
      </w:r>
    </w:p>
    <w:p w14:paraId="49A66CD8" w14:textId="77777777" w:rsidR="00D26766" w:rsidRPr="00D177F3" w:rsidRDefault="00D26766" w:rsidP="61F632BB">
      <w:pPr>
        <w:rPr>
          <w:rFonts w:cs="Times"/>
          <w:lang w:val="en-US"/>
        </w:rPr>
      </w:pPr>
    </w:p>
    <w:p w14:paraId="10AA72E3" w14:textId="77777777" w:rsidR="00D26766" w:rsidRPr="00D177F3" w:rsidRDefault="00D26766" w:rsidP="00D26766">
      <w:pPr>
        <w:rPr>
          <w:rFonts w:cs="Times"/>
          <w:lang w:val="en-US" w:eastAsia="zh-CN"/>
        </w:rPr>
      </w:pPr>
      <w:r w:rsidRPr="61F632BB">
        <w:rPr>
          <w:rStyle w:val="Strong"/>
          <w:rFonts w:cs="Times"/>
          <w:highlight w:val="green"/>
          <w:lang w:val="en-US"/>
        </w:rPr>
        <w:t>Agreement</w:t>
      </w:r>
    </w:p>
    <w:p w14:paraId="76062ED3" w14:textId="77777777" w:rsidR="00D26766" w:rsidRPr="00425A14" w:rsidRDefault="00D26766" w:rsidP="61F632BB">
      <w:pPr>
        <w:rPr>
          <w:rFonts w:eastAsia="Calibri" w:cs="Times"/>
          <w:lang w:val="en-US"/>
        </w:rPr>
      </w:pPr>
      <w:r w:rsidRPr="61F632BB">
        <w:rPr>
          <w:rFonts w:eastAsia="Calibri" w:cs="Times"/>
          <w:lang w:val="en-US"/>
        </w:rPr>
        <w:t>RAN1 to further study whether the legacy UL power control mechanism (including PHR) is sufficient for an IAB-node operating in an enhanced multiplexing mode.</w:t>
      </w:r>
    </w:p>
    <w:p w14:paraId="663F55FA" w14:textId="77777777" w:rsidR="00D26766" w:rsidRPr="00D177F3" w:rsidRDefault="00D26766" w:rsidP="00D26766">
      <w:pPr>
        <w:pStyle w:val="ListParagraph"/>
        <w:numPr>
          <w:ilvl w:val="0"/>
          <w:numId w:val="45"/>
        </w:numPr>
        <w:autoSpaceDN w:val="0"/>
        <w:rPr>
          <w:rFonts w:eastAsia="MS PGothic" w:cs="Times"/>
          <w:sz w:val="20"/>
          <w:szCs w:val="20"/>
        </w:rPr>
      </w:pPr>
      <w:r w:rsidRPr="61F632BB">
        <w:rPr>
          <w:rFonts w:eastAsia="Calibri" w:cs="Times"/>
          <w:sz w:val="20"/>
          <w:szCs w:val="20"/>
          <w:lang w:val="en-US"/>
        </w:rPr>
        <w:t>FFS: if not (i.e., the legacy mechanism is not sufficient), support an IAB-node indicating information to assist with its UL power control.</w:t>
      </w:r>
    </w:p>
    <w:p w14:paraId="26D24571" w14:textId="77777777" w:rsidR="00D26766" w:rsidRPr="00D177F3" w:rsidRDefault="00D26766" w:rsidP="61F632BB">
      <w:pPr>
        <w:rPr>
          <w:rFonts w:eastAsia="Batang" w:cs="Times"/>
          <w:lang w:val="en-US"/>
        </w:rPr>
      </w:pPr>
    </w:p>
    <w:p w14:paraId="6BBECFEC" w14:textId="77777777" w:rsidR="00D26766" w:rsidRPr="00D177F3" w:rsidRDefault="00D26766" w:rsidP="00D26766">
      <w:pPr>
        <w:rPr>
          <w:rFonts w:cs="Times"/>
          <w:lang w:val="en-US" w:eastAsia="zh-CN"/>
        </w:rPr>
      </w:pPr>
      <w:r w:rsidRPr="61F632BB">
        <w:rPr>
          <w:rStyle w:val="Strong"/>
          <w:rFonts w:cs="Times"/>
          <w:highlight w:val="green"/>
          <w:lang w:val="en-US"/>
        </w:rPr>
        <w:t>Agreement</w:t>
      </w:r>
    </w:p>
    <w:p w14:paraId="123B82B4" w14:textId="77777777" w:rsidR="00D26766" w:rsidRPr="00425A14" w:rsidRDefault="00D26766" w:rsidP="61F632BB">
      <w:pPr>
        <w:rPr>
          <w:rFonts w:eastAsia="Calibri" w:cs="Times"/>
          <w:lang w:val="en-US"/>
        </w:rPr>
      </w:pPr>
      <w:r w:rsidRPr="61F632BB">
        <w:rPr>
          <w:rFonts w:eastAsia="Calibri" w:cs="Times"/>
          <w:lang w:val="en-US"/>
        </w:rPr>
        <w:t>Support an IAB-node indicating information to assist with the DL power control of its parent-node towards the IAB-node without mandating an expected behavior at the parent node.</w:t>
      </w:r>
    </w:p>
    <w:p w14:paraId="1011F182"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lastRenderedPageBreak/>
        <w:t>Note: At least the assistance information is for supporting the simultaneous operation within the IAB-node to avoid power imbalance</w:t>
      </w:r>
    </w:p>
    <w:p w14:paraId="1B6AD1F5"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type of assistance information (e.g., desired received power, power adjustment, preferred CSI-RS resource)</w:t>
      </w:r>
    </w:p>
    <w:p w14:paraId="6C0573A6"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whether this information is provided to the parent-node, the CU, or both.</w:t>
      </w:r>
    </w:p>
    <w:p w14:paraId="2832AABB" w14:textId="640F6286"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applicability of the assistance information (</w:t>
      </w:r>
      <w:r w:rsidR="322213C5" w:rsidRPr="61F632BB">
        <w:rPr>
          <w:rFonts w:eastAsia="Calibri" w:cs="Times"/>
          <w:sz w:val="20"/>
          <w:szCs w:val="20"/>
          <w:lang w:val="en-US"/>
        </w:rPr>
        <w:t>e.g.,</w:t>
      </w:r>
      <w:r w:rsidRPr="61F632BB">
        <w:rPr>
          <w:rFonts w:eastAsia="Calibri" w:cs="Times"/>
          <w:sz w:val="20"/>
          <w:szCs w:val="20"/>
          <w:lang w:val="en-US"/>
        </w:rPr>
        <w:t xml:space="preserve"> relation to beams or multiplexing modes)</w:t>
      </w:r>
    </w:p>
    <w:p w14:paraId="3ACC927D"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FFS: the channel carrying this assistance information</w:t>
      </w:r>
    </w:p>
    <w:p w14:paraId="551C94FC" w14:textId="77777777" w:rsidR="00D26766" w:rsidRPr="00D177F3" w:rsidRDefault="00D26766" w:rsidP="61F632BB">
      <w:pPr>
        <w:pStyle w:val="ListParagraph"/>
        <w:ind w:left="0"/>
        <w:rPr>
          <w:rFonts w:eastAsia="Calibri" w:cs="Times"/>
          <w:sz w:val="20"/>
          <w:szCs w:val="20"/>
          <w:lang w:val="en-US"/>
        </w:rPr>
      </w:pPr>
    </w:p>
    <w:p w14:paraId="448C5DA4" w14:textId="77777777" w:rsidR="00D26766" w:rsidRPr="00D177F3" w:rsidRDefault="00D26766" w:rsidP="61F632BB">
      <w:pPr>
        <w:rPr>
          <w:rFonts w:eastAsia="Batang" w:cs="Times"/>
          <w:b/>
          <w:bCs/>
          <w:lang w:val="en-US"/>
        </w:rPr>
      </w:pPr>
      <w:r w:rsidRPr="61F632BB">
        <w:rPr>
          <w:rFonts w:cs="Times"/>
          <w:b/>
          <w:bCs/>
          <w:lang w:val="en-US"/>
        </w:rPr>
        <w:t>Conclusion</w:t>
      </w:r>
    </w:p>
    <w:p w14:paraId="57F12B1A" w14:textId="77777777" w:rsidR="00D26766" w:rsidRPr="00D177F3" w:rsidRDefault="00D26766" w:rsidP="61F632BB">
      <w:pPr>
        <w:rPr>
          <w:rFonts w:ascii="Calibri" w:eastAsia="Calibri" w:hAnsi="Calibri"/>
          <w:lang w:val="en-US"/>
        </w:rPr>
      </w:pPr>
      <w:r w:rsidRPr="61F632BB">
        <w:rPr>
          <w:lang w:val="en-US"/>
        </w:rPr>
        <w:t xml:space="preserve">In Rel-17, RAN1 will not specify specific mechanisms for intra-IAB-node interference (self-interference) management. </w:t>
      </w:r>
    </w:p>
    <w:p w14:paraId="5A0F6C12"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 xml:space="preserve">Self-interference can be handled by the implementation or via using the available techniques defined, or to be defined in Rel-17, that can commonly be used for other interference scenarios as well. </w:t>
      </w:r>
    </w:p>
    <w:p w14:paraId="1B27C056" w14:textId="77777777" w:rsidR="00D26766" w:rsidRPr="00D177F3" w:rsidRDefault="00D26766" w:rsidP="61F632BB">
      <w:pPr>
        <w:rPr>
          <w:rFonts w:cs="Times"/>
          <w:lang w:val="en-US"/>
        </w:rPr>
      </w:pPr>
    </w:p>
    <w:p w14:paraId="5F0A7330" w14:textId="77777777" w:rsidR="00D26766" w:rsidRPr="00D177F3" w:rsidRDefault="00D26766" w:rsidP="61F632BB">
      <w:pPr>
        <w:rPr>
          <w:rFonts w:cs="Times"/>
          <w:b/>
          <w:bCs/>
          <w:highlight w:val="green"/>
          <w:lang w:val="en-US"/>
        </w:rPr>
      </w:pPr>
      <w:r w:rsidRPr="61F632BB">
        <w:rPr>
          <w:rFonts w:cs="Times"/>
          <w:b/>
          <w:bCs/>
          <w:highlight w:val="green"/>
          <w:lang w:val="en-US"/>
        </w:rPr>
        <w:t>Agreement</w:t>
      </w:r>
    </w:p>
    <w:p w14:paraId="2EF1F160" w14:textId="77777777" w:rsidR="00D26766" w:rsidRPr="00D177F3" w:rsidRDefault="00D26766" w:rsidP="61F632BB">
      <w:pPr>
        <w:rPr>
          <w:rFonts w:eastAsia="Calibri"/>
          <w:lang w:val="en-US"/>
        </w:rPr>
      </w:pPr>
      <w:r w:rsidRPr="61F632BB">
        <w:rPr>
          <w:rFonts w:eastAsia="Calibri"/>
          <w:lang w:val="en-US"/>
        </w:rPr>
        <w:t>RAN1 to select among the following options to support DU-to-DU measurement and report.</w:t>
      </w:r>
    </w:p>
    <w:p w14:paraId="12C5A9CC"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For DU-to-DU CLI measurement:</w:t>
      </w:r>
    </w:p>
    <w:p w14:paraId="440FBA3F"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1.1. no specific mechanism is specified (e.g., it is handled by the implementation, or the available techniques)</w:t>
      </w:r>
    </w:p>
    <w:p w14:paraId="2A68D323"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1.2. enhanced legacy DU-based measurement procedures (e.g., enhanced Rel-16 RIM)</w:t>
      </w:r>
    </w:p>
    <w:p w14:paraId="1278ADCD"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1.3. enhanced MT-based measurements (e.g., MT-based CLI, MT RRM measurements)</w:t>
      </w:r>
    </w:p>
    <w:p w14:paraId="3AB03AE9" w14:textId="77777777" w:rsidR="00D26766" w:rsidRPr="00D177F3" w:rsidRDefault="00D26766" w:rsidP="00D26766">
      <w:pPr>
        <w:pStyle w:val="ListParagraph"/>
        <w:numPr>
          <w:ilvl w:val="0"/>
          <w:numId w:val="45"/>
        </w:numPr>
        <w:autoSpaceDN w:val="0"/>
        <w:rPr>
          <w:rFonts w:eastAsia="Calibri" w:cs="Times"/>
          <w:sz w:val="20"/>
          <w:szCs w:val="20"/>
        </w:rPr>
      </w:pPr>
      <w:r w:rsidRPr="61F632BB">
        <w:rPr>
          <w:rFonts w:eastAsia="Calibri" w:cs="Times"/>
          <w:sz w:val="20"/>
          <w:szCs w:val="20"/>
          <w:lang w:val="en-US"/>
        </w:rPr>
        <w:t>For DU-to-DU CLI report:</w:t>
      </w:r>
    </w:p>
    <w:p w14:paraId="15D0C148"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2.1. no specific mechanism is specified (e.g., it is handled by the implementation, or the available techniques)</w:t>
      </w:r>
    </w:p>
    <w:p w14:paraId="0493A952"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2.2. enhanced legacy DU-based report (e.g., enhanced Rel-16 RIM)</w:t>
      </w:r>
    </w:p>
    <w:p w14:paraId="2FD3712D" w14:textId="77777777" w:rsidR="00D26766" w:rsidRPr="00D177F3" w:rsidRDefault="00D26766" w:rsidP="00D26766">
      <w:pPr>
        <w:pStyle w:val="ListParagraph"/>
        <w:numPr>
          <w:ilvl w:val="1"/>
          <w:numId w:val="45"/>
        </w:numPr>
        <w:autoSpaceDN w:val="0"/>
        <w:rPr>
          <w:rFonts w:eastAsia="Calibri" w:cs="Times"/>
          <w:sz w:val="20"/>
          <w:szCs w:val="20"/>
        </w:rPr>
      </w:pPr>
      <w:r w:rsidRPr="61F632BB">
        <w:rPr>
          <w:rFonts w:eastAsia="Calibri" w:cs="Times"/>
          <w:sz w:val="20"/>
          <w:szCs w:val="20"/>
          <w:lang w:val="en-US"/>
        </w:rPr>
        <w:t>Option 2.3. enhanced MT-based report (e.g., MT-based CLI, MT RRM measurements)</w:t>
      </w:r>
    </w:p>
    <w:p w14:paraId="5DA9A2A3" w14:textId="77777777" w:rsidR="00D26766" w:rsidRPr="00D177F3" w:rsidRDefault="00D26766" w:rsidP="61F632BB">
      <w:pPr>
        <w:rPr>
          <w:rFonts w:eastAsia="Batang" w:cs="Times"/>
          <w:lang w:val="en-US"/>
        </w:rPr>
      </w:pPr>
    </w:p>
    <w:p w14:paraId="4FD13881" w14:textId="77777777" w:rsidR="00D26766" w:rsidRPr="00D177F3" w:rsidRDefault="00D26766" w:rsidP="61F632BB">
      <w:pPr>
        <w:rPr>
          <w:rFonts w:cs="Times"/>
          <w:b/>
          <w:bCs/>
          <w:highlight w:val="green"/>
          <w:lang w:val="en-US"/>
        </w:rPr>
      </w:pPr>
      <w:r w:rsidRPr="61F632BB">
        <w:rPr>
          <w:rFonts w:cs="Times"/>
          <w:b/>
          <w:bCs/>
          <w:highlight w:val="green"/>
          <w:lang w:val="en-US"/>
        </w:rPr>
        <w:t>Agreement</w:t>
      </w:r>
    </w:p>
    <w:p w14:paraId="28719F48" w14:textId="77777777" w:rsidR="00D26766" w:rsidRPr="00D177F3" w:rsidRDefault="00D26766" w:rsidP="61F632BB">
      <w:pPr>
        <w:rPr>
          <w:rFonts w:eastAsia="Calibri"/>
          <w:lang w:val="en-US"/>
        </w:rPr>
      </w:pPr>
      <w:r w:rsidRPr="61F632BB">
        <w:rPr>
          <w:rFonts w:eastAsia="Calibri"/>
          <w:lang w:val="en-US"/>
        </w:rPr>
        <w:t>RAN1 to decide whether to enhance interference mitigation through information exchange to support beam-management at the parent or child node in RAN1#104bis-e</w:t>
      </w:r>
    </w:p>
    <w:p w14:paraId="29F84EA5" w14:textId="77777777" w:rsidR="00D26766" w:rsidRPr="00D177F3" w:rsidRDefault="00D26766" w:rsidP="00D26766">
      <w:pPr>
        <w:pStyle w:val="ListParagraph"/>
        <w:numPr>
          <w:ilvl w:val="1"/>
          <w:numId w:val="46"/>
        </w:numPr>
        <w:autoSpaceDN w:val="0"/>
        <w:rPr>
          <w:rFonts w:eastAsia="Calibri"/>
          <w:sz w:val="20"/>
          <w:szCs w:val="20"/>
        </w:rPr>
      </w:pPr>
      <w:r w:rsidRPr="61F632BB">
        <w:rPr>
          <w:rFonts w:eastAsia="Calibri"/>
          <w:sz w:val="20"/>
          <w:szCs w:val="20"/>
          <w:lang w:val="en-US"/>
        </w:rPr>
        <w:t>FFS: reporting of desired beams for reception in DL or desired beams for transmission in UL by the IAB node for a given multiplexing mode</w:t>
      </w:r>
    </w:p>
    <w:p w14:paraId="35EDE057" w14:textId="6E6562AC" w:rsidR="00D26766" w:rsidRPr="00D177F3" w:rsidRDefault="00D26766" w:rsidP="00D26766">
      <w:pPr>
        <w:pStyle w:val="ListParagraph"/>
        <w:numPr>
          <w:ilvl w:val="1"/>
          <w:numId w:val="46"/>
        </w:numPr>
        <w:autoSpaceDN w:val="0"/>
        <w:rPr>
          <w:sz w:val="20"/>
          <w:szCs w:val="20"/>
        </w:rPr>
      </w:pPr>
      <w:r w:rsidRPr="61F632BB">
        <w:rPr>
          <w:rFonts w:eastAsia="Calibri"/>
          <w:sz w:val="20"/>
          <w:szCs w:val="20"/>
          <w:lang w:val="en-US"/>
        </w:rPr>
        <w:t>FFS: indicating applicable beams in DL or beams in UL for a given multiplexing mode.</w:t>
      </w:r>
    </w:p>
    <w:p w14:paraId="42874DCE" w14:textId="62AB1338" w:rsidR="00D177F3" w:rsidRDefault="00D177F3" w:rsidP="61F632BB">
      <w:pPr>
        <w:rPr>
          <w:lang w:val="en-US"/>
        </w:rPr>
      </w:pPr>
    </w:p>
    <w:p w14:paraId="580D33B8" w14:textId="579C07E3" w:rsidR="00D177F3" w:rsidRDefault="00D177F3" w:rsidP="61F632BB">
      <w:pPr>
        <w:pStyle w:val="Heading2"/>
        <w:rPr>
          <w:lang w:val="en-US"/>
        </w:rPr>
      </w:pPr>
      <w:r w:rsidRPr="61F632BB">
        <w:rPr>
          <w:lang w:val="en-US"/>
        </w:rPr>
        <w:t>RAN 103-e</w:t>
      </w:r>
    </w:p>
    <w:p w14:paraId="2D02B638" w14:textId="77777777" w:rsidR="00D177F3" w:rsidRPr="00D177F3" w:rsidRDefault="00D177F3" w:rsidP="61F632BB">
      <w:pPr>
        <w:rPr>
          <w:rFonts w:eastAsia="Calibri"/>
          <w:b/>
          <w:bCs/>
          <w:color w:val="000000"/>
          <w:highlight w:val="green"/>
          <w:lang w:val="en-US"/>
        </w:rPr>
      </w:pPr>
      <w:r w:rsidRPr="61F632BB">
        <w:rPr>
          <w:rFonts w:eastAsia="Calibri"/>
          <w:b/>
          <w:bCs/>
          <w:color w:val="000000" w:themeColor="text1"/>
          <w:highlight w:val="green"/>
          <w:lang w:val="en-US"/>
        </w:rPr>
        <w:t>Agreement</w:t>
      </w:r>
    </w:p>
    <w:p w14:paraId="5C15452E" w14:textId="77777777" w:rsidR="00D177F3" w:rsidRPr="00D177F3" w:rsidRDefault="00D177F3" w:rsidP="61F632BB">
      <w:pPr>
        <w:rPr>
          <w:rFonts w:eastAsia="Calibri"/>
          <w:color w:val="000000"/>
          <w:lang w:val="en-US"/>
        </w:rPr>
      </w:pPr>
      <w:r w:rsidRPr="61F632BB">
        <w:rPr>
          <w:rFonts w:eastAsia="Calibri"/>
          <w:color w:val="000000" w:themeColor="text1"/>
          <w:lang w:val="en-US"/>
        </w:rPr>
        <w:t>Select one or both of the following modes of operation for Case 7 timing in RAN1#104-e:</w:t>
      </w:r>
    </w:p>
    <w:p w14:paraId="370BD073" w14:textId="77777777" w:rsidR="00D177F3" w:rsidRPr="00D177F3" w:rsidRDefault="00D177F3" w:rsidP="00D177F3">
      <w:pPr>
        <w:pStyle w:val="ListParagraph"/>
        <w:numPr>
          <w:ilvl w:val="0"/>
          <w:numId w:val="64"/>
        </w:numPr>
        <w:autoSpaceDN w:val="0"/>
        <w:spacing w:after="180" w:line="276" w:lineRule="auto"/>
        <w:rPr>
          <w:rFonts w:eastAsia="Calibri"/>
          <w:color w:val="000000"/>
          <w:sz w:val="20"/>
          <w:szCs w:val="20"/>
        </w:rPr>
      </w:pPr>
      <w:r w:rsidRPr="61F632BB">
        <w:rPr>
          <w:rFonts w:eastAsia="Calibri"/>
          <w:color w:val="000000" w:themeColor="text1"/>
          <w:sz w:val="20"/>
          <w:szCs w:val="20"/>
          <w:lang w:val="en-US"/>
        </w:rPr>
        <w:t>symbol level alignment without slot level alignment</w:t>
      </w:r>
    </w:p>
    <w:p w14:paraId="5B48A457" w14:textId="77777777" w:rsidR="00D177F3" w:rsidRPr="00D177F3" w:rsidRDefault="00D177F3" w:rsidP="00D177F3">
      <w:pPr>
        <w:pStyle w:val="ListParagraph"/>
        <w:numPr>
          <w:ilvl w:val="0"/>
          <w:numId w:val="64"/>
        </w:numPr>
        <w:autoSpaceDN w:val="0"/>
        <w:spacing w:after="180" w:line="276" w:lineRule="auto"/>
        <w:rPr>
          <w:sz w:val="20"/>
          <w:szCs w:val="20"/>
        </w:rPr>
      </w:pPr>
      <w:r w:rsidRPr="61F632BB">
        <w:rPr>
          <w:rFonts w:eastAsia="Calibri"/>
          <w:color w:val="000000" w:themeColor="text1"/>
          <w:sz w:val="20"/>
          <w:szCs w:val="20"/>
          <w:lang w:val="en-US"/>
        </w:rPr>
        <w:t>slot level alignment</w:t>
      </w:r>
    </w:p>
    <w:p w14:paraId="785933C9" w14:textId="77777777" w:rsidR="00D177F3" w:rsidRPr="00D177F3" w:rsidRDefault="00D177F3" w:rsidP="61F632BB">
      <w:pPr>
        <w:rPr>
          <w:b/>
          <w:bCs/>
          <w:highlight w:val="green"/>
          <w:lang w:val="en-US"/>
        </w:rPr>
      </w:pPr>
      <w:r w:rsidRPr="61F632BB">
        <w:rPr>
          <w:b/>
          <w:bCs/>
          <w:highlight w:val="green"/>
          <w:lang w:val="en-US"/>
        </w:rPr>
        <w:t>Agreement</w:t>
      </w:r>
    </w:p>
    <w:p w14:paraId="1124943E" w14:textId="77777777" w:rsidR="00D177F3" w:rsidRPr="00D177F3" w:rsidRDefault="00D177F3" w:rsidP="61F632BB">
      <w:pPr>
        <w:rPr>
          <w:rFonts w:eastAsia="Calibri"/>
          <w:lang w:val="en-US"/>
        </w:rPr>
      </w:pPr>
      <w:r w:rsidRPr="61F632BB">
        <w:rPr>
          <w:rFonts w:eastAsia="Calibri"/>
          <w:lang w:val="en-US"/>
        </w:rPr>
        <w:t>Case 6 timing mode operation at an IAB-node is controlled by the parent node to which the UL transmission is intended for.</w:t>
      </w:r>
    </w:p>
    <w:p w14:paraId="4357C97E" w14:textId="77777777" w:rsidR="00D177F3" w:rsidRPr="00D177F3" w:rsidRDefault="00D177F3" w:rsidP="61F632BB">
      <w:pPr>
        <w:rPr>
          <w:rFonts w:eastAsia="Batang"/>
          <w:lang w:val="en-US" w:eastAsia="ko-KR"/>
        </w:rPr>
      </w:pPr>
    </w:p>
    <w:p w14:paraId="19D9BEBE" w14:textId="77777777" w:rsidR="00D177F3" w:rsidRPr="00D177F3" w:rsidRDefault="00D177F3" w:rsidP="61F632BB">
      <w:pPr>
        <w:rPr>
          <w:b/>
          <w:bCs/>
          <w:highlight w:val="green"/>
          <w:lang w:val="en-US"/>
        </w:rPr>
      </w:pPr>
      <w:r w:rsidRPr="61F632BB">
        <w:rPr>
          <w:b/>
          <w:bCs/>
          <w:highlight w:val="green"/>
          <w:lang w:val="en-US"/>
        </w:rPr>
        <w:t>Agreement</w:t>
      </w:r>
    </w:p>
    <w:p w14:paraId="51773BF0" w14:textId="0DDDA4E5" w:rsidR="00D177F3" w:rsidRPr="00D177F3" w:rsidRDefault="00D177F3" w:rsidP="61F632BB">
      <w:pPr>
        <w:rPr>
          <w:rFonts w:eastAsia="Calibri"/>
          <w:lang w:val="en-US"/>
        </w:rPr>
      </w:pPr>
      <w:r w:rsidRPr="61F632BB">
        <w:rPr>
          <w:rFonts w:eastAsia="Calibri"/>
          <w:lang w:val="en-US"/>
        </w:rPr>
        <w:t>Use the Rel-16 interference management frameworks (</w:t>
      </w:r>
      <w:r w:rsidR="2970F646" w:rsidRPr="61F632BB">
        <w:rPr>
          <w:rFonts w:eastAsia="Calibri"/>
          <w:lang w:val="en-US"/>
        </w:rPr>
        <w:t>e.g.,</w:t>
      </w:r>
      <w:r w:rsidRPr="61F632BB">
        <w:rPr>
          <w:rFonts w:eastAsia="Calibri"/>
          <w:lang w:val="en-US"/>
        </w:rPr>
        <w:t xml:space="preserve"> CLI, RIM) to handle IAB interference scenarios, and discuss if any of the following enhancements are needed (not an exhaustive list):</w:t>
      </w:r>
    </w:p>
    <w:p w14:paraId="664359E0" w14:textId="6B408469"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lastRenderedPageBreak/>
        <w:t>FFS: extend the information exchange (</w:t>
      </w:r>
      <w:r w:rsidR="4C3FCAF4" w:rsidRPr="61F632BB">
        <w:rPr>
          <w:rFonts w:eastAsia="Calibri"/>
          <w:sz w:val="20"/>
          <w:szCs w:val="20"/>
          <w:lang w:val="en-US"/>
        </w:rPr>
        <w:t>e.g.,</w:t>
      </w:r>
      <w:r w:rsidRPr="61F632BB">
        <w:rPr>
          <w:rFonts w:eastAsia="Calibri"/>
          <w:sz w:val="20"/>
          <w:szCs w:val="20"/>
          <w:lang w:val="en-US"/>
        </w:rPr>
        <w:t xml:space="preserve"> the resource configuration, result of CLI measurements, etc.) among different entities (</w:t>
      </w:r>
      <w:r w:rsidR="5984C8A6" w:rsidRPr="61F632BB">
        <w:rPr>
          <w:rFonts w:eastAsia="Calibri"/>
          <w:sz w:val="20"/>
          <w:szCs w:val="20"/>
          <w:lang w:val="en-US"/>
        </w:rPr>
        <w:t>e.g.,</w:t>
      </w:r>
      <w:r w:rsidRPr="61F632BB">
        <w:rPr>
          <w:rFonts w:eastAsia="Calibri"/>
          <w:sz w:val="20"/>
          <w:szCs w:val="20"/>
          <w:lang w:val="en-US"/>
        </w:rPr>
        <w:t xml:space="preserve"> between parent-child nodes, adjacent IAB nodes, between network and IAB-node, etc.)  </w:t>
      </w:r>
    </w:p>
    <w:p w14:paraId="40DBD199" w14:textId="7FFE87A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FFS: required enhancements on CLI measurement accuracy (</w:t>
      </w:r>
      <w:r w:rsidR="39941F7F" w:rsidRPr="61F632BB">
        <w:rPr>
          <w:rFonts w:eastAsia="Calibri"/>
          <w:sz w:val="20"/>
          <w:szCs w:val="20"/>
          <w:lang w:val="en-US"/>
        </w:rPr>
        <w:t>e.g.,</w:t>
      </w:r>
      <w:r w:rsidRPr="61F632BB">
        <w:rPr>
          <w:rFonts w:eastAsia="Calibri"/>
          <w:sz w:val="20"/>
          <w:szCs w:val="20"/>
          <w:lang w:val="en-US"/>
        </w:rPr>
        <w:t xml:space="preserve"> via timing adjustment, etc.)</w:t>
      </w:r>
    </w:p>
    <w:p w14:paraId="4C04B1A6" w14:textId="3BB8BE0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FFS: required enhancements on CLI measurements (</w:t>
      </w:r>
      <w:r w:rsidR="35E7F976" w:rsidRPr="61F632BB">
        <w:rPr>
          <w:rFonts w:eastAsia="Calibri"/>
          <w:sz w:val="20"/>
          <w:szCs w:val="20"/>
          <w:lang w:val="en-US"/>
        </w:rPr>
        <w:t>e.g.,</w:t>
      </w:r>
      <w:r w:rsidRPr="61F632BB">
        <w:rPr>
          <w:rFonts w:eastAsia="Calibri"/>
          <w:sz w:val="20"/>
          <w:szCs w:val="20"/>
          <w:lang w:val="en-US"/>
        </w:rPr>
        <w:t xml:space="preserve"> introducing short-term measurements, multi-beam measurements, etc.)</w:t>
      </w:r>
    </w:p>
    <w:p w14:paraId="6B2009B0" w14:textId="77777777" w:rsidR="00D177F3" w:rsidRPr="00D177F3" w:rsidRDefault="00D177F3" w:rsidP="61F632BB">
      <w:pPr>
        <w:rPr>
          <w:rFonts w:eastAsia="Batang"/>
          <w:lang w:val="en-US" w:eastAsia="ko-KR"/>
        </w:rPr>
      </w:pPr>
    </w:p>
    <w:p w14:paraId="4720A3B7" w14:textId="77777777" w:rsidR="00D177F3" w:rsidRPr="00D177F3" w:rsidRDefault="00D177F3" w:rsidP="61F632BB">
      <w:pPr>
        <w:rPr>
          <w:b/>
          <w:bCs/>
          <w:highlight w:val="green"/>
          <w:lang w:val="en-US"/>
        </w:rPr>
      </w:pPr>
      <w:r w:rsidRPr="61F632BB">
        <w:rPr>
          <w:b/>
          <w:bCs/>
          <w:highlight w:val="green"/>
          <w:lang w:val="en-US"/>
        </w:rPr>
        <w:t>Agreement</w:t>
      </w:r>
    </w:p>
    <w:p w14:paraId="4A358A35" w14:textId="77777777" w:rsidR="00D177F3" w:rsidRPr="00D177F3" w:rsidRDefault="00D177F3" w:rsidP="61F632BB">
      <w:pPr>
        <w:rPr>
          <w:rFonts w:eastAsia="Calibri"/>
          <w:lang w:val="en-US"/>
        </w:rPr>
      </w:pPr>
      <w:r w:rsidRPr="61F632BB">
        <w:rPr>
          <w:rFonts w:eastAsia="Calibri"/>
          <w:lang w:val="en-US"/>
        </w:rPr>
        <w:t>Further study requirement of enhanced DL and UL Tx power control mechanism considering the following: </w:t>
      </w:r>
    </w:p>
    <w:p w14:paraId="0303EE39"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DL/UL power control with assistance information from the child node.</w:t>
      </w:r>
    </w:p>
    <w:p w14:paraId="48D6A173"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DL/UL power control with assistance information from the parent node.</w:t>
      </w:r>
    </w:p>
    <w:p w14:paraId="6CFCA114" w14:textId="2A716F33"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Central (</w:t>
      </w:r>
      <w:r w:rsidR="29ECE161" w:rsidRPr="61F632BB">
        <w:rPr>
          <w:rFonts w:eastAsia="Calibri"/>
          <w:sz w:val="20"/>
          <w:szCs w:val="20"/>
          <w:lang w:val="en-US"/>
        </w:rPr>
        <w:t>e.g.,</w:t>
      </w:r>
      <w:r w:rsidRPr="61F632BB">
        <w:rPr>
          <w:rFonts w:eastAsia="Calibri"/>
          <w:sz w:val="20"/>
          <w:szCs w:val="20"/>
          <w:lang w:val="en-US"/>
        </w:rPr>
        <w:t xml:space="preserve"> by CU) power control coordination (</w:t>
      </w:r>
      <w:r w:rsidR="2920F65E" w:rsidRPr="61F632BB">
        <w:rPr>
          <w:rFonts w:eastAsia="Calibri"/>
          <w:sz w:val="20"/>
          <w:szCs w:val="20"/>
          <w:lang w:val="en-US"/>
        </w:rPr>
        <w:t>e.g.,</w:t>
      </w:r>
      <w:r w:rsidRPr="61F632BB">
        <w:rPr>
          <w:rFonts w:eastAsia="Calibri"/>
          <w:sz w:val="20"/>
          <w:szCs w:val="20"/>
          <w:lang w:val="en-US"/>
        </w:rPr>
        <w:t xml:space="preserve"> semi-static max DL/UL Tx power limits).</w:t>
      </w:r>
    </w:p>
    <w:p w14:paraId="32BC671D"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Coexistence of different power control mechanisms within an IAB node and in the network.</w:t>
      </w:r>
    </w:p>
    <w:p w14:paraId="00CC9E47" w14:textId="77777777" w:rsidR="00D177F3" w:rsidRPr="00D177F3" w:rsidRDefault="00D177F3" w:rsidP="61F632BB">
      <w:pPr>
        <w:rPr>
          <w:rFonts w:eastAsia="Calibri"/>
          <w:lang w:val="en-US"/>
        </w:rPr>
      </w:pPr>
      <w:r w:rsidRPr="61F632BB">
        <w:rPr>
          <w:rFonts w:eastAsia="Calibri"/>
          <w:lang w:val="en-US"/>
        </w:rPr>
        <w:t>Note. Any power control mechanism should consider the following aspects:</w:t>
      </w:r>
    </w:p>
    <w:p w14:paraId="44E0BBFF" w14:textId="37A773D8"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Existing base station design principles (</w:t>
      </w:r>
      <w:r w:rsidR="66241F22" w:rsidRPr="61F632BB">
        <w:rPr>
          <w:rFonts w:eastAsia="Calibri"/>
          <w:sz w:val="20"/>
          <w:szCs w:val="20"/>
          <w:lang w:val="en-US"/>
        </w:rPr>
        <w:t>e.g.,</w:t>
      </w:r>
      <w:r w:rsidRPr="61F632BB">
        <w:rPr>
          <w:rFonts w:eastAsia="Calibri"/>
          <w:sz w:val="20"/>
          <w:szCs w:val="20"/>
          <w:lang w:val="en-US"/>
        </w:rPr>
        <w:t xml:space="preserve"> power control and dynamic range capability, etc.) related to transmission power.</w:t>
      </w:r>
    </w:p>
    <w:p w14:paraId="7C98F3EF" w14:textId="77777777" w:rsidR="00D177F3" w:rsidRPr="00D177F3" w:rsidRDefault="00D177F3" w:rsidP="61F632BB">
      <w:pPr>
        <w:pStyle w:val="ListParagraph"/>
        <w:numPr>
          <w:ilvl w:val="0"/>
          <w:numId w:val="64"/>
        </w:numPr>
        <w:autoSpaceDN w:val="0"/>
        <w:rPr>
          <w:rFonts w:eastAsia="Calibri"/>
          <w:sz w:val="20"/>
          <w:szCs w:val="20"/>
        </w:rPr>
      </w:pPr>
      <w:r w:rsidRPr="61F632BB">
        <w:rPr>
          <w:rFonts w:eastAsia="Calibri"/>
          <w:sz w:val="20"/>
          <w:szCs w:val="20"/>
          <w:lang w:val="en-US"/>
        </w:rPr>
        <w:t xml:space="preserve">Network constraints </w:t>
      </w:r>
      <w:proofErr w:type="gramStart"/>
      <w:r w:rsidRPr="61F632BB">
        <w:rPr>
          <w:rFonts w:eastAsia="Calibri"/>
          <w:sz w:val="20"/>
          <w:szCs w:val="20"/>
          <w:lang w:val="en-US"/>
        </w:rPr>
        <w:t>in regard to</w:t>
      </w:r>
      <w:proofErr w:type="gramEnd"/>
      <w:r w:rsidRPr="61F632BB">
        <w:rPr>
          <w:rFonts w:eastAsia="Calibri"/>
          <w:sz w:val="20"/>
          <w:szCs w:val="20"/>
          <w:lang w:val="en-US"/>
        </w:rPr>
        <w:t xml:space="preserve"> transmitted reference signals with constant power.</w:t>
      </w:r>
    </w:p>
    <w:p w14:paraId="12D31C60" w14:textId="77777777" w:rsidR="00D177F3" w:rsidRPr="00D177F3" w:rsidRDefault="00D177F3" w:rsidP="61F632BB">
      <w:pPr>
        <w:rPr>
          <w:rFonts w:eastAsia="Batang"/>
          <w:lang w:val="en-US"/>
        </w:rPr>
      </w:pPr>
    </w:p>
    <w:p w14:paraId="6E67C163" w14:textId="77777777" w:rsidR="00D177F3" w:rsidRPr="00D177F3" w:rsidRDefault="00D177F3" w:rsidP="61F632BB">
      <w:pPr>
        <w:rPr>
          <w:b/>
          <w:bCs/>
          <w:highlight w:val="green"/>
          <w:lang w:val="en-US"/>
        </w:rPr>
      </w:pPr>
      <w:r w:rsidRPr="61F632BB">
        <w:rPr>
          <w:b/>
          <w:bCs/>
          <w:highlight w:val="green"/>
          <w:lang w:val="en-US"/>
        </w:rPr>
        <w:t>Agreement</w:t>
      </w:r>
    </w:p>
    <w:p w14:paraId="1D72D906" w14:textId="77777777" w:rsidR="00D177F3" w:rsidRPr="00D177F3" w:rsidRDefault="00D177F3" w:rsidP="61F632BB">
      <w:pPr>
        <w:rPr>
          <w:rFonts w:eastAsia="Calibri"/>
          <w:color w:val="000000"/>
          <w:lang w:val="en-US"/>
        </w:rPr>
      </w:pPr>
      <w:r w:rsidRPr="61F632BB">
        <w:rPr>
          <w:rFonts w:eastAsia="Calibri"/>
          <w:color w:val="000000" w:themeColor="text1"/>
          <w:lang w:val="en-US"/>
        </w:rPr>
        <w:t xml:space="preserve">Interference management for the following IAB interference scenarios should be discussed: </w:t>
      </w:r>
    </w:p>
    <w:p w14:paraId="59FC6E81"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Inter-IAB scenarios, including: </w:t>
      </w:r>
    </w:p>
    <w:p w14:paraId="442834F6"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MT to MT, DU to DU, DU to MT, and MT to DU.</w:t>
      </w:r>
    </w:p>
    <w:p w14:paraId="5584A2FF"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Interference to non-IAB nodes, including:</w:t>
      </w:r>
    </w:p>
    <w:p w14:paraId="5C6E0479" w14:textId="77777777" w:rsidR="00D177F3" w:rsidRPr="00D177F3" w:rsidRDefault="00D177F3" w:rsidP="00D177F3">
      <w:pPr>
        <w:pStyle w:val="ListParagraph"/>
        <w:numPr>
          <w:ilvl w:val="1"/>
          <w:numId w:val="64"/>
        </w:numPr>
        <w:autoSpaceDN w:val="0"/>
        <w:rPr>
          <w:rFonts w:eastAsia="Calibri"/>
          <w:color w:val="000000"/>
          <w:sz w:val="20"/>
          <w:szCs w:val="20"/>
          <w:lang w:val="fr-FR"/>
        </w:rPr>
      </w:pPr>
      <w:r w:rsidRPr="61F632BB">
        <w:rPr>
          <w:rFonts w:eastAsia="Calibri"/>
          <w:color w:val="000000" w:themeColor="text1"/>
          <w:sz w:val="20"/>
          <w:szCs w:val="20"/>
          <w:lang w:val="en-US"/>
        </w:rPr>
        <w:t>IAB-DU to non-IAB-DU</w:t>
      </w:r>
    </w:p>
    <w:p w14:paraId="03AE8F1F" w14:textId="77777777" w:rsidR="00D177F3" w:rsidRPr="00D177F3" w:rsidRDefault="00D177F3" w:rsidP="00D177F3">
      <w:pPr>
        <w:pStyle w:val="ListParagraph"/>
        <w:numPr>
          <w:ilvl w:val="1"/>
          <w:numId w:val="64"/>
        </w:numPr>
        <w:autoSpaceDN w:val="0"/>
        <w:rPr>
          <w:rFonts w:eastAsia="Calibri"/>
          <w:color w:val="000000"/>
          <w:sz w:val="20"/>
          <w:szCs w:val="20"/>
          <w:lang w:val="en-GB"/>
        </w:rPr>
      </w:pPr>
      <w:r w:rsidRPr="61F632BB">
        <w:rPr>
          <w:rFonts w:eastAsia="Calibri"/>
          <w:color w:val="000000" w:themeColor="text1"/>
          <w:sz w:val="20"/>
          <w:szCs w:val="20"/>
          <w:lang w:val="en-US"/>
        </w:rPr>
        <w:t>IAB-MT to non-IAB-DU</w:t>
      </w:r>
    </w:p>
    <w:p w14:paraId="5AB540B9"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Intra-IAB-node (self-interference) scenarios (Interference between a DU and MT of an IAB-node).</w:t>
      </w:r>
    </w:p>
    <w:p w14:paraId="7680D657" w14:textId="77777777" w:rsidR="00D177F3" w:rsidRPr="00D177F3" w:rsidRDefault="00D177F3" w:rsidP="61F632BB">
      <w:pPr>
        <w:rPr>
          <w:rFonts w:eastAsia="Calibri"/>
          <w:lang w:val="en-US"/>
        </w:rPr>
      </w:pPr>
      <w:r w:rsidRPr="61F632BB">
        <w:rPr>
          <w:rFonts w:eastAsia="Calibri"/>
          <w:lang w:val="en-US"/>
        </w:rPr>
        <w:t>This agreement does not necessarily mean that specification support is needed for any of the scenarios.</w:t>
      </w:r>
    </w:p>
    <w:p w14:paraId="47ABBF57" w14:textId="77777777" w:rsidR="00D177F3" w:rsidRPr="00D177F3" w:rsidRDefault="00D177F3" w:rsidP="61F632BB">
      <w:pPr>
        <w:rPr>
          <w:rFonts w:eastAsia="Batang"/>
          <w:lang w:val="en-US"/>
        </w:rPr>
      </w:pPr>
    </w:p>
    <w:p w14:paraId="22D850A3" w14:textId="77777777" w:rsidR="00D177F3" w:rsidRPr="00D177F3" w:rsidRDefault="00D177F3" w:rsidP="61F632BB">
      <w:pPr>
        <w:rPr>
          <w:b/>
          <w:bCs/>
          <w:highlight w:val="green"/>
          <w:lang w:val="en-US"/>
        </w:rPr>
      </w:pPr>
      <w:r w:rsidRPr="61F632BB">
        <w:rPr>
          <w:b/>
          <w:bCs/>
          <w:highlight w:val="green"/>
          <w:lang w:val="en-US"/>
        </w:rPr>
        <w:t>Agreement</w:t>
      </w:r>
    </w:p>
    <w:p w14:paraId="5F9A437F" w14:textId="77777777" w:rsidR="00D177F3" w:rsidRPr="00D177F3" w:rsidRDefault="00D177F3" w:rsidP="61F632BB">
      <w:pPr>
        <w:rPr>
          <w:rFonts w:eastAsia="Calibri"/>
          <w:lang w:val="en-US"/>
        </w:rPr>
      </w:pPr>
      <w:r w:rsidRPr="61F632BB">
        <w:rPr>
          <w:rFonts w:eastAsia="Calibri"/>
          <w:lang w:val="en-US"/>
        </w:rPr>
        <w:t>Consider resource and beam coordination techniques to mitigate/avoid interference, including (not an exhaustive list):</w:t>
      </w:r>
    </w:p>
    <w:p w14:paraId="3C1C4783"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FFS: </w:t>
      </w:r>
      <w:proofErr w:type="gramStart"/>
      <w:r w:rsidRPr="61F632BB">
        <w:rPr>
          <w:rFonts w:eastAsia="Calibri"/>
          <w:color w:val="000000" w:themeColor="text1"/>
          <w:sz w:val="20"/>
          <w:szCs w:val="20"/>
          <w:lang w:val="en-US"/>
        </w:rPr>
        <w:t>whether or not</w:t>
      </w:r>
      <w:proofErr w:type="gramEnd"/>
      <w:r w:rsidRPr="61F632BB">
        <w:rPr>
          <w:rFonts w:eastAsia="Calibri"/>
          <w:color w:val="000000" w:themeColor="text1"/>
          <w:sz w:val="20"/>
          <w:szCs w:val="20"/>
          <w:lang w:val="en-US"/>
        </w:rPr>
        <w:t xml:space="preserve"> to support IAB‐node (MT) transmissions in DL access slots </w:t>
      </w:r>
    </w:p>
    <w:p w14:paraId="23F04768"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FFS: if this has RAN1 impact or it can be handled by implementation.</w:t>
      </w:r>
    </w:p>
    <w:p w14:paraId="53F019F3"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FFS: network coordination impact</w:t>
      </w:r>
    </w:p>
    <w:p w14:paraId="3D206FD2" w14:textId="77777777"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FFS: whether Rel-16 resource management framework is sufficient.</w:t>
      </w:r>
    </w:p>
    <w:p w14:paraId="2D4118FB" w14:textId="77777777" w:rsidR="00D177F3" w:rsidRPr="00D177F3" w:rsidRDefault="00D177F3" w:rsidP="61F632BB">
      <w:pPr>
        <w:rPr>
          <w:highlight w:val="green"/>
          <w:lang w:val="en-US"/>
        </w:rPr>
      </w:pPr>
    </w:p>
    <w:p w14:paraId="66B70AFE" w14:textId="6B18B0BC" w:rsidR="00D177F3" w:rsidRPr="00D177F3" w:rsidRDefault="00D177F3" w:rsidP="61F632BB">
      <w:pPr>
        <w:rPr>
          <w:b/>
          <w:bCs/>
          <w:highlight w:val="green"/>
          <w:lang w:val="en-US"/>
        </w:rPr>
      </w:pPr>
      <w:r w:rsidRPr="61F632BB">
        <w:rPr>
          <w:b/>
          <w:bCs/>
          <w:highlight w:val="green"/>
          <w:lang w:val="en-US"/>
        </w:rPr>
        <w:t>Agreement</w:t>
      </w:r>
    </w:p>
    <w:p w14:paraId="172DAE6F" w14:textId="1894DE9C" w:rsidR="00D177F3" w:rsidRPr="00D177F3" w:rsidRDefault="00D177F3" w:rsidP="61F632BB">
      <w:pPr>
        <w:rPr>
          <w:rFonts w:eastAsia="Calibri"/>
          <w:lang w:val="en-US"/>
        </w:rPr>
      </w:pPr>
      <w:r w:rsidRPr="61F632BB">
        <w:rPr>
          <w:rFonts w:eastAsia="Calibri"/>
          <w:lang w:val="en-US"/>
        </w:rPr>
        <w:t xml:space="preserve">An IAB-node can rely on an OTA timing synchronization mechanism to enable/maintain Case 6 timing </w:t>
      </w:r>
      <w:r w:rsidR="0CECBFE2" w:rsidRPr="61F632BB">
        <w:rPr>
          <w:rFonts w:eastAsia="Calibri"/>
          <w:lang w:val="en-US"/>
        </w:rPr>
        <w:t>mode.</w:t>
      </w:r>
    </w:p>
    <w:p w14:paraId="4E898AFA" w14:textId="6A4B3AEF"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FFS whether the Rel-16 OTA synchronization mechanism is </w:t>
      </w:r>
      <w:r w:rsidR="27339D8E" w:rsidRPr="61F632BB">
        <w:rPr>
          <w:rFonts w:eastAsia="Calibri"/>
          <w:color w:val="000000" w:themeColor="text1"/>
          <w:sz w:val="20"/>
          <w:szCs w:val="20"/>
          <w:lang w:val="en-US"/>
        </w:rPr>
        <w:t>sufficient,</w:t>
      </w:r>
      <w:r w:rsidRPr="61F632BB">
        <w:rPr>
          <w:rFonts w:eastAsia="Calibri"/>
          <w:color w:val="000000" w:themeColor="text1"/>
          <w:sz w:val="20"/>
          <w:szCs w:val="20"/>
          <w:lang w:val="en-US"/>
        </w:rPr>
        <w:t xml:space="preserve"> or enhancements are </w:t>
      </w:r>
      <w:r w:rsidR="1E5DA718" w:rsidRPr="61F632BB">
        <w:rPr>
          <w:rFonts w:eastAsia="Calibri"/>
          <w:color w:val="000000" w:themeColor="text1"/>
          <w:sz w:val="20"/>
          <w:szCs w:val="20"/>
          <w:lang w:val="en-US"/>
        </w:rPr>
        <w:t>required.</w:t>
      </w:r>
      <w:r w:rsidRPr="61F632BB">
        <w:rPr>
          <w:rFonts w:eastAsia="Calibri"/>
          <w:color w:val="000000" w:themeColor="text1"/>
          <w:sz w:val="20"/>
          <w:szCs w:val="20"/>
          <w:lang w:val="en-US"/>
        </w:rPr>
        <w:t xml:space="preserve"> </w:t>
      </w:r>
    </w:p>
    <w:p w14:paraId="0DA56A92" w14:textId="5211BB5F" w:rsidR="00D177F3" w:rsidRPr="00D177F3" w:rsidRDefault="00D177F3" w:rsidP="61F632BB">
      <w:pPr>
        <w:pStyle w:val="ListParagraph"/>
        <w:numPr>
          <w:ilvl w:val="1"/>
          <w:numId w:val="64"/>
        </w:numPr>
        <w:autoSpaceDN w:val="0"/>
        <w:rPr>
          <w:rFonts w:eastAsia="Calibri"/>
          <w:color w:val="000000"/>
          <w:sz w:val="20"/>
          <w:szCs w:val="20"/>
          <w:lang w:val="en-US"/>
        </w:rPr>
      </w:pPr>
      <w:r w:rsidRPr="61F632BB">
        <w:rPr>
          <w:rFonts w:eastAsia="Calibri"/>
          <w:color w:val="000000" w:themeColor="text1"/>
          <w:sz w:val="20"/>
          <w:szCs w:val="20"/>
          <w:lang w:val="en-US"/>
        </w:rPr>
        <w:t xml:space="preserve">If required, details of enhancements including the uplink timing(s) required to support different timing alignment </w:t>
      </w:r>
      <w:r w:rsidR="6EE93DDE" w:rsidRPr="61F632BB">
        <w:rPr>
          <w:rFonts w:eastAsia="Calibri"/>
          <w:color w:val="000000" w:themeColor="text1"/>
          <w:sz w:val="20"/>
          <w:szCs w:val="20"/>
          <w:lang w:val="en-US"/>
        </w:rPr>
        <w:t>cases.</w:t>
      </w:r>
    </w:p>
    <w:p w14:paraId="1DF61D09" w14:textId="77777777" w:rsidR="00D177F3" w:rsidRPr="00D177F3" w:rsidRDefault="00D177F3" w:rsidP="61F632BB">
      <w:pPr>
        <w:pStyle w:val="ListParagraph"/>
        <w:ind w:left="0"/>
        <w:rPr>
          <w:rFonts w:eastAsia="Calibri"/>
          <w:color w:val="000000"/>
          <w:sz w:val="20"/>
          <w:szCs w:val="20"/>
          <w:lang w:val="en-US"/>
        </w:rPr>
      </w:pPr>
    </w:p>
    <w:p w14:paraId="6515AB00" w14:textId="77777777" w:rsidR="00D177F3" w:rsidRPr="00D177F3" w:rsidRDefault="00D177F3" w:rsidP="61F632BB">
      <w:pPr>
        <w:rPr>
          <w:b/>
          <w:bCs/>
          <w:highlight w:val="green"/>
          <w:lang w:val="en-US"/>
        </w:rPr>
      </w:pPr>
      <w:r w:rsidRPr="61F632BB">
        <w:rPr>
          <w:b/>
          <w:bCs/>
          <w:highlight w:val="green"/>
          <w:lang w:val="en-US"/>
        </w:rPr>
        <w:t>Agreement</w:t>
      </w:r>
    </w:p>
    <w:p w14:paraId="0B4E0DD3" w14:textId="77777777" w:rsidR="00D177F3" w:rsidRPr="00D177F3" w:rsidRDefault="00D177F3" w:rsidP="61F632BB">
      <w:pPr>
        <w:rPr>
          <w:rFonts w:eastAsia="Calibri"/>
          <w:lang w:val="en-US"/>
        </w:rPr>
      </w:pPr>
      <w:r w:rsidRPr="61F632BB">
        <w:rPr>
          <w:rFonts w:eastAsia="Calibri"/>
          <w:lang w:val="en-US"/>
        </w:rPr>
        <w:t>An IAB-node, when operating in Case 7 timing mode, can enable a child node to set its DL Tx timing based on Rel-16 OTA timing synchronization mechanism.</w:t>
      </w:r>
    </w:p>
    <w:p w14:paraId="4C74FD91" w14:textId="1684E3FE" w:rsidR="00D177F3" w:rsidRPr="00D177F3" w:rsidRDefault="00D177F3" w:rsidP="00D177F3">
      <w:pPr>
        <w:pStyle w:val="ListParagraph"/>
        <w:numPr>
          <w:ilvl w:val="0"/>
          <w:numId w:val="64"/>
        </w:numPr>
        <w:autoSpaceDN w:val="0"/>
        <w:rPr>
          <w:rFonts w:eastAsia="Calibri"/>
          <w:color w:val="000000"/>
          <w:sz w:val="20"/>
          <w:szCs w:val="20"/>
        </w:rPr>
      </w:pPr>
      <w:r w:rsidRPr="61F632BB">
        <w:rPr>
          <w:rFonts w:eastAsia="Calibri"/>
          <w:color w:val="000000" w:themeColor="text1"/>
          <w:sz w:val="20"/>
          <w:szCs w:val="20"/>
          <w:lang w:val="en-US"/>
        </w:rPr>
        <w:t xml:space="preserve">FFS whether Rel-16 OTA synchronization mechanism enhancements are </w:t>
      </w:r>
      <w:r w:rsidR="47284505" w:rsidRPr="61F632BB">
        <w:rPr>
          <w:rFonts w:eastAsia="Calibri"/>
          <w:color w:val="000000" w:themeColor="text1"/>
          <w:sz w:val="20"/>
          <w:szCs w:val="20"/>
          <w:lang w:val="en-US"/>
        </w:rPr>
        <w:t>required.</w:t>
      </w:r>
      <w:r w:rsidRPr="61F632BB">
        <w:rPr>
          <w:rFonts w:eastAsia="Calibri"/>
          <w:color w:val="000000" w:themeColor="text1"/>
          <w:sz w:val="20"/>
          <w:szCs w:val="20"/>
          <w:lang w:val="en-US"/>
        </w:rPr>
        <w:t xml:space="preserve"> </w:t>
      </w:r>
    </w:p>
    <w:p w14:paraId="3F307A12" w14:textId="77777777" w:rsidR="00D177F3" w:rsidRPr="00D177F3" w:rsidRDefault="00D177F3" w:rsidP="00D177F3">
      <w:pPr>
        <w:pStyle w:val="ListParagraph"/>
        <w:numPr>
          <w:ilvl w:val="1"/>
          <w:numId w:val="64"/>
        </w:numPr>
        <w:autoSpaceDN w:val="0"/>
        <w:rPr>
          <w:rFonts w:eastAsia="Calibri"/>
          <w:color w:val="000000"/>
          <w:sz w:val="20"/>
          <w:szCs w:val="20"/>
        </w:rPr>
      </w:pPr>
      <w:r w:rsidRPr="61F632BB">
        <w:rPr>
          <w:rFonts w:eastAsia="Calibri"/>
          <w:color w:val="000000" w:themeColor="text1"/>
          <w:sz w:val="20"/>
          <w:szCs w:val="20"/>
          <w:lang w:val="en-US"/>
        </w:rPr>
        <w:t>FFS details of enhancements, if required</w:t>
      </w:r>
    </w:p>
    <w:p w14:paraId="6E16083D" w14:textId="634A6585" w:rsidR="00012B1B" w:rsidRPr="00D177F3" w:rsidDel="00D26766" w:rsidRDefault="00012B1B" w:rsidP="61F632BB">
      <w:pPr>
        <w:spacing w:after="0"/>
        <w:rPr>
          <w:lang w:val="en-US"/>
        </w:rPr>
      </w:pPr>
      <w:bookmarkStart w:id="2" w:name="_Hlk67931513"/>
      <w:bookmarkEnd w:id="2"/>
    </w:p>
    <w:p w14:paraId="02C1BC25" w14:textId="377C681E" w:rsidR="00D177F3" w:rsidRDefault="00D177F3" w:rsidP="61F632BB">
      <w:pPr>
        <w:pStyle w:val="Heading2"/>
        <w:rPr>
          <w:lang w:val="en-US"/>
        </w:rPr>
      </w:pPr>
      <w:r w:rsidRPr="61F632BB">
        <w:rPr>
          <w:lang w:val="en-US"/>
        </w:rPr>
        <w:lastRenderedPageBreak/>
        <w:t>RAN 102-e</w:t>
      </w:r>
    </w:p>
    <w:p w14:paraId="266DC24B" w14:textId="77777777" w:rsidR="00D177F3" w:rsidRPr="00D177F3" w:rsidRDefault="00D177F3" w:rsidP="61F632BB">
      <w:pPr>
        <w:rPr>
          <w:rFonts w:ascii="Calibri" w:hAnsi="Calibri"/>
          <w:b/>
          <w:bCs/>
          <w:lang w:val="en-US"/>
        </w:rPr>
      </w:pPr>
      <w:r w:rsidRPr="61F632BB">
        <w:rPr>
          <w:b/>
          <w:bCs/>
          <w:highlight w:val="green"/>
          <w:lang w:val="en-US"/>
        </w:rPr>
        <w:t>Agreement</w:t>
      </w:r>
    </w:p>
    <w:p w14:paraId="5BC3731D" w14:textId="77777777" w:rsidR="00D177F3" w:rsidRDefault="00D177F3" w:rsidP="00D177F3">
      <w:pPr>
        <w:numPr>
          <w:ilvl w:val="0"/>
          <w:numId w:val="65"/>
        </w:numPr>
        <w:overflowPunct/>
        <w:autoSpaceDE/>
        <w:autoSpaceDN/>
        <w:adjustRightInd/>
        <w:spacing w:after="0"/>
        <w:textAlignment w:val="auto"/>
        <w:rPr>
          <w:rFonts w:ascii="Times" w:hAnsi="Times"/>
          <w:lang w:eastAsia="zh-CN"/>
        </w:rPr>
      </w:pPr>
      <w:r w:rsidRPr="61F632BB">
        <w:rPr>
          <w:lang w:val="en-US"/>
        </w:rPr>
        <w:t>Case 7 timing is supported in Rel-17 for IAB-nodes operating in multiplexing scenario Case 2 (simultaneous MT-Rx/DU-Rx)</w:t>
      </w:r>
    </w:p>
    <w:p w14:paraId="7423FE64" w14:textId="77777777" w:rsidR="00D177F3" w:rsidRDefault="00D177F3" w:rsidP="61F632BB">
      <w:pPr>
        <w:numPr>
          <w:ilvl w:val="0"/>
          <w:numId w:val="66"/>
        </w:numPr>
        <w:overflowPunct/>
        <w:autoSpaceDE/>
        <w:autoSpaceDN/>
        <w:adjustRightInd/>
        <w:spacing w:after="0"/>
        <w:textAlignment w:val="auto"/>
        <w:rPr>
          <w:lang w:val="en-US"/>
        </w:rPr>
      </w:pPr>
      <w:r w:rsidRPr="61F632BB">
        <w:rPr>
          <w:lang w:val="en-US"/>
        </w:rPr>
        <w:t>Case 6 timing is supported in Rel-17 for IAB-nodes operating in multiplexing scenario Case 1 (simultaneous MT-Tx/DU-Tx)</w:t>
      </w:r>
    </w:p>
    <w:p w14:paraId="23E340E2" w14:textId="597ED5C0" w:rsidR="00D177F3" w:rsidRDefault="00D177F3" w:rsidP="61F632BB">
      <w:pPr>
        <w:numPr>
          <w:ilvl w:val="1"/>
          <w:numId w:val="66"/>
        </w:numPr>
        <w:overflowPunct/>
        <w:autoSpaceDE/>
        <w:autoSpaceDN/>
        <w:adjustRightInd/>
        <w:spacing w:after="0"/>
        <w:textAlignment w:val="auto"/>
        <w:rPr>
          <w:lang w:val="en-US"/>
        </w:rPr>
      </w:pPr>
      <w:r w:rsidRPr="61F632BB">
        <w:rPr>
          <w:lang w:val="en-US"/>
        </w:rPr>
        <w:t xml:space="preserve">RAN1 should strive to minimize specification impact due to this </w:t>
      </w:r>
      <w:r w:rsidR="3D8CA23F" w:rsidRPr="61F632BB">
        <w:rPr>
          <w:lang w:val="en-US"/>
        </w:rPr>
        <w:t>feature.</w:t>
      </w:r>
    </w:p>
    <w:p w14:paraId="1AED568F" w14:textId="0C0768F8" w:rsidR="00D177F3" w:rsidRPr="005A4B81" w:rsidRDefault="00D177F3" w:rsidP="0076113C">
      <w:pPr>
        <w:numPr>
          <w:ilvl w:val="0"/>
          <w:numId w:val="66"/>
        </w:numPr>
        <w:overflowPunct/>
        <w:autoSpaceDE/>
        <w:autoSpaceDN/>
        <w:adjustRightInd/>
        <w:spacing w:after="0"/>
        <w:textAlignment w:val="auto"/>
        <w:rPr>
          <w:lang w:val="en-US"/>
        </w:rPr>
      </w:pPr>
      <w:r w:rsidRPr="005A4B81">
        <w:rPr>
          <w:lang w:val="en-US"/>
        </w:rPr>
        <w:t>FFS: Whether Case 7 timing is supported in Rel-17 for IAB-nodes operating in multiplexing scenario Case 4 (simultaneous MT-Tx/DU-Rx)</w:t>
      </w:r>
    </w:p>
    <w:p w14:paraId="18E73C19" w14:textId="3145FA4C" w:rsidR="00012B1B" w:rsidRPr="00D177F3" w:rsidRDefault="00012B1B" w:rsidP="61F632BB">
      <w:pPr>
        <w:pStyle w:val="Heading2"/>
        <w:rPr>
          <w:szCs w:val="32"/>
          <w:lang w:val="en-US"/>
        </w:rPr>
      </w:pPr>
    </w:p>
    <w:sectPr w:rsidR="00012B1B" w:rsidRPr="00D177F3" w:rsidSect="0036429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E4926" w14:textId="77777777" w:rsidR="00BC52DE" w:rsidRDefault="00BC52DE">
      <w:r>
        <w:separator/>
      </w:r>
    </w:p>
  </w:endnote>
  <w:endnote w:type="continuationSeparator" w:id="0">
    <w:p w14:paraId="6211F802" w14:textId="77777777" w:rsidR="00BC52DE" w:rsidRDefault="00BC52DE">
      <w:r>
        <w:continuationSeparator/>
      </w:r>
    </w:p>
  </w:endnote>
  <w:endnote w:type="continuationNotice" w:id="1">
    <w:p w14:paraId="3316A06E" w14:textId="77777777" w:rsidR="00BC52DE" w:rsidRDefault="00BC5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F425EB" w:rsidRDefault="00F425EB">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F425EB" w:rsidRPr="00B75603" w:rsidRDefault="00F425EB"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F425EB" w:rsidRPr="00B75603" w:rsidRDefault="00F425EB"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1D3B4" w14:textId="77777777" w:rsidR="00BC52DE" w:rsidRDefault="00BC52DE">
      <w:r>
        <w:separator/>
      </w:r>
    </w:p>
  </w:footnote>
  <w:footnote w:type="continuationSeparator" w:id="0">
    <w:p w14:paraId="7FA78E5B" w14:textId="77777777" w:rsidR="00BC52DE" w:rsidRDefault="00BC52DE">
      <w:r>
        <w:continuationSeparator/>
      </w:r>
    </w:p>
  </w:footnote>
  <w:footnote w:type="continuationNotice" w:id="1">
    <w:p w14:paraId="47521CFC" w14:textId="77777777" w:rsidR="00BC52DE" w:rsidRDefault="00BC52DE">
      <w:pPr>
        <w:spacing w:after="0"/>
      </w:pPr>
    </w:p>
  </w:footnote>
</w:footnotes>
</file>

<file path=word/intelligence.xml><?xml version="1.0" encoding="utf-8"?>
<int:Intelligence xmlns:int="http://schemas.microsoft.com/office/intelligence/2019/intelligence">
  <int:IntelligenceSettings/>
  <int:Manifest>
    <int:WordHash hashCode="6h+l8Z9I+8ONt4" id="d/vcmTKu"/>
    <int:WordHash hashCode="S03H53fvUJUzN0" id="SyQDGcdP"/>
    <int:WordHash hashCode="GfS50sXK71PCMA" id="Tfy+YK06"/>
    <int:WordHash hashCode="e0dMsLOcF3PXGS" id="eU5pM5FS"/>
    <int:WordHash hashCode="V9CnXcV+ZGgRNM" id="YKCpIP47"/>
    <int:WordHash hashCode="0GYf/LRGEYcRtn" id="s3Ooio2p"/>
    <int:WordHash hashCode="63NiMkEBMnluF1" id="niSh8Fgo"/>
    <int:WordHash hashCode="HHtxQa1byRPEkq" id="CvSviuaD"/>
    <int:WordHash hashCode="ucuCi49aB6DY6P" id="wskDopao"/>
    <int:WordHash hashCode="KY5X70fcsuI5PX" id="AFqLX8fz"/>
    <int:WordHash hashCode="0IZqAkfCqBMVjg" id="HvK9EtA9"/>
    <int:WordHash hashCode="moTou6uQ9mqYti" id="LpVhvIuS"/>
  </int:Manifest>
  <int:Observations>
    <int:Content id="d/vcmTKu">
      <int:Rejection type="LegacyProofing"/>
    </int:Content>
    <int:Content id="SyQDGcdP">
      <int:Rejection type="LegacyProofing"/>
    </int:Content>
    <int:Content id="Tfy+YK06">
      <int:Rejection type="LegacyProofing"/>
    </int:Content>
    <int:Content id="eU5pM5FS">
      <int:Rejection type="AugLoop_Text_Critique"/>
    </int:Content>
    <int:Content id="YKCpIP47">
      <int:Rejection type="AugLoop_Text_Critique"/>
    </int:Content>
    <int:Content id="s3Ooio2p">
      <int:Rejection type="AugLoop_Text_Critique"/>
    </int:Content>
    <int:Content id="niSh8Fgo">
      <int:Rejection type="AugLoop_Text_Critique"/>
    </int:Content>
    <int:Content id="CvSviuaD">
      <int:Rejection type="AugLoop_Text_Critique"/>
    </int:Content>
    <int:Content id="wskDopao">
      <int:Rejection type="AugLoop_Text_Critique"/>
    </int:Content>
    <int:Content id="AFqLX8fz">
      <int:Rejection type="AugLoop_Text_Critique"/>
    </int:Content>
    <int:Content id="HvK9EtA9">
      <int:Rejection type="AugLoop_Text_Critique"/>
    </int:Content>
    <int:Content id="LpVhvIu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45FB7"/>
    <w:multiLevelType w:val="multilevel"/>
    <w:tmpl w:val="6D96773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CD6B04"/>
    <w:multiLevelType w:val="hybridMultilevel"/>
    <w:tmpl w:val="6862EBEE"/>
    <w:lvl w:ilvl="0" w:tplc="B44EA542">
      <w:start w:val="1"/>
      <w:numFmt w:val="bullet"/>
      <w:lvlText w:val="·"/>
      <w:lvlJc w:val="left"/>
      <w:pPr>
        <w:ind w:left="720" w:hanging="360"/>
      </w:pPr>
      <w:rPr>
        <w:rFonts w:ascii="Symbol" w:hAnsi="Symbol" w:hint="default"/>
      </w:rPr>
    </w:lvl>
    <w:lvl w:ilvl="1" w:tplc="763A126A">
      <w:start w:val="1"/>
      <w:numFmt w:val="bullet"/>
      <w:lvlText w:val="o"/>
      <w:lvlJc w:val="left"/>
      <w:pPr>
        <w:ind w:left="1440" w:hanging="360"/>
      </w:pPr>
      <w:rPr>
        <w:rFonts w:ascii="Courier New" w:hAnsi="Courier New" w:hint="default"/>
      </w:rPr>
    </w:lvl>
    <w:lvl w:ilvl="2" w:tplc="ED5C799C">
      <w:start w:val="1"/>
      <w:numFmt w:val="bullet"/>
      <w:lvlText w:val=""/>
      <w:lvlJc w:val="left"/>
      <w:pPr>
        <w:ind w:left="2160" w:hanging="360"/>
      </w:pPr>
      <w:rPr>
        <w:rFonts w:ascii="Wingdings" w:hAnsi="Wingdings" w:hint="default"/>
      </w:rPr>
    </w:lvl>
    <w:lvl w:ilvl="3" w:tplc="D7009C0E">
      <w:start w:val="1"/>
      <w:numFmt w:val="bullet"/>
      <w:lvlText w:val=""/>
      <w:lvlJc w:val="left"/>
      <w:pPr>
        <w:ind w:left="2880" w:hanging="360"/>
      </w:pPr>
      <w:rPr>
        <w:rFonts w:ascii="Symbol" w:hAnsi="Symbol" w:hint="default"/>
      </w:rPr>
    </w:lvl>
    <w:lvl w:ilvl="4" w:tplc="39EC9F60">
      <w:start w:val="1"/>
      <w:numFmt w:val="bullet"/>
      <w:lvlText w:val="o"/>
      <w:lvlJc w:val="left"/>
      <w:pPr>
        <w:ind w:left="3600" w:hanging="360"/>
      </w:pPr>
      <w:rPr>
        <w:rFonts w:ascii="Courier New" w:hAnsi="Courier New" w:hint="default"/>
      </w:rPr>
    </w:lvl>
    <w:lvl w:ilvl="5" w:tplc="A2D65EBA">
      <w:start w:val="1"/>
      <w:numFmt w:val="bullet"/>
      <w:lvlText w:val=""/>
      <w:lvlJc w:val="left"/>
      <w:pPr>
        <w:ind w:left="4320" w:hanging="360"/>
      </w:pPr>
      <w:rPr>
        <w:rFonts w:ascii="Wingdings" w:hAnsi="Wingdings" w:hint="default"/>
      </w:rPr>
    </w:lvl>
    <w:lvl w:ilvl="6" w:tplc="98EE7544">
      <w:start w:val="1"/>
      <w:numFmt w:val="bullet"/>
      <w:lvlText w:val=""/>
      <w:lvlJc w:val="left"/>
      <w:pPr>
        <w:ind w:left="5040" w:hanging="360"/>
      </w:pPr>
      <w:rPr>
        <w:rFonts w:ascii="Symbol" w:hAnsi="Symbol" w:hint="default"/>
      </w:rPr>
    </w:lvl>
    <w:lvl w:ilvl="7" w:tplc="26D0624C">
      <w:start w:val="1"/>
      <w:numFmt w:val="bullet"/>
      <w:lvlText w:val="o"/>
      <w:lvlJc w:val="left"/>
      <w:pPr>
        <w:ind w:left="5760" w:hanging="360"/>
      </w:pPr>
      <w:rPr>
        <w:rFonts w:ascii="Courier New" w:hAnsi="Courier New" w:hint="default"/>
      </w:rPr>
    </w:lvl>
    <w:lvl w:ilvl="8" w:tplc="5F8E6666">
      <w:start w:val="1"/>
      <w:numFmt w:val="bullet"/>
      <w:lvlText w:val=""/>
      <w:lvlJc w:val="left"/>
      <w:pPr>
        <w:ind w:left="6480" w:hanging="360"/>
      </w:pPr>
      <w:rPr>
        <w:rFonts w:ascii="Wingdings" w:hAnsi="Wingdings" w:hint="default"/>
      </w:rPr>
    </w:lvl>
  </w:abstractNum>
  <w:abstractNum w:abstractNumId="4" w15:restartNumberingAfterBreak="0">
    <w:nsid w:val="071141CC"/>
    <w:multiLevelType w:val="multilevel"/>
    <w:tmpl w:val="DD84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04A66"/>
    <w:multiLevelType w:val="multilevel"/>
    <w:tmpl w:val="EC18DF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480DCB"/>
    <w:multiLevelType w:val="hybridMultilevel"/>
    <w:tmpl w:val="B602FF9C"/>
    <w:lvl w:ilvl="0" w:tplc="CD5003E6">
      <w:start w:val="1"/>
      <w:numFmt w:val="decimal"/>
      <w:lvlText w:val="%1."/>
      <w:lvlJc w:val="left"/>
      <w:pPr>
        <w:ind w:left="720" w:hanging="360"/>
      </w:pPr>
    </w:lvl>
    <w:lvl w:ilvl="1" w:tplc="0EEA7170">
      <w:start w:val="1"/>
      <w:numFmt w:val="lowerLetter"/>
      <w:lvlText w:val="%2."/>
      <w:lvlJc w:val="left"/>
      <w:pPr>
        <w:ind w:left="1440" w:hanging="360"/>
      </w:pPr>
    </w:lvl>
    <w:lvl w:ilvl="2" w:tplc="2DEE7E34">
      <w:start w:val="1"/>
      <w:numFmt w:val="lowerRoman"/>
      <w:lvlText w:val="%3."/>
      <w:lvlJc w:val="right"/>
      <w:pPr>
        <w:ind w:left="2160" w:hanging="180"/>
      </w:pPr>
    </w:lvl>
    <w:lvl w:ilvl="3" w:tplc="2F4CFCFE">
      <w:start w:val="1"/>
      <w:numFmt w:val="decimal"/>
      <w:lvlText w:val="%4."/>
      <w:lvlJc w:val="left"/>
      <w:pPr>
        <w:ind w:left="2880" w:hanging="360"/>
      </w:pPr>
    </w:lvl>
    <w:lvl w:ilvl="4" w:tplc="48C6434C">
      <w:start w:val="1"/>
      <w:numFmt w:val="lowerLetter"/>
      <w:lvlText w:val="%5."/>
      <w:lvlJc w:val="left"/>
      <w:pPr>
        <w:ind w:left="3600" w:hanging="360"/>
      </w:pPr>
    </w:lvl>
    <w:lvl w:ilvl="5" w:tplc="4650E58C">
      <w:start w:val="1"/>
      <w:numFmt w:val="lowerRoman"/>
      <w:lvlText w:val="%6."/>
      <w:lvlJc w:val="right"/>
      <w:pPr>
        <w:ind w:left="4320" w:hanging="180"/>
      </w:pPr>
    </w:lvl>
    <w:lvl w:ilvl="6" w:tplc="E5D0067C">
      <w:start w:val="1"/>
      <w:numFmt w:val="decimal"/>
      <w:lvlText w:val="%7."/>
      <w:lvlJc w:val="left"/>
      <w:pPr>
        <w:ind w:left="5040" w:hanging="360"/>
      </w:pPr>
    </w:lvl>
    <w:lvl w:ilvl="7" w:tplc="204694EC">
      <w:start w:val="1"/>
      <w:numFmt w:val="lowerLetter"/>
      <w:lvlText w:val="%8."/>
      <w:lvlJc w:val="left"/>
      <w:pPr>
        <w:ind w:left="5760" w:hanging="360"/>
      </w:pPr>
    </w:lvl>
    <w:lvl w:ilvl="8" w:tplc="999A19EC">
      <w:start w:val="1"/>
      <w:numFmt w:val="lowerRoman"/>
      <w:lvlText w:val="%9."/>
      <w:lvlJc w:val="right"/>
      <w:pPr>
        <w:ind w:left="6480" w:hanging="180"/>
      </w:pPr>
    </w:lvl>
  </w:abstractNum>
  <w:abstractNum w:abstractNumId="7" w15:restartNumberingAfterBreak="0">
    <w:nsid w:val="0A4F3471"/>
    <w:multiLevelType w:val="multilevel"/>
    <w:tmpl w:val="0D02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D3BDB"/>
    <w:multiLevelType w:val="multilevel"/>
    <w:tmpl w:val="070827B0"/>
    <w:lvl w:ilvl="0">
      <w:start w:val="1"/>
      <w:numFmt w:val="bullet"/>
      <w:lvlText w:val=""/>
      <w:lvlJc w:val="left"/>
      <w:pPr>
        <w:tabs>
          <w:tab w:val="num" w:pos="684"/>
        </w:tabs>
        <w:ind w:left="684" w:hanging="360"/>
      </w:pPr>
      <w:rPr>
        <w:rFonts w:ascii="Symbol" w:hAnsi="Symbol" w:hint="default"/>
        <w:sz w:val="20"/>
      </w:rPr>
    </w:lvl>
    <w:lvl w:ilvl="1" w:tentative="1">
      <w:start w:val="1"/>
      <w:numFmt w:val="bullet"/>
      <w:lvlText w:val="o"/>
      <w:lvlJc w:val="left"/>
      <w:pPr>
        <w:tabs>
          <w:tab w:val="num" w:pos="1404"/>
        </w:tabs>
        <w:ind w:left="1404" w:hanging="360"/>
      </w:pPr>
      <w:rPr>
        <w:rFonts w:ascii="Courier New" w:hAnsi="Courier New" w:hint="default"/>
        <w:sz w:val="20"/>
      </w:rPr>
    </w:lvl>
    <w:lvl w:ilvl="2" w:tentative="1">
      <w:start w:val="1"/>
      <w:numFmt w:val="bullet"/>
      <w:lvlText w:val=""/>
      <w:lvlJc w:val="left"/>
      <w:pPr>
        <w:tabs>
          <w:tab w:val="num" w:pos="2124"/>
        </w:tabs>
        <w:ind w:left="2124" w:hanging="360"/>
      </w:pPr>
      <w:rPr>
        <w:rFonts w:ascii="Wingdings" w:hAnsi="Wingdings" w:hint="default"/>
        <w:sz w:val="20"/>
      </w:rPr>
    </w:lvl>
    <w:lvl w:ilvl="3" w:tentative="1">
      <w:start w:val="1"/>
      <w:numFmt w:val="bullet"/>
      <w:lvlText w:val=""/>
      <w:lvlJc w:val="left"/>
      <w:pPr>
        <w:tabs>
          <w:tab w:val="num" w:pos="2844"/>
        </w:tabs>
        <w:ind w:left="2844" w:hanging="360"/>
      </w:pPr>
      <w:rPr>
        <w:rFonts w:ascii="Wingdings" w:hAnsi="Wingdings" w:hint="default"/>
        <w:sz w:val="20"/>
      </w:rPr>
    </w:lvl>
    <w:lvl w:ilvl="4" w:tentative="1">
      <w:start w:val="1"/>
      <w:numFmt w:val="bullet"/>
      <w:lvlText w:val=""/>
      <w:lvlJc w:val="left"/>
      <w:pPr>
        <w:tabs>
          <w:tab w:val="num" w:pos="3564"/>
        </w:tabs>
        <w:ind w:left="3564" w:hanging="360"/>
      </w:pPr>
      <w:rPr>
        <w:rFonts w:ascii="Wingdings" w:hAnsi="Wingdings" w:hint="default"/>
        <w:sz w:val="20"/>
      </w:rPr>
    </w:lvl>
    <w:lvl w:ilvl="5" w:tentative="1">
      <w:start w:val="1"/>
      <w:numFmt w:val="bullet"/>
      <w:lvlText w:val=""/>
      <w:lvlJc w:val="left"/>
      <w:pPr>
        <w:tabs>
          <w:tab w:val="num" w:pos="4284"/>
        </w:tabs>
        <w:ind w:left="4284" w:hanging="360"/>
      </w:pPr>
      <w:rPr>
        <w:rFonts w:ascii="Wingdings" w:hAnsi="Wingdings" w:hint="default"/>
        <w:sz w:val="20"/>
      </w:rPr>
    </w:lvl>
    <w:lvl w:ilvl="6" w:tentative="1">
      <w:start w:val="1"/>
      <w:numFmt w:val="bullet"/>
      <w:lvlText w:val=""/>
      <w:lvlJc w:val="left"/>
      <w:pPr>
        <w:tabs>
          <w:tab w:val="num" w:pos="5004"/>
        </w:tabs>
        <w:ind w:left="5004" w:hanging="360"/>
      </w:pPr>
      <w:rPr>
        <w:rFonts w:ascii="Wingdings" w:hAnsi="Wingdings" w:hint="default"/>
        <w:sz w:val="20"/>
      </w:rPr>
    </w:lvl>
    <w:lvl w:ilvl="7" w:tentative="1">
      <w:start w:val="1"/>
      <w:numFmt w:val="bullet"/>
      <w:lvlText w:val=""/>
      <w:lvlJc w:val="left"/>
      <w:pPr>
        <w:tabs>
          <w:tab w:val="num" w:pos="5724"/>
        </w:tabs>
        <w:ind w:left="5724" w:hanging="360"/>
      </w:pPr>
      <w:rPr>
        <w:rFonts w:ascii="Wingdings" w:hAnsi="Wingdings" w:hint="default"/>
        <w:sz w:val="20"/>
      </w:rPr>
    </w:lvl>
    <w:lvl w:ilvl="8" w:tentative="1">
      <w:start w:val="1"/>
      <w:numFmt w:val="bullet"/>
      <w:lvlText w:val=""/>
      <w:lvlJc w:val="left"/>
      <w:pPr>
        <w:tabs>
          <w:tab w:val="num" w:pos="6444"/>
        </w:tabs>
        <w:ind w:left="6444" w:hanging="360"/>
      </w:pPr>
      <w:rPr>
        <w:rFonts w:ascii="Wingdings" w:hAnsi="Wingdings" w:hint="default"/>
        <w:sz w:val="20"/>
      </w:rPr>
    </w:lvl>
  </w:abstractNum>
  <w:abstractNum w:abstractNumId="11" w15:restartNumberingAfterBreak="0">
    <w:nsid w:val="12A27EF4"/>
    <w:multiLevelType w:val="hybridMultilevel"/>
    <w:tmpl w:val="52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AF0358"/>
    <w:multiLevelType w:val="hybridMultilevel"/>
    <w:tmpl w:val="E3BA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46DE9"/>
    <w:multiLevelType w:val="multilevel"/>
    <w:tmpl w:val="C7A497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B16FC"/>
    <w:multiLevelType w:val="multilevel"/>
    <w:tmpl w:val="E64810C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1B4431"/>
    <w:multiLevelType w:val="hybridMultilevel"/>
    <w:tmpl w:val="C2FA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74885"/>
    <w:multiLevelType w:val="hybridMultilevel"/>
    <w:tmpl w:val="3C865A02"/>
    <w:lvl w:ilvl="0" w:tplc="FF7036AA">
      <w:start w:val="1"/>
      <w:numFmt w:val="bullet"/>
      <w:lvlText w:val=""/>
      <w:lvlJc w:val="left"/>
      <w:pPr>
        <w:ind w:left="928" w:hanging="360"/>
      </w:pPr>
      <w:rPr>
        <w:rFonts w:ascii="Symbol" w:hAnsi="Symbol" w:hint="default"/>
      </w:rPr>
    </w:lvl>
    <w:lvl w:ilvl="1" w:tplc="6674E8D0">
      <w:start w:val="1"/>
      <w:numFmt w:val="bullet"/>
      <w:lvlText w:val="o"/>
      <w:lvlJc w:val="left"/>
      <w:pPr>
        <w:ind w:left="1648" w:hanging="360"/>
      </w:pPr>
      <w:rPr>
        <w:rFonts w:ascii="Courier New" w:hAnsi="Courier New" w:hint="default"/>
      </w:rPr>
    </w:lvl>
    <w:lvl w:ilvl="2" w:tplc="0458FFCC" w:tentative="1">
      <w:start w:val="1"/>
      <w:numFmt w:val="bullet"/>
      <w:lvlText w:val=""/>
      <w:lvlJc w:val="left"/>
      <w:pPr>
        <w:ind w:left="2368" w:hanging="360"/>
      </w:pPr>
      <w:rPr>
        <w:rFonts w:ascii="Wingdings" w:hAnsi="Wingdings" w:hint="default"/>
      </w:rPr>
    </w:lvl>
    <w:lvl w:ilvl="3" w:tplc="D598B5A4" w:tentative="1">
      <w:start w:val="1"/>
      <w:numFmt w:val="bullet"/>
      <w:lvlText w:val=""/>
      <w:lvlJc w:val="left"/>
      <w:pPr>
        <w:ind w:left="3088" w:hanging="360"/>
      </w:pPr>
      <w:rPr>
        <w:rFonts w:ascii="Symbol" w:hAnsi="Symbol" w:hint="default"/>
      </w:rPr>
    </w:lvl>
    <w:lvl w:ilvl="4" w:tplc="E9748C5E" w:tentative="1">
      <w:start w:val="1"/>
      <w:numFmt w:val="bullet"/>
      <w:lvlText w:val="o"/>
      <w:lvlJc w:val="left"/>
      <w:pPr>
        <w:ind w:left="3808" w:hanging="360"/>
      </w:pPr>
      <w:rPr>
        <w:rFonts w:ascii="Courier New" w:hAnsi="Courier New" w:hint="default"/>
      </w:rPr>
    </w:lvl>
    <w:lvl w:ilvl="5" w:tplc="8ABA68F6" w:tentative="1">
      <w:start w:val="1"/>
      <w:numFmt w:val="bullet"/>
      <w:lvlText w:val=""/>
      <w:lvlJc w:val="left"/>
      <w:pPr>
        <w:ind w:left="4528" w:hanging="360"/>
      </w:pPr>
      <w:rPr>
        <w:rFonts w:ascii="Wingdings" w:hAnsi="Wingdings" w:hint="default"/>
      </w:rPr>
    </w:lvl>
    <w:lvl w:ilvl="6" w:tplc="41BC2FF2" w:tentative="1">
      <w:start w:val="1"/>
      <w:numFmt w:val="bullet"/>
      <w:lvlText w:val=""/>
      <w:lvlJc w:val="left"/>
      <w:pPr>
        <w:ind w:left="5248" w:hanging="360"/>
      </w:pPr>
      <w:rPr>
        <w:rFonts w:ascii="Symbol" w:hAnsi="Symbol" w:hint="default"/>
      </w:rPr>
    </w:lvl>
    <w:lvl w:ilvl="7" w:tplc="D91ED22E" w:tentative="1">
      <w:start w:val="1"/>
      <w:numFmt w:val="bullet"/>
      <w:lvlText w:val="o"/>
      <w:lvlJc w:val="left"/>
      <w:pPr>
        <w:ind w:left="5968" w:hanging="360"/>
      </w:pPr>
      <w:rPr>
        <w:rFonts w:ascii="Courier New" w:hAnsi="Courier New" w:hint="default"/>
      </w:rPr>
    </w:lvl>
    <w:lvl w:ilvl="8" w:tplc="DD26A8A0" w:tentative="1">
      <w:start w:val="1"/>
      <w:numFmt w:val="bullet"/>
      <w:lvlText w:val=""/>
      <w:lvlJc w:val="left"/>
      <w:pPr>
        <w:ind w:left="6688" w:hanging="360"/>
      </w:pPr>
      <w:rPr>
        <w:rFonts w:ascii="Wingdings" w:hAnsi="Wingdings" w:hint="default"/>
      </w:rPr>
    </w:lvl>
  </w:abstractNum>
  <w:abstractNum w:abstractNumId="18" w15:restartNumberingAfterBreak="0">
    <w:nsid w:val="220316F9"/>
    <w:multiLevelType w:val="hybridMultilevel"/>
    <w:tmpl w:val="16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2752CF"/>
    <w:multiLevelType w:val="hybridMultilevel"/>
    <w:tmpl w:val="4822C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AED05F8"/>
    <w:multiLevelType w:val="multilevel"/>
    <w:tmpl w:val="632AA9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3E60D0"/>
    <w:multiLevelType w:val="hybridMultilevel"/>
    <w:tmpl w:val="9672F8D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3" w15:restartNumberingAfterBreak="0">
    <w:nsid w:val="2D974502"/>
    <w:multiLevelType w:val="hybridMultilevel"/>
    <w:tmpl w:val="25105D4C"/>
    <w:lvl w:ilvl="0" w:tplc="84A670B6">
      <w:start w:val="1"/>
      <w:numFmt w:val="bullet"/>
      <w:lvlText w:val=""/>
      <w:lvlJc w:val="left"/>
      <w:pPr>
        <w:ind w:left="720" w:hanging="360"/>
      </w:pPr>
      <w:rPr>
        <w:rFonts w:ascii="Symbol" w:hAnsi="Symbol" w:hint="default"/>
      </w:rPr>
    </w:lvl>
    <w:lvl w:ilvl="1" w:tplc="4FB8C168">
      <w:start w:val="1"/>
      <w:numFmt w:val="bullet"/>
      <w:lvlText w:val="o"/>
      <w:lvlJc w:val="left"/>
      <w:pPr>
        <w:ind w:left="1440" w:hanging="360"/>
      </w:pPr>
      <w:rPr>
        <w:rFonts w:ascii="Courier New" w:hAnsi="Courier New" w:hint="default"/>
      </w:rPr>
    </w:lvl>
    <w:lvl w:ilvl="2" w:tplc="6F54470E">
      <w:start w:val="1"/>
      <w:numFmt w:val="bullet"/>
      <w:lvlText w:val=""/>
      <w:lvlJc w:val="left"/>
      <w:pPr>
        <w:ind w:left="2160" w:hanging="360"/>
      </w:pPr>
      <w:rPr>
        <w:rFonts w:ascii="Wingdings" w:hAnsi="Wingdings" w:hint="default"/>
      </w:rPr>
    </w:lvl>
    <w:lvl w:ilvl="3" w:tplc="3C80583A">
      <w:start w:val="1"/>
      <w:numFmt w:val="bullet"/>
      <w:lvlText w:val=""/>
      <w:lvlJc w:val="left"/>
      <w:pPr>
        <w:ind w:left="2880" w:hanging="360"/>
      </w:pPr>
      <w:rPr>
        <w:rFonts w:ascii="Symbol" w:hAnsi="Symbol" w:hint="default"/>
      </w:rPr>
    </w:lvl>
    <w:lvl w:ilvl="4" w:tplc="40FC596C">
      <w:start w:val="1"/>
      <w:numFmt w:val="bullet"/>
      <w:lvlText w:val="o"/>
      <w:lvlJc w:val="left"/>
      <w:pPr>
        <w:ind w:left="3600" w:hanging="360"/>
      </w:pPr>
      <w:rPr>
        <w:rFonts w:ascii="Courier New" w:hAnsi="Courier New" w:hint="default"/>
      </w:rPr>
    </w:lvl>
    <w:lvl w:ilvl="5" w:tplc="1EF6312E">
      <w:start w:val="1"/>
      <w:numFmt w:val="bullet"/>
      <w:lvlText w:val=""/>
      <w:lvlJc w:val="left"/>
      <w:pPr>
        <w:ind w:left="4320" w:hanging="360"/>
      </w:pPr>
      <w:rPr>
        <w:rFonts w:ascii="Wingdings" w:hAnsi="Wingdings" w:hint="default"/>
      </w:rPr>
    </w:lvl>
    <w:lvl w:ilvl="6" w:tplc="412ECD48">
      <w:start w:val="1"/>
      <w:numFmt w:val="bullet"/>
      <w:lvlText w:val=""/>
      <w:lvlJc w:val="left"/>
      <w:pPr>
        <w:ind w:left="5040" w:hanging="360"/>
      </w:pPr>
      <w:rPr>
        <w:rFonts w:ascii="Symbol" w:hAnsi="Symbol" w:hint="default"/>
      </w:rPr>
    </w:lvl>
    <w:lvl w:ilvl="7" w:tplc="BA087754">
      <w:start w:val="1"/>
      <w:numFmt w:val="bullet"/>
      <w:lvlText w:val="o"/>
      <w:lvlJc w:val="left"/>
      <w:pPr>
        <w:ind w:left="5760" w:hanging="360"/>
      </w:pPr>
      <w:rPr>
        <w:rFonts w:ascii="Courier New" w:hAnsi="Courier New" w:hint="default"/>
      </w:rPr>
    </w:lvl>
    <w:lvl w:ilvl="8" w:tplc="3E64FAF4">
      <w:start w:val="1"/>
      <w:numFmt w:val="bullet"/>
      <w:lvlText w:val=""/>
      <w:lvlJc w:val="left"/>
      <w:pPr>
        <w:ind w:left="6480" w:hanging="360"/>
      </w:pPr>
      <w:rPr>
        <w:rFonts w:ascii="Wingdings" w:hAnsi="Wingdings" w:hint="default"/>
      </w:rPr>
    </w:lvl>
  </w:abstractNum>
  <w:abstractNum w:abstractNumId="24" w15:restartNumberingAfterBreak="0">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724777"/>
    <w:multiLevelType w:val="hybridMultilevel"/>
    <w:tmpl w:val="DD2C8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568211F"/>
    <w:multiLevelType w:val="hybridMultilevel"/>
    <w:tmpl w:val="BB16D204"/>
    <w:lvl w:ilvl="0" w:tplc="85128E8A">
      <w:start w:val="1"/>
      <w:numFmt w:val="decimal"/>
      <w:lvlText w:val="[%1]"/>
      <w:lvlJc w:val="left"/>
      <w:pPr>
        <w:ind w:left="644" w:hanging="360"/>
      </w:pPr>
      <w:rPr>
        <w:rFonts w:hint="default"/>
        <w:i w:val="0"/>
        <w:i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35D90277"/>
    <w:multiLevelType w:val="hybridMultilevel"/>
    <w:tmpl w:val="577CB5F4"/>
    <w:lvl w:ilvl="0" w:tplc="EB1C17D8">
      <w:start w:val="1"/>
      <w:numFmt w:val="bullet"/>
      <w:lvlText w:val="•"/>
      <w:lvlJc w:val="left"/>
      <w:pPr>
        <w:tabs>
          <w:tab w:val="num" w:pos="720"/>
        </w:tabs>
        <w:ind w:left="720" w:hanging="360"/>
      </w:pPr>
      <w:rPr>
        <w:rFonts w:ascii="Arial" w:hAnsi="Arial" w:hint="default"/>
      </w:rPr>
    </w:lvl>
    <w:lvl w:ilvl="1" w:tplc="020E3020" w:tentative="1">
      <w:start w:val="1"/>
      <w:numFmt w:val="bullet"/>
      <w:lvlText w:val="•"/>
      <w:lvlJc w:val="left"/>
      <w:pPr>
        <w:tabs>
          <w:tab w:val="num" w:pos="1440"/>
        </w:tabs>
        <w:ind w:left="1440" w:hanging="360"/>
      </w:pPr>
      <w:rPr>
        <w:rFonts w:ascii="Arial" w:hAnsi="Arial" w:hint="default"/>
      </w:rPr>
    </w:lvl>
    <w:lvl w:ilvl="2" w:tplc="C0E47508" w:tentative="1">
      <w:start w:val="1"/>
      <w:numFmt w:val="bullet"/>
      <w:lvlText w:val="•"/>
      <w:lvlJc w:val="left"/>
      <w:pPr>
        <w:tabs>
          <w:tab w:val="num" w:pos="2160"/>
        </w:tabs>
        <w:ind w:left="2160" w:hanging="360"/>
      </w:pPr>
      <w:rPr>
        <w:rFonts w:ascii="Arial" w:hAnsi="Arial" w:hint="default"/>
      </w:rPr>
    </w:lvl>
    <w:lvl w:ilvl="3" w:tplc="37225AC2" w:tentative="1">
      <w:start w:val="1"/>
      <w:numFmt w:val="bullet"/>
      <w:lvlText w:val="•"/>
      <w:lvlJc w:val="left"/>
      <w:pPr>
        <w:tabs>
          <w:tab w:val="num" w:pos="2880"/>
        </w:tabs>
        <w:ind w:left="2880" w:hanging="360"/>
      </w:pPr>
      <w:rPr>
        <w:rFonts w:ascii="Arial" w:hAnsi="Arial" w:hint="default"/>
      </w:rPr>
    </w:lvl>
    <w:lvl w:ilvl="4" w:tplc="600E5594" w:tentative="1">
      <w:start w:val="1"/>
      <w:numFmt w:val="bullet"/>
      <w:lvlText w:val="•"/>
      <w:lvlJc w:val="left"/>
      <w:pPr>
        <w:tabs>
          <w:tab w:val="num" w:pos="3600"/>
        </w:tabs>
        <w:ind w:left="3600" w:hanging="360"/>
      </w:pPr>
      <w:rPr>
        <w:rFonts w:ascii="Arial" w:hAnsi="Arial" w:hint="default"/>
      </w:rPr>
    </w:lvl>
    <w:lvl w:ilvl="5" w:tplc="7858442C" w:tentative="1">
      <w:start w:val="1"/>
      <w:numFmt w:val="bullet"/>
      <w:lvlText w:val="•"/>
      <w:lvlJc w:val="left"/>
      <w:pPr>
        <w:tabs>
          <w:tab w:val="num" w:pos="4320"/>
        </w:tabs>
        <w:ind w:left="4320" w:hanging="360"/>
      </w:pPr>
      <w:rPr>
        <w:rFonts w:ascii="Arial" w:hAnsi="Arial" w:hint="default"/>
      </w:rPr>
    </w:lvl>
    <w:lvl w:ilvl="6" w:tplc="D4C2A492" w:tentative="1">
      <w:start w:val="1"/>
      <w:numFmt w:val="bullet"/>
      <w:lvlText w:val="•"/>
      <w:lvlJc w:val="left"/>
      <w:pPr>
        <w:tabs>
          <w:tab w:val="num" w:pos="5040"/>
        </w:tabs>
        <w:ind w:left="5040" w:hanging="360"/>
      </w:pPr>
      <w:rPr>
        <w:rFonts w:ascii="Arial" w:hAnsi="Arial" w:hint="default"/>
      </w:rPr>
    </w:lvl>
    <w:lvl w:ilvl="7" w:tplc="2034CE92" w:tentative="1">
      <w:start w:val="1"/>
      <w:numFmt w:val="bullet"/>
      <w:lvlText w:val="•"/>
      <w:lvlJc w:val="left"/>
      <w:pPr>
        <w:tabs>
          <w:tab w:val="num" w:pos="5760"/>
        </w:tabs>
        <w:ind w:left="5760" w:hanging="360"/>
      </w:pPr>
      <w:rPr>
        <w:rFonts w:ascii="Arial" w:hAnsi="Arial" w:hint="default"/>
      </w:rPr>
    </w:lvl>
    <w:lvl w:ilvl="8" w:tplc="587042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0558C"/>
    <w:multiLevelType w:val="multilevel"/>
    <w:tmpl w:val="56A8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D703F"/>
    <w:multiLevelType w:val="hybridMultilevel"/>
    <w:tmpl w:val="FFFFFFFF"/>
    <w:lvl w:ilvl="0" w:tplc="FE861E62">
      <w:start w:val="1"/>
      <w:numFmt w:val="decimal"/>
      <w:lvlText w:val="%1."/>
      <w:lvlJc w:val="left"/>
      <w:pPr>
        <w:ind w:left="720" w:hanging="360"/>
      </w:pPr>
    </w:lvl>
    <w:lvl w:ilvl="1" w:tplc="FD72874A">
      <w:start w:val="1"/>
      <w:numFmt w:val="lowerLetter"/>
      <w:lvlText w:val="%2."/>
      <w:lvlJc w:val="left"/>
      <w:pPr>
        <w:ind w:left="1440" w:hanging="360"/>
      </w:pPr>
    </w:lvl>
    <w:lvl w:ilvl="2" w:tplc="AB7E9214">
      <w:start w:val="1"/>
      <w:numFmt w:val="lowerRoman"/>
      <w:lvlText w:val="%3."/>
      <w:lvlJc w:val="right"/>
      <w:pPr>
        <w:ind w:left="2160" w:hanging="180"/>
      </w:pPr>
    </w:lvl>
    <w:lvl w:ilvl="3" w:tplc="8432EEDA">
      <w:start w:val="1"/>
      <w:numFmt w:val="decimal"/>
      <w:lvlText w:val="%4."/>
      <w:lvlJc w:val="left"/>
      <w:pPr>
        <w:ind w:left="2880" w:hanging="360"/>
      </w:pPr>
    </w:lvl>
    <w:lvl w:ilvl="4" w:tplc="B7AA73EA">
      <w:start w:val="1"/>
      <w:numFmt w:val="lowerLetter"/>
      <w:lvlText w:val="%5."/>
      <w:lvlJc w:val="left"/>
      <w:pPr>
        <w:ind w:left="3600" w:hanging="360"/>
      </w:pPr>
    </w:lvl>
    <w:lvl w:ilvl="5" w:tplc="4CD290F6">
      <w:start w:val="1"/>
      <w:numFmt w:val="lowerRoman"/>
      <w:lvlText w:val="%6."/>
      <w:lvlJc w:val="right"/>
      <w:pPr>
        <w:ind w:left="4320" w:hanging="180"/>
      </w:pPr>
    </w:lvl>
    <w:lvl w:ilvl="6" w:tplc="906AB06A">
      <w:start w:val="1"/>
      <w:numFmt w:val="decimal"/>
      <w:lvlText w:val="%7."/>
      <w:lvlJc w:val="left"/>
      <w:pPr>
        <w:ind w:left="5040" w:hanging="360"/>
      </w:pPr>
    </w:lvl>
    <w:lvl w:ilvl="7" w:tplc="665084D2">
      <w:start w:val="1"/>
      <w:numFmt w:val="lowerLetter"/>
      <w:lvlText w:val="%8."/>
      <w:lvlJc w:val="left"/>
      <w:pPr>
        <w:ind w:left="5760" w:hanging="360"/>
      </w:pPr>
    </w:lvl>
    <w:lvl w:ilvl="8" w:tplc="F8EC0F52">
      <w:start w:val="1"/>
      <w:numFmt w:val="lowerRoman"/>
      <w:lvlText w:val="%9."/>
      <w:lvlJc w:val="right"/>
      <w:pPr>
        <w:ind w:left="6480" w:hanging="180"/>
      </w:pPr>
    </w:lvl>
  </w:abstractNum>
  <w:abstractNum w:abstractNumId="32" w15:restartNumberingAfterBreak="0">
    <w:nsid w:val="3C2A54D9"/>
    <w:multiLevelType w:val="multilevel"/>
    <w:tmpl w:val="972055B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0F0BD3"/>
    <w:multiLevelType w:val="multilevel"/>
    <w:tmpl w:val="7FEA92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02F7B9E"/>
    <w:multiLevelType w:val="hybridMultilevel"/>
    <w:tmpl w:val="714A9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C7388B"/>
    <w:multiLevelType w:val="hybridMultilevel"/>
    <w:tmpl w:val="E97A8E50"/>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633A57"/>
    <w:multiLevelType w:val="multilevel"/>
    <w:tmpl w:val="AFF028D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6E3259B"/>
    <w:multiLevelType w:val="hybridMultilevel"/>
    <w:tmpl w:val="ABAA1804"/>
    <w:lvl w:ilvl="0" w:tplc="94F4DE74">
      <w:start w:val="1"/>
      <w:numFmt w:val="bullet"/>
      <w:lvlText w:val=""/>
      <w:lvlJc w:val="left"/>
      <w:pPr>
        <w:ind w:left="720" w:hanging="360"/>
      </w:pPr>
      <w:rPr>
        <w:rFonts w:ascii="Symbol" w:hAnsi="Symbol" w:hint="default"/>
      </w:rPr>
    </w:lvl>
    <w:lvl w:ilvl="1" w:tplc="9FE0E0E8">
      <w:start w:val="1"/>
      <w:numFmt w:val="bullet"/>
      <w:lvlText w:val="o"/>
      <w:lvlJc w:val="left"/>
      <w:pPr>
        <w:ind w:left="1440" w:hanging="360"/>
      </w:pPr>
      <w:rPr>
        <w:rFonts w:ascii="Courier New" w:hAnsi="Courier New" w:hint="default"/>
      </w:rPr>
    </w:lvl>
    <w:lvl w:ilvl="2" w:tplc="BC940D48">
      <w:start w:val="1"/>
      <w:numFmt w:val="bullet"/>
      <w:lvlText w:val=""/>
      <w:lvlJc w:val="left"/>
      <w:pPr>
        <w:ind w:left="2160" w:hanging="360"/>
      </w:pPr>
      <w:rPr>
        <w:rFonts w:ascii="Wingdings" w:hAnsi="Wingdings" w:hint="default"/>
      </w:rPr>
    </w:lvl>
    <w:lvl w:ilvl="3" w:tplc="E76CDE20">
      <w:start w:val="1"/>
      <w:numFmt w:val="bullet"/>
      <w:lvlText w:val=""/>
      <w:lvlJc w:val="left"/>
      <w:pPr>
        <w:ind w:left="2880" w:hanging="360"/>
      </w:pPr>
      <w:rPr>
        <w:rFonts w:ascii="Symbol" w:hAnsi="Symbol" w:hint="default"/>
      </w:rPr>
    </w:lvl>
    <w:lvl w:ilvl="4" w:tplc="FF5286E6">
      <w:start w:val="1"/>
      <w:numFmt w:val="bullet"/>
      <w:lvlText w:val="o"/>
      <w:lvlJc w:val="left"/>
      <w:pPr>
        <w:ind w:left="3600" w:hanging="360"/>
      </w:pPr>
      <w:rPr>
        <w:rFonts w:ascii="Courier New" w:hAnsi="Courier New" w:hint="default"/>
      </w:rPr>
    </w:lvl>
    <w:lvl w:ilvl="5" w:tplc="957E6698">
      <w:start w:val="1"/>
      <w:numFmt w:val="bullet"/>
      <w:lvlText w:val=""/>
      <w:lvlJc w:val="left"/>
      <w:pPr>
        <w:ind w:left="4320" w:hanging="360"/>
      </w:pPr>
      <w:rPr>
        <w:rFonts w:ascii="Wingdings" w:hAnsi="Wingdings" w:hint="default"/>
      </w:rPr>
    </w:lvl>
    <w:lvl w:ilvl="6" w:tplc="6E5C2DEE">
      <w:start w:val="1"/>
      <w:numFmt w:val="bullet"/>
      <w:lvlText w:val=""/>
      <w:lvlJc w:val="left"/>
      <w:pPr>
        <w:ind w:left="5040" w:hanging="360"/>
      </w:pPr>
      <w:rPr>
        <w:rFonts w:ascii="Symbol" w:hAnsi="Symbol" w:hint="default"/>
      </w:rPr>
    </w:lvl>
    <w:lvl w:ilvl="7" w:tplc="7EB441EC">
      <w:start w:val="1"/>
      <w:numFmt w:val="bullet"/>
      <w:lvlText w:val="o"/>
      <w:lvlJc w:val="left"/>
      <w:pPr>
        <w:ind w:left="5760" w:hanging="360"/>
      </w:pPr>
      <w:rPr>
        <w:rFonts w:ascii="Courier New" w:hAnsi="Courier New" w:hint="default"/>
      </w:rPr>
    </w:lvl>
    <w:lvl w:ilvl="8" w:tplc="5DB670A6">
      <w:start w:val="1"/>
      <w:numFmt w:val="bullet"/>
      <w:lvlText w:val=""/>
      <w:lvlJc w:val="left"/>
      <w:pPr>
        <w:ind w:left="6480" w:hanging="360"/>
      </w:pPr>
      <w:rPr>
        <w:rFonts w:ascii="Wingdings" w:hAnsi="Wingdings" w:hint="default"/>
      </w:rPr>
    </w:lvl>
  </w:abstractNum>
  <w:abstractNum w:abstractNumId="40" w15:restartNumberingAfterBreak="0">
    <w:nsid w:val="476A6636"/>
    <w:multiLevelType w:val="hybridMultilevel"/>
    <w:tmpl w:val="476A6636"/>
    <w:lvl w:ilvl="0" w:tplc="41189694">
      <w:start w:val="1"/>
      <w:numFmt w:val="bullet"/>
      <w:lvlText w:val=""/>
      <w:lvlJc w:val="left"/>
      <w:pPr>
        <w:ind w:left="720" w:hanging="360"/>
      </w:pPr>
      <w:rPr>
        <w:rFonts w:ascii="Symbol" w:hAnsi="Symbol" w:hint="default"/>
      </w:rPr>
    </w:lvl>
    <w:lvl w:ilvl="1" w:tplc="2DA2F57C">
      <w:start w:val="1"/>
      <w:numFmt w:val="bullet"/>
      <w:lvlText w:val="o"/>
      <w:lvlJc w:val="left"/>
      <w:pPr>
        <w:ind w:left="1440" w:hanging="360"/>
      </w:pPr>
      <w:rPr>
        <w:rFonts w:ascii="Courier New" w:hAnsi="Courier New" w:cs="Courier New" w:hint="default"/>
      </w:rPr>
    </w:lvl>
    <w:lvl w:ilvl="2" w:tplc="28468BF4">
      <w:start w:val="1"/>
      <w:numFmt w:val="bullet"/>
      <w:lvlText w:val=""/>
      <w:lvlJc w:val="left"/>
      <w:pPr>
        <w:ind w:left="2160" w:hanging="360"/>
      </w:pPr>
      <w:rPr>
        <w:rFonts w:ascii="Wingdings" w:hAnsi="Wingdings" w:hint="default"/>
      </w:rPr>
    </w:lvl>
    <w:lvl w:ilvl="3" w:tplc="75166EA6">
      <w:start w:val="1"/>
      <w:numFmt w:val="bullet"/>
      <w:lvlText w:val=""/>
      <w:lvlJc w:val="left"/>
      <w:pPr>
        <w:ind w:left="2880" w:hanging="360"/>
      </w:pPr>
      <w:rPr>
        <w:rFonts w:ascii="Symbol" w:hAnsi="Symbol" w:hint="default"/>
      </w:rPr>
    </w:lvl>
    <w:lvl w:ilvl="4" w:tplc="3594EA9A">
      <w:start w:val="1"/>
      <w:numFmt w:val="bullet"/>
      <w:lvlText w:val="o"/>
      <w:lvlJc w:val="left"/>
      <w:pPr>
        <w:ind w:left="3600" w:hanging="360"/>
      </w:pPr>
      <w:rPr>
        <w:rFonts w:ascii="Courier New" w:hAnsi="Courier New" w:cs="Courier New" w:hint="default"/>
      </w:rPr>
    </w:lvl>
    <w:lvl w:ilvl="5" w:tplc="CC72C6A8">
      <w:start w:val="1"/>
      <w:numFmt w:val="bullet"/>
      <w:lvlText w:val=""/>
      <w:lvlJc w:val="left"/>
      <w:pPr>
        <w:ind w:left="4320" w:hanging="360"/>
      </w:pPr>
      <w:rPr>
        <w:rFonts w:ascii="Wingdings" w:hAnsi="Wingdings" w:hint="default"/>
      </w:rPr>
    </w:lvl>
    <w:lvl w:ilvl="6" w:tplc="A6A21916">
      <w:start w:val="1"/>
      <w:numFmt w:val="bullet"/>
      <w:lvlText w:val=""/>
      <w:lvlJc w:val="left"/>
      <w:pPr>
        <w:ind w:left="5040" w:hanging="360"/>
      </w:pPr>
      <w:rPr>
        <w:rFonts w:ascii="Symbol" w:hAnsi="Symbol" w:hint="default"/>
      </w:rPr>
    </w:lvl>
    <w:lvl w:ilvl="7" w:tplc="CBD406A2">
      <w:start w:val="1"/>
      <w:numFmt w:val="bullet"/>
      <w:lvlText w:val="o"/>
      <w:lvlJc w:val="left"/>
      <w:pPr>
        <w:ind w:left="5760" w:hanging="360"/>
      </w:pPr>
      <w:rPr>
        <w:rFonts w:ascii="Courier New" w:hAnsi="Courier New" w:cs="Courier New" w:hint="default"/>
      </w:rPr>
    </w:lvl>
    <w:lvl w:ilvl="8" w:tplc="C1D24DD4">
      <w:start w:val="1"/>
      <w:numFmt w:val="bullet"/>
      <w:lvlText w:val=""/>
      <w:lvlJc w:val="left"/>
      <w:pPr>
        <w:ind w:left="6480" w:hanging="360"/>
      </w:pPr>
      <w:rPr>
        <w:rFonts w:ascii="Wingdings" w:hAnsi="Wingdings" w:hint="default"/>
      </w:rPr>
    </w:lvl>
  </w:abstractNum>
  <w:abstractNum w:abstractNumId="41"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43" w15:restartNumberingAfterBreak="0">
    <w:nsid w:val="4A393149"/>
    <w:multiLevelType w:val="hybridMultilevel"/>
    <w:tmpl w:val="FB5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8F472B"/>
    <w:multiLevelType w:val="hybridMultilevel"/>
    <w:tmpl w:val="0BA05608"/>
    <w:lvl w:ilvl="0" w:tplc="C9AEC944">
      <w:start w:val="1"/>
      <w:numFmt w:val="bullet"/>
      <w:lvlText w:val=""/>
      <w:lvlJc w:val="left"/>
      <w:pPr>
        <w:ind w:left="928" w:hanging="360"/>
      </w:pPr>
      <w:rPr>
        <w:rFonts w:ascii="Symbol" w:hAnsi="Symbol" w:hint="default"/>
      </w:rPr>
    </w:lvl>
    <w:lvl w:ilvl="1" w:tplc="BAE69584">
      <w:start w:val="1"/>
      <w:numFmt w:val="bullet"/>
      <w:lvlText w:val="o"/>
      <w:lvlJc w:val="left"/>
      <w:pPr>
        <w:ind w:left="1648" w:hanging="360"/>
      </w:pPr>
      <w:rPr>
        <w:rFonts w:ascii="Courier New" w:hAnsi="Courier New" w:hint="default"/>
      </w:rPr>
    </w:lvl>
    <w:lvl w:ilvl="2" w:tplc="851056BE" w:tentative="1">
      <w:start w:val="1"/>
      <w:numFmt w:val="bullet"/>
      <w:lvlText w:val=""/>
      <w:lvlJc w:val="left"/>
      <w:pPr>
        <w:ind w:left="2368" w:hanging="360"/>
      </w:pPr>
      <w:rPr>
        <w:rFonts w:ascii="Wingdings" w:hAnsi="Wingdings" w:hint="default"/>
      </w:rPr>
    </w:lvl>
    <w:lvl w:ilvl="3" w:tplc="4FCEF2EC" w:tentative="1">
      <w:start w:val="1"/>
      <w:numFmt w:val="bullet"/>
      <w:lvlText w:val=""/>
      <w:lvlJc w:val="left"/>
      <w:pPr>
        <w:ind w:left="3088" w:hanging="360"/>
      </w:pPr>
      <w:rPr>
        <w:rFonts w:ascii="Symbol" w:hAnsi="Symbol" w:hint="default"/>
      </w:rPr>
    </w:lvl>
    <w:lvl w:ilvl="4" w:tplc="0218AC36" w:tentative="1">
      <w:start w:val="1"/>
      <w:numFmt w:val="bullet"/>
      <w:lvlText w:val="o"/>
      <w:lvlJc w:val="left"/>
      <w:pPr>
        <w:ind w:left="3808" w:hanging="360"/>
      </w:pPr>
      <w:rPr>
        <w:rFonts w:ascii="Courier New" w:hAnsi="Courier New" w:hint="default"/>
      </w:rPr>
    </w:lvl>
    <w:lvl w:ilvl="5" w:tplc="2EC0DE70" w:tentative="1">
      <w:start w:val="1"/>
      <w:numFmt w:val="bullet"/>
      <w:lvlText w:val=""/>
      <w:lvlJc w:val="left"/>
      <w:pPr>
        <w:ind w:left="4528" w:hanging="360"/>
      </w:pPr>
      <w:rPr>
        <w:rFonts w:ascii="Wingdings" w:hAnsi="Wingdings" w:hint="default"/>
      </w:rPr>
    </w:lvl>
    <w:lvl w:ilvl="6" w:tplc="27D4757E" w:tentative="1">
      <w:start w:val="1"/>
      <w:numFmt w:val="bullet"/>
      <w:lvlText w:val=""/>
      <w:lvlJc w:val="left"/>
      <w:pPr>
        <w:ind w:left="5248" w:hanging="360"/>
      </w:pPr>
      <w:rPr>
        <w:rFonts w:ascii="Symbol" w:hAnsi="Symbol" w:hint="default"/>
      </w:rPr>
    </w:lvl>
    <w:lvl w:ilvl="7" w:tplc="08BC5C5A" w:tentative="1">
      <w:start w:val="1"/>
      <w:numFmt w:val="bullet"/>
      <w:lvlText w:val="o"/>
      <w:lvlJc w:val="left"/>
      <w:pPr>
        <w:ind w:left="5968" w:hanging="360"/>
      </w:pPr>
      <w:rPr>
        <w:rFonts w:ascii="Courier New" w:hAnsi="Courier New" w:hint="default"/>
      </w:rPr>
    </w:lvl>
    <w:lvl w:ilvl="8" w:tplc="8138C8E0" w:tentative="1">
      <w:start w:val="1"/>
      <w:numFmt w:val="bullet"/>
      <w:lvlText w:val=""/>
      <w:lvlJc w:val="left"/>
      <w:pPr>
        <w:ind w:left="6688" w:hanging="360"/>
      </w:pPr>
      <w:rPr>
        <w:rFonts w:ascii="Wingdings" w:hAnsi="Wingdings" w:hint="default"/>
      </w:rPr>
    </w:lvl>
  </w:abstractNum>
  <w:abstractNum w:abstractNumId="45"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0C012BF"/>
    <w:multiLevelType w:val="multilevel"/>
    <w:tmpl w:val="D65045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752F19"/>
    <w:multiLevelType w:val="multilevel"/>
    <w:tmpl w:val="F788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AF6DE8"/>
    <w:multiLevelType w:val="multilevel"/>
    <w:tmpl w:val="7EB41E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1"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52"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7995B45"/>
    <w:multiLevelType w:val="hybridMultilevel"/>
    <w:tmpl w:val="48180EFC"/>
    <w:lvl w:ilvl="0" w:tplc="59FED9A8">
      <w:start w:val="1"/>
      <w:numFmt w:val="bullet"/>
      <w:lvlText w:val="•"/>
      <w:lvlJc w:val="left"/>
      <w:pPr>
        <w:tabs>
          <w:tab w:val="num" w:pos="720"/>
        </w:tabs>
        <w:ind w:left="720" w:hanging="360"/>
      </w:pPr>
      <w:rPr>
        <w:rFonts w:ascii="Arial" w:hAnsi="Arial" w:hint="default"/>
      </w:rPr>
    </w:lvl>
    <w:lvl w:ilvl="1" w:tplc="8F9CE0DE" w:tentative="1">
      <w:start w:val="1"/>
      <w:numFmt w:val="bullet"/>
      <w:lvlText w:val="•"/>
      <w:lvlJc w:val="left"/>
      <w:pPr>
        <w:tabs>
          <w:tab w:val="num" w:pos="1440"/>
        </w:tabs>
        <w:ind w:left="1440" w:hanging="360"/>
      </w:pPr>
      <w:rPr>
        <w:rFonts w:ascii="Arial" w:hAnsi="Arial" w:hint="default"/>
      </w:rPr>
    </w:lvl>
    <w:lvl w:ilvl="2" w:tplc="226E2744" w:tentative="1">
      <w:start w:val="1"/>
      <w:numFmt w:val="bullet"/>
      <w:lvlText w:val="•"/>
      <w:lvlJc w:val="left"/>
      <w:pPr>
        <w:tabs>
          <w:tab w:val="num" w:pos="2160"/>
        </w:tabs>
        <w:ind w:left="2160" w:hanging="360"/>
      </w:pPr>
      <w:rPr>
        <w:rFonts w:ascii="Arial" w:hAnsi="Arial" w:hint="default"/>
      </w:rPr>
    </w:lvl>
    <w:lvl w:ilvl="3" w:tplc="AE187C8C" w:tentative="1">
      <w:start w:val="1"/>
      <w:numFmt w:val="bullet"/>
      <w:lvlText w:val="•"/>
      <w:lvlJc w:val="left"/>
      <w:pPr>
        <w:tabs>
          <w:tab w:val="num" w:pos="2880"/>
        </w:tabs>
        <w:ind w:left="2880" w:hanging="360"/>
      </w:pPr>
      <w:rPr>
        <w:rFonts w:ascii="Arial" w:hAnsi="Arial" w:hint="default"/>
      </w:rPr>
    </w:lvl>
    <w:lvl w:ilvl="4" w:tplc="9A34370A" w:tentative="1">
      <w:start w:val="1"/>
      <w:numFmt w:val="bullet"/>
      <w:lvlText w:val="•"/>
      <w:lvlJc w:val="left"/>
      <w:pPr>
        <w:tabs>
          <w:tab w:val="num" w:pos="3600"/>
        </w:tabs>
        <w:ind w:left="3600" w:hanging="360"/>
      </w:pPr>
      <w:rPr>
        <w:rFonts w:ascii="Arial" w:hAnsi="Arial" w:hint="default"/>
      </w:rPr>
    </w:lvl>
    <w:lvl w:ilvl="5" w:tplc="0D06DE4A" w:tentative="1">
      <w:start w:val="1"/>
      <w:numFmt w:val="bullet"/>
      <w:lvlText w:val="•"/>
      <w:lvlJc w:val="left"/>
      <w:pPr>
        <w:tabs>
          <w:tab w:val="num" w:pos="4320"/>
        </w:tabs>
        <w:ind w:left="4320" w:hanging="360"/>
      </w:pPr>
      <w:rPr>
        <w:rFonts w:ascii="Arial" w:hAnsi="Arial" w:hint="default"/>
      </w:rPr>
    </w:lvl>
    <w:lvl w:ilvl="6" w:tplc="8118FFB2" w:tentative="1">
      <w:start w:val="1"/>
      <w:numFmt w:val="bullet"/>
      <w:lvlText w:val="•"/>
      <w:lvlJc w:val="left"/>
      <w:pPr>
        <w:tabs>
          <w:tab w:val="num" w:pos="5040"/>
        </w:tabs>
        <w:ind w:left="5040" w:hanging="360"/>
      </w:pPr>
      <w:rPr>
        <w:rFonts w:ascii="Arial" w:hAnsi="Arial" w:hint="default"/>
      </w:rPr>
    </w:lvl>
    <w:lvl w:ilvl="7" w:tplc="E55CB124" w:tentative="1">
      <w:start w:val="1"/>
      <w:numFmt w:val="bullet"/>
      <w:lvlText w:val="•"/>
      <w:lvlJc w:val="left"/>
      <w:pPr>
        <w:tabs>
          <w:tab w:val="num" w:pos="5760"/>
        </w:tabs>
        <w:ind w:left="5760" w:hanging="360"/>
      </w:pPr>
      <w:rPr>
        <w:rFonts w:ascii="Arial" w:hAnsi="Arial" w:hint="default"/>
      </w:rPr>
    </w:lvl>
    <w:lvl w:ilvl="8" w:tplc="6058873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8FF023F"/>
    <w:multiLevelType w:val="hybridMultilevel"/>
    <w:tmpl w:val="9536DF3A"/>
    <w:lvl w:ilvl="0" w:tplc="2EA4AE02">
      <w:start w:val="1"/>
      <w:numFmt w:val="bullet"/>
      <w:lvlText w:val="•"/>
      <w:lvlJc w:val="left"/>
      <w:pPr>
        <w:tabs>
          <w:tab w:val="num" w:pos="720"/>
        </w:tabs>
        <w:ind w:left="720" w:hanging="360"/>
      </w:pPr>
      <w:rPr>
        <w:rFonts w:ascii="Arial" w:hAnsi="Arial" w:hint="default"/>
      </w:rPr>
    </w:lvl>
    <w:lvl w:ilvl="1" w:tplc="EE5E35CC" w:tentative="1">
      <w:start w:val="1"/>
      <w:numFmt w:val="bullet"/>
      <w:lvlText w:val="•"/>
      <w:lvlJc w:val="left"/>
      <w:pPr>
        <w:tabs>
          <w:tab w:val="num" w:pos="1440"/>
        </w:tabs>
        <w:ind w:left="1440" w:hanging="360"/>
      </w:pPr>
      <w:rPr>
        <w:rFonts w:ascii="Arial" w:hAnsi="Arial" w:hint="default"/>
      </w:rPr>
    </w:lvl>
    <w:lvl w:ilvl="2" w:tplc="3A82129C" w:tentative="1">
      <w:start w:val="1"/>
      <w:numFmt w:val="bullet"/>
      <w:lvlText w:val="•"/>
      <w:lvlJc w:val="left"/>
      <w:pPr>
        <w:tabs>
          <w:tab w:val="num" w:pos="2160"/>
        </w:tabs>
        <w:ind w:left="2160" w:hanging="360"/>
      </w:pPr>
      <w:rPr>
        <w:rFonts w:ascii="Arial" w:hAnsi="Arial" w:hint="default"/>
      </w:rPr>
    </w:lvl>
    <w:lvl w:ilvl="3" w:tplc="37B46984" w:tentative="1">
      <w:start w:val="1"/>
      <w:numFmt w:val="bullet"/>
      <w:lvlText w:val="•"/>
      <w:lvlJc w:val="left"/>
      <w:pPr>
        <w:tabs>
          <w:tab w:val="num" w:pos="2880"/>
        </w:tabs>
        <w:ind w:left="2880" w:hanging="360"/>
      </w:pPr>
      <w:rPr>
        <w:rFonts w:ascii="Arial" w:hAnsi="Arial" w:hint="default"/>
      </w:rPr>
    </w:lvl>
    <w:lvl w:ilvl="4" w:tplc="54D4B9B8" w:tentative="1">
      <w:start w:val="1"/>
      <w:numFmt w:val="bullet"/>
      <w:lvlText w:val="•"/>
      <w:lvlJc w:val="left"/>
      <w:pPr>
        <w:tabs>
          <w:tab w:val="num" w:pos="3600"/>
        </w:tabs>
        <w:ind w:left="3600" w:hanging="360"/>
      </w:pPr>
      <w:rPr>
        <w:rFonts w:ascii="Arial" w:hAnsi="Arial" w:hint="default"/>
      </w:rPr>
    </w:lvl>
    <w:lvl w:ilvl="5" w:tplc="4900FCF6" w:tentative="1">
      <w:start w:val="1"/>
      <w:numFmt w:val="bullet"/>
      <w:lvlText w:val="•"/>
      <w:lvlJc w:val="left"/>
      <w:pPr>
        <w:tabs>
          <w:tab w:val="num" w:pos="4320"/>
        </w:tabs>
        <w:ind w:left="4320" w:hanging="360"/>
      </w:pPr>
      <w:rPr>
        <w:rFonts w:ascii="Arial" w:hAnsi="Arial" w:hint="default"/>
      </w:rPr>
    </w:lvl>
    <w:lvl w:ilvl="6" w:tplc="FEEA0F8A" w:tentative="1">
      <w:start w:val="1"/>
      <w:numFmt w:val="bullet"/>
      <w:lvlText w:val="•"/>
      <w:lvlJc w:val="left"/>
      <w:pPr>
        <w:tabs>
          <w:tab w:val="num" w:pos="5040"/>
        </w:tabs>
        <w:ind w:left="5040" w:hanging="360"/>
      </w:pPr>
      <w:rPr>
        <w:rFonts w:ascii="Arial" w:hAnsi="Arial" w:hint="default"/>
      </w:rPr>
    </w:lvl>
    <w:lvl w:ilvl="7" w:tplc="8C7E3AB4" w:tentative="1">
      <w:start w:val="1"/>
      <w:numFmt w:val="bullet"/>
      <w:lvlText w:val="•"/>
      <w:lvlJc w:val="left"/>
      <w:pPr>
        <w:tabs>
          <w:tab w:val="num" w:pos="5760"/>
        </w:tabs>
        <w:ind w:left="5760" w:hanging="360"/>
      </w:pPr>
      <w:rPr>
        <w:rFonts w:ascii="Arial" w:hAnsi="Arial" w:hint="default"/>
      </w:rPr>
    </w:lvl>
    <w:lvl w:ilvl="8" w:tplc="60E6E67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D309A3"/>
    <w:multiLevelType w:val="multilevel"/>
    <w:tmpl w:val="CCF69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CF4090"/>
    <w:multiLevelType w:val="hybridMultilevel"/>
    <w:tmpl w:val="9AB80860"/>
    <w:lvl w:ilvl="0" w:tplc="5A1C4EE4">
      <w:start w:val="1"/>
      <w:numFmt w:val="bullet"/>
      <w:lvlText w:val=""/>
      <w:lvlJc w:val="left"/>
      <w:pPr>
        <w:ind w:left="928" w:hanging="360"/>
      </w:pPr>
      <w:rPr>
        <w:rFonts w:ascii="Symbol" w:hAnsi="Symbol" w:hint="default"/>
      </w:rPr>
    </w:lvl>
    <w:lvl w:ilvl="1" w:tplc="E0ACD6F8">
      <w:start w:val="1"/>
      <w:numFmt w:val="bullet"/>
      <w:lvlText w:val="o"/>
      <w:lvlJc w:val="left"/>
      <w:pPr>
        <w:ind w:left="1648" w:hanging="360"/>
      </w:pPr>
      <w:rPr>
        <w:rFonts w:ascii="Courier New" w:hAnsi="Courier New" w:hint="default"/>
      </w:rPr>
    </w:lvl>
    <w:lvl w:ilvl="2" w:tplc="6A48A39E" w:tentative="1">
      <w:start w:val="1"/>
      <w:numFmt w:val="bullet"/>
      <w:lvlText w:val=""/>
      <w:lvlJc w:val="left"/>
      <w:pPr>
        <w:ind w:left="2368" w:hanging="360"/>
      </w:pPr>
      <w:rPr>
        <w:rFonts w:ascii="Wingdings" w:hAnsi="Wingdings" w:hint="default"/>
      </w:rPr>
    </w:lvl>
    <w:lvl w:ilvl="3" w:tplc="7248AE62" w:tentative="1">
      <w:start w:val="1"/>
      <w:numFmt w:val="bullet"/>
      <w:lvlText w:val=""/>
      <w:lvlJc w:val="left"/>
      <w:pPr>
        <w:ind w:left="3088" w:hanging="360"/>
      </w:pPr>
      <w:rPr>
        <w:rFonts w:ascii="Symbol" w:hAnsi="Symbol" w:hint="default"/>
      </w:rPr>
    </w:lvl>
    <w:lvl w:ilvl="4" w:tplc="9BF6B2E6" w:tentative="1">
      <w:start w:val="1"/>
      <w:numFmt w:val="bullet"/>
      <w:lvlText w:val="o"/>
      <w:lvlJc w:val="left"/>
      <w:pPr>
        <w:ind w:left="3808" w:hanging="360"/>
      </w:pPr>
      <w:rPr>
        <w:rFonts w:ascii="Courier New" w:hAnsi="Courier New" w:hint="default"/>
      </w:rPr>
    </w:lvl>
    <w:lvl w:ilvl="5" w:tplc="9238EB4C" w:tentative="1">
      <w:start w:val="1"/>
      <w:numFmt w:val="bullet"/>
      <w:lvlText w:val=""/>
      <w:lvlJc w:val="left"/>
      <w:pPr>
        <w:ind w:left="4528" w:hanging="360"/>
      </w:pPr>
      <w:rPr>
        <w:rFonts w:ascii="Wingdings" w:hAnsi="Wingdings" w:hint="default"/>
      </w:rPr>
    </w:lvl>
    <w:lvl w:ilvl="6" w:tplc="5EFA0D4A" w:tentative="1">
      <w:start w:val="1"/>
      <w:numFmt w:val="bullet"/>
      <w:lvlText w:val=""/>
      <w:lvlJc w:val="left"/>
      <w:pPr>
        <w:ind w:left="5248" w:hanging="360"/>
      </w:pPr>
      <w:rPr>
        <w:rFonts w:ascii="Symbol" w:hAnsi="Symbol" w:hint="default"/>
      </w:rPr>
    </w:lvl>
    <w:lvl w:ilvl="7" w:tplc="113ED008" w:tentative="1">
      <w:start w:val="1"/>
      <w:numFmt w:val="bullet"/>
      <w:lvlText w:val="o"/>
      <w:lvlJc w:val="left"/>
      <w:pPr>
        <w:ind w:left="5968" w:hanging="360"/>
      </w:pPr>
      <w:rPr>
        <w:rFonts w:ascii="Courier New" w:hAnsi="Courier New" w:hint="default"/>
      </w:rPr>
    </w:lvl>
    <w:lvl w:ilvl="8" w:tplc="5D168AA0" w:tentative="1">
      <w:start w:val="1"/>
      <w:numFmt w:val="bullet"/>
      <w:lvlText w:val=""/>
      <w:lvlJc w:val="left"/>
      <w:pPr>
        <w:ind w:left="6688" w:hanging="360"/>
      </w:pPr>
      <w:rPr>
        <w:rFonts w:ascii="Wingdings" w:hAnsi="Wingdings" w:hint="default"/>
      </w:rPr>
    </w:lvl>
  </w:abstractNum>
  <w:abstractNum w:abstractNumId="60" w15:restartNumberingAfterBreak="0">
    <w:nsid w:val="5F9A7129"/>
    <w:multiLevelType w:val="multilevel"/>
    <w:tmpl w:val="10365F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1A9584A"/>
    <w:multiLevelType w:val="hybridMultilevel"/>
    <w:tmpl w:val="C764E40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2825A8C"/>
    <w:multiLevelType w:val="multilevel"/>
    <w:tmpl w:val="C83A09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3B84382"/>
    <w:multiLevelType w:val="hybridMultilevel"/>
    <w:tmpl w:val="09927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65" w15:restartNumberingAfterBreak="0">
    <w:nsid w:val="67BA09CD"/>
    <w:multiLevelType w:val="hybridMultilevel"/>
    <w:tmpl w:val="8E2EE6E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66" w15:restartNumberingAfterBreak="0">
    <w:nsid w:val="68AC67B2"/>
    <w:multiLevelType w:val="multilevel"/>
    <w:tmpl w:val="C41023F6"/>
    <w:lvl w:ilvl="0">
      <w:start w:val="1"/>
      <w:numFmt w:val="bullet"/>
      <w:lvlText w:val=""/>
      <w:lvlJc w:val="left"/>
      <w:pPr>
        <w:tabs>
          <w:tab w:val="num" w:pos="727"/>
        </w:tabs>
        <w:ind w:left="727" w:hanging="360"/>
      </w:pPr>
      <w:rPr>
        <w:rFonts w:ascii="Symbol" w:hAnsi="Symbol" w:hint="default"/>
        <w:sz w:val="20"/>
      </w:rPr>
    </w:lvl>
    <w:lvl w:ilvl="1" w:tentative="1">
      <w:start w:val="1"/>
      <w:numFmt w:val="bullet"/>
      <w:lvlText w:val="o"/>
      <w:lvlJc w:val="left"/>
      <w:pPr>
        <w:tabs>
          <w:tab w:val="num" w:pos="1447"/>
        </w:tabs>
        <w:ind w:left="1447" w:hanging="360"/>
      </w:pPr>
      <w:rPr>
        <w:rFonts w:ascii="Courier New" w:hAnsi="Courier New" w:hint="default"/>
        <w:sz w:val="20"/>
      </w:rPr>
    </w:lvl>
    <w:lvl w:ilvl="2" w:tentative="1">
      <w:start w:val="1"/>
      <w:numFmt w:val="bullet"/>
      <w:lvlText w:val=""/>
      <w:lvlJc w:val="left"/>
      <w:pPr>
        <w:tabs>
          <w:tab w:val="num" w:pos="2167"/>
        </w:tabs>
        <w:ind w:left="2167" w:hanging="360"/>
      </w:pPr>
      <w:rPr>
        <w:rFonts w:ascii="Wingdings" w:hAnsi="Wingdings" w:hint="default"/>
        <w:sz w:val="20"/>
      </w:rPr>
    </w:lvl>
    <w:lvl w:ilvl="3" w:tentative="1">
      <w:start w:val="1"/>
      <w:numFmt w:val="bullet"/>
      <w:lvlText w:val=""/>
      <w:lvlJc w:val="left"/>
      <w:pPr>
        <w:tabs>
          <w:tab w:val="num" w:pos="2887"/>
        </w:tabs>
        <w:ind w:left="2887" w:hanging="360"/>
      </w:pPr>
      <w:rPr>
        <w:rFonts w:ascii="Wingdings" w:hAnsi="Wingdings" w:hint="default"/>
        <w:sz w:val="20"/>
      </w:rPr>
    </w:lvl>
    <w:lvl w:ilvl="4" w:tentative="1">
      <w:start w:val="1"/>
      <w:numFmt w:val="bullet"/>
      <w:lvlText w:val=""/>
      <w:lvlJc w:val="left"/>
      <w:pPr>
        <w:tabs>
          <w:tab w:val="num" w:pos="3607"/>
        </w:tabs>
        <w:ind w:left="3607" w:hanging="360"/>
      </w:pPr>
      <w:rPr>
        <w:rFonts w:ascii="Wingdings" w:hAnsi="Wingdings" w:hint="default"/>
        <w:sz w:val="20"/>
      </w:rPr>
    </w:lvl>
    <w:lvl w:ilvl="5" w:tentative="1">
      <w:start w:val="1"/>
      <w:numFmt w:val="bullet"/>
      <w:lvlText w:val=""/>
      <w:lvlJc w:val="left"/>
      <w:pPr>
        <w:tabs>
          <w:tab w:val="num" w:pos="4327"/>
        </w:tabs>
        <w:ind w:left="4327" w:hanging="360"/>
      </w:pPr>
      <w:rPr>
        <w:rFonts w:ascii="Wingdings" w:hAnsi="Wingdings" w:hint="default"/>
        <w:sz w:val="20"/>
      </w:rPr>
    </w:lvl>
    <w:lvl w:ilvl="6" w:tentative="1">
      <w:start w:val="1"/>
      <w:numFmt w:val="bullet"/>
      <w:lvlText w:val=""/>
      <w:lvlJc w:val="left"/>
      <w:pPr>
        <w:tabs>
          <w:tab w:val="num" w:pos="5047"/>
        </w:tabs>
        <w:ind w:left="5047" w:hanging="360"/>
      </w:pPr>
      <w:rPr>
        <w:rFonts w:ascii="Wingdings" w:hAnsi="Wingdings" w:hint="default"/>
        <w:sz w:val="20"/>
      </w:rPr>
    </w:lvl>
    <w:lvl w:ilvl="7" w:tentative="1">
      <w:start w:val="1"/>
      <w:numFmt w:val="bullet"/>
      <w:lvlText w:val=""/>
      <w:lvlJc w:val="left"/>
      <w:pPr>
        <w:tabs>
          <w:tab w:val="num" w:pos="5767"/>
        </w:tabs>
        <w:ind w:left="5767" w:hanging="360"/>
      </w:pPr>
      <w:rPr>
        <w:rFonts w:ascii="Wingdings" w:hAnsi="Wingdings" w:hint="default"/>
        <w:sz w:val="20"/>
      </w:rPr>
    </w:lvl>
    <w:lvl w:ilvl="8" w:tentative="1">
      <w:start w:val="1"/>
      <w:numFmt w:val="bullet"/>
      <w:lvlText w:val=""/>
      <w:lvlJc w:val="left"/>
      <w:pPr>
        <w:tabs>
          <w:tab w:val="num" w:pos="6487"/>
        </w:tabs>
        <w:ind w:left="6487" w:hanging="360"/>
      </w:pPr>
      <w:rPr>
        <w:rFonts w:ascii="Wingdings" w:hAnsi="Wingdings" w:hint="default"/>
        <w:sz w:val="20"/>
      </w:rPr>
    </w:lvl>
  </w:abstractNum>
  <w:abstractNum w:abstractNumId="67" w15:restartNumberingAfterBreak="0">
    <w:nsid w:val="6A035503"/>
    <w:multiLevelType w:val="hybridMultilevel"/>
    <w:tmpl w:val="FFFFFFFF"/>
    <w:lvl w:ilvl="0" w:tplc="4BE4B750">
      <w:start w:val="1"/>
      <w:numFmt w:val="decimal"/>
      <w:lvlText w:val="%1."/>
      <w:lvlJc w:val="left"/>
      <w:pPr>
        <w:ind w:left="720" w:hanging="360"/>
      </w:pPr>
    </w:lvl>
    <w:lvl w:ilvl="1" w:tplc="2AA2FB14">
      <w:start w:val="1"/>
      <w:numFmt w:val="lowerLetter"/>
      <w:lvlText w:val="%2."/>
      <w:lvlJc w:val="left"/>
      <w:pPr>
        <w:ind w:left="1440" w:hanging="360"/>
      </w:pPr>
    </w:lvl>
    <w:lvl w:ilvl="2" w:tplc="E70070D2">
      <w:start w:val="1"/>
      <w:numFmt w:val="lowerRoman"/>
      <w:lvlText w:val="%3."/>
      <w:lvlJc w:val="right"/>
      <w:pPr>
        <w:ind w:left="2160" w:hanging="180"/>
      </w:pPr>
    </w:lvl>
    <w:lvl w:ilvl="3" w:tplc="BA9C60F6">
      <w:start w:val="1"/>
      <w:numFmt w:val="decimal"/>
      <w:lvlText w:val="%4."/>
      <w:lvlJc w:val="left"/>
      <w:pPr>
        <w:ind w:left="2880" w:hanging="360"/>
      </w:pPr>
    </w:lvl>
    <w:lvl w:ilvl="4" w:tplc="16007584">
      <w:start w:val="1"/>
      <w:numFmt w:val="lowerLetter"/>
      <w:lvlText w:val="%5."/>
      <w:lvlJc w:val="left"/>
      <w:pPr>
        <w:ind w:left="3600" w:hanging="360"/>
      </w:pPr>
    </w:lvl>
    <w:lvl w:ilvl="5" w:tplc="B7F85D82">
      <w:start w:val="1"/>
      <w:numFmt w:val="lowerRoman"/>
      <w:lvlText w:val="%6."/>
      <w:lvlJc w:val="right"/>
      <w:pPr>
        <w:ind w:left="4320" w:hanging="180"/>
      </w:pPr>
    </w:lvl>
    <w:lvl w:ilvl="6" w:tplc="CB4CAA5E">
      <w:start w:val="1"/>
      <w:numFmt w:val="decimal"/>
      <w:lvlText w:val="%7."/>
      <w:lvlJc w:val="left"/>
      <w:pPr>
        <w:ind w:left="5040" w:hanging="360"/>
      </w:pPr>
    </w:lvl>
    <w:lvl w:ilvl="7" w:tplc="85F4865C">
      <w:start w:val="1"/>
      <w:numFmt w:val="lowerLetter"/>
      <w:lvlText w:val="%8."/>
      <w:lvlJc w:val="left"/>
      <w:pPr>
        <w:ind w:left="5760" w:hanging="360"/>
      </w:pPr>
    </w:lvl>
    <w:lvl w:ilvl="8" w:tplc="079A029A">
      <w:start w:val="1"/>
      <w:numFmt w:val="lowerRoman"/>
      <w:lvlText w:val="%9."/>
      <w:lvlJc w:val="right"/>
      <w:pPr>
        <w:ind w:left="6480" w:hanging="180"/>
      </w:pPr>
    </w:lvl>
  </w:abstractNum>
  <w:abstractNum w:abstractNumId="68" w15:restartNumberingAfterBreak="0">
    <w:nsid w:val="6F8041F2"/>
    <w:multiLevelType w:val="multilevel"/>
    <w:tmpl w:val="5178F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03038C3"/>
    <w:multiLevelType w:val="hybridMultilevel"/>
    <w:tmpl w:val="B6EE5418"/>
    <w:lvl w:ilvl="0" w:tplc="0409000F">
      <w:start w:val="1"/>
      <w:numFmt w:val="decimal"/>
      <w:lvlText w:val="%1."/>
      <w:lvlJc w:val="left"/>
      <w:pPr>
        <w:ind w:left="644" w:hanging="360"/>
      </w:pPr>
      <w:rPr>
        <w:rFonts w:hint="default"/>
        <w:i w:val="0"/>
        <w:i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0" w15:restartNumberingAfterBreak="0">
    <w:nsid w:val="719529D2"/>
    <w:multiLevelType w:val="hybridMultilevel"/>
    <w:tmpl w:val="FFFFFFFF"/>
    <w:lvl w:ilvl="0" w:tplc="0FA6B0B8">
      <w:start w:val="1"/>
      <w:numFmt w:val="bullet"/>
      <w:lvlText w:val=""/>
      <w:lvlJc w:val="left"/>
      <w:pPr>
        <w:ind w:left="720" w:hanging="360"/>
      </w:pPr>
      <w:rPr>
        <w:rFonts w:ascii="Symbol" w:hAnsi="Symbol" w:hint="default"/>
      </w:rPr>
    </w:lvl>
    <w:lvl w:ilvl="1" w:tplc="FCAE48D2">
      <w:start w:val="1"/>
      <w:numFmt w:val="bullet"/>
      <w:lvlText w:val="o"/>
      <w:lvlJc w:val="left"/>
      <w:pPr>
        <w:ind w:left="1440" w:hanging="360"/>
      </w:pPr>
      <w:rPr>
        <w:rFonts w:ascii="Courier New" w:hAnsi="Courier New" w:hint="default"/>
      </w:rPr>
    </w:lvl>
    <w:lvl w:ilvl="2" w:tplc="F3EC4C94">
      <w:start w:val="1"/>
      <w:numFmt w:val="bullet"/>
      <w:lvlText w:val=""/>
      <w:lvlJc w:val="left"/>
      <w:pPr>
        <w:ind w:left="2160" w:hanging="360"/>
      </w:pPr>
      <w:rPr>
        <w:rFonts w:ascii="Wingdings" w:hAnsi="Wingdings" w:hint="default"/>
      </w:rPr>
    </w:lvl>
    <w:lvl w:ilvl="3" w:tplc="62F83336">
      <w:start w:val="1"/>
      <w:numFmt w:val="bullet"/>
      <w:lvlText w:val=""/>
      <w:lvlJc w:val="left"/>
      <w:pPr>
        <w:ind w:left="2880" w:hanging="360"/>
      </w:pPr>
      <w:rPr>
        <w:rFonts w:ascii="Symbol" w:hAnsi="Symbol" w:hint="default"/>
      </w:rPr>
    </w:lvl>
    <w:lvl w:ilvl="4" w:tplc="278A609E">
      <w:start w:val="1"/>
      <w:numFmt w:val="bullet"/>
      <w:lvlText w:val="o"/>
      <w:lvlJc w:val="left"/>
      <w:pPr>
        <w:ind w:left="3600" w:hanging="360"/>
      </w:pPr>
      <w:rPr>
        <w:rFonts w:ascii="Courier New" w:hAnsi="Courier New" w:hint="default"/>
      </w:rPr>
    </w:lvl>
    <w:lvl w:ilvl="5" w:tplc="23D408A0">
      <w:start w:val="1"/>
      <w:numFmt w:val="bullet"/>
      <w:lvlText w:val=""/>
      <w:lvlJc w:val="left"/>
      <w:pPr>
        <w:ind w:left="4320" w:hanging="360"/>
      </w:pPr>
      <w:rPr>
        <w:rFonts w:ascii="Wingdings" w:hAnsi="Wingdings" w:hint="default"/>
      </w:rPr>
    </w:lvl>
    <w:lvl w:ilvl="6" w:tplc="49ACB5B4">
      <w:start w:val="1"/>
      <w:numFmt w:val="bullet"/>
      <w:lvlText w:val=""/>
      <w:lvlJc w:val="left"/>
      <w:pPr>
        <w:ind w:left="5040" w:hanging="360"/>
      </w:pPr>
      <w:rPr>
        <w:rFonts w:ascii="Symbol" w:hAnsi="Symbol" w:hint="default"/>
      </w:rPr>
    </w:lvl>
    <w:lvl w:ilvl="7" w:tplc="32EE4DF4">
      <w:start w:val="1"/>
      <w:numFmt w:val="bullet"/>
      <w:lvlText w:val="o"/>
      <w:lvlJc w:val="left"/>
      <w:pPr>
        <w:ind w:left="5760" w:hanging="360"/>
      </w:pPr>
      <w:rPr>
        <w:rFonts w:ascii="Courier New" w:hAnsi="Courier New" w:hint="default"/>
      </w:rPr>
    </w:lvl>
    <w:lvl w:ilvl="8" w:tplc="1E4E0038">
      <w:start w:val="1"/>
      <w:numFmt w:val="bullet"/>
      <w:lvlText w:val=""/>
      <w:lvlJc w:val="left"/>
      <w:pPr>
        <w:ind w:left="6480" w:hanging="360"/>
      </w:pPr>
      <w:rPr>
        <w:rFonts w:ascii="Wingdings" w:hAnsi="Wingdings" w:hint="default"/>
      </w:rPr>
    </w:lvl>
  </w:abstractNum>
  <w:abstractNum w:abstractNumId="71" w15:restartNumberingAfterBreak="0">
    <w:nsid w:val="74313C1A"/>
    <w:multiLevelType w:val="hybridMultilevel"/>
    <w:tmpl w:val="D3C4BEB0"/>
    <w:lvl w:ilvl="0" w:tplc="EA0EB884">
      <w:start w:val="1"/>
      <w:numFmt w:val="decimal"/>
      <w:lvlText w:val="%1."/>
      <w:lvlJc w:val="left"/>
      <w:pPr>
        <w:ind w:left="720" w:hanging="360"/>
      </w:pPr>
    </w:lvl>
    <w:lvl w:ilvl="1" w:tplc="35E293F6">
      <w:start w:val="1"/>
      <w:numFmt w:val="lowerLetter"/>
      <w:lvlText w:val="%2."/>
      <w:lvlJc w:val="left"/>
      <w:pPr>
        <w:ind w:left="1440" w:hanging="360"/>
      </w:pPr>
    </w:lvl>
    <w:lvl w:ilvl="2" w:tplc="ABC29DF0">
      <w:start w:val="1"/>
      <w:numFmt w:val="lowerRoman"/>
      <w:lvlText w:val="%3."/>
      <w:lvlJc w:val="right"/>
      <w:pPr>
        <w:ind w:left="2160" w:hanging="180"/>
      </w:pPr>
    </w:lvl>
    <w:lvl w:ilvl="3" w:tplc="9CBE916A">
      <w:start w:val="1"/>
      <w:numFmt w:val="decimal"/>
      <w:lvlText w:val="%4."/>
      <w:lvlJc w:val="left"/>
      <w:pPr>
        <w:ind w:left="2880" w:hanging="360"/>
      </w:pPr>
    </w:lvl>
    <w:lvl w:ilvl="4" w:tplc="FA760BEE">
      <w:start w:val="1"/>
      <w:numFmt w:val="lowerLetter"/>
      <w:lvlText w:val="%5."/>
      <w:lvlJc w:val="left"/>
      <w:pPr>
        <w:ind w:left="3600" w:hanging="360"/>
      </w:pPr>
    </w:lvl>
    <w:lvl w:ilvl="5" w:tplc="E6B6871A">
      <w:start w:val="1"/>
      <w:numFmt w:val="lowerRoman"/>
      <w:lvlText w:val="%6."/>
      <w:lvlJc w:val="right"/>
      <w:pPr>
        <w:ind w:left="4320" w:hanging="180"/>
      </w:pPr>
    </w:lvl>
    <w:lvl w:ilvl="6" w:tplc="74A09CDC">
      <w:start w:val="1"/>
      <w:numFmt w:val="decimal"/>
      <w:lvlText w:val="%7."/>
      <w:lvlJc w:val="left"/>
      <w:pPr>
        <w:ind w:left="5040" w:hanging="360"/>
      </w:pPr>
    </w:lvl>
    <w:lvl w:ilvl="7" w:tplc="4406E55C">
      <w:start w:val="1"/>
      <w:numFmt w:val="lowerLetter"/>
      <w:lvlText w:val="%8."/>
      <w:lvlJc w:val="left"/>
      <w:pPr>
        <w:ind w:left="5760" w:hanging="360"/>
      </w:pPr>
    </w:lvl>
    <w:lvl w:ilvl="8" w:tplc="AA0C38F8">
      <w:start w:val="1"/>
      <w:numFmt w:val="lowerRoman"/>
      <w:lvlText w:val="%9."/>
      <w:lvlJc w:val="right"/>
      <w:pPr>
        <w:ind w:left="6480" w:hanging="180"/>
      </w:pPr>
    </w:lvl>
  </w:abstractNum>
  <w:abstractNum w:abstractNumId="72" w15:restartNumberingAfterBreak="0">
    <w:nsid w:val="74720B72"/>
    <w:multiLevelType w:val="hybridMultilevel"/>
    <w:tmpl w:val="95E86808"/>
    <w:lvl w:ilvl="0" w:tplc="85128E8A">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4F358E"/>
    <w:multiLevelType w:val="multilevel"/>
    <w:tmpl w:val="6F56C49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A0F6487"/>
    <w:multiLevelType w:val="multilevel"/>
    <w:tmpl w:val="ACBEAB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A130532"/>
    <w:multiLevelType w:val="hybridMultilevel"/>
    <w:tmpl w:val="DCEE4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9A2AC9"/>
    <w:multiLevelType w:val="multilevel"/>
    <w:tmpl w:val="2E0A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8850E1"/>
    <w:multiLevelType w:val="multilevel"/>
    <w:tmpl w:val="7C8850E1"/>
    <w:lvl w:ilvl="0">
      <w:start w:val="1"/>
      <w:numFmt w:val="bullet"/>
      <w:lvlText w:val=""/>
      <w:lvlJc w:val="left"/>
      <w:pPr>
        <w:ind w:left="764" w:hanging="360"/>
      </w:pPr>
      <w:rPr>
        <w:rFonts w:ascii="Symbol" w:hAnsi="Symbol" w:cs="Symbol"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cs="Wingdings" w:hint="default"/>
      </w:rPr>
    </w:lvl>
    <w:lvl w:ilvl="3">
      <w:start w:val="1"/>
      <w:numFmt w:val="bullet"/>
      <w:lvlText w:val=""/>
      <w:lvlJc w:val="left"/>
      <w:pPr>
        <w:ind w:left="2924" w:hanging="360"/>
      </w:pPr>
      <w:rPr>
        <w:rFonts w:ascii="Symbol" w:hAnsi="Symbol" w:cs="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cs="Wingdings" w:hint="default"/>
      </w:rPr>
    </w:lvl>
    <w:lvl w:ilvl="6">
      <w:start w:val="1"/>
      <w:numFmt w:val="bullet"/>
      <w:lvlText w:val=""/>
      <w:lvlJc w:val="left"/>
      <w:pPr>
        <w:ind w:left="5084" w:hanging="360"/>
      </w:pPr>
      <w:rPr>
        <w:rFonts w:ascii="Symbol" w:hAnsi="Symbol" w:cs="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cs="Wingdings" w:hint="default"/>
      </w:rPr>
    </w:lvl>
  </w:abstractNum>
  <w:abstractNum w:abstractNumId="79" w15:restartNumberingAfterBreak="0">
    <w:nsid w:val="7EA020BA"/>
    <w:multiLevelType w:val="multilevel"/>
    <w:tmpl w:val="5814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71"/>
  </w:num>
  <w:num w:numId="3">
    <w:abstractNumId w:val="3"/>
  </w:num>
  <w:num w:numId="4">
    <w:abstractNumId w:val="28"/>
  </w:num>
  <w:num w:numId="5">
    <w:abstractNumId w:val="51"/>
  </w:num>
  <w:num w:numId="6">
    <w:abstractNumId w:val="34"/>
  </w:num>
  <w:num w:numId="7">
    <w:abstractNumId w:val="43"/>
  </w:num>
  <w:num w:numId="8">
    <w:abstractNumId w:val="50"/>
  </w:num>
  <w:num w:numId="9">
    <w:abstractNumId w:val="56"/>
  </w:num>
  <w:num w:numId="10">
    <w:abstractNumId w:val="42"/>
  </w:num>
  <w:num w:numId="11">
    <w:abstractNumId w:val="64"/>
  </w:num>
  <w:num w:numId="12">
    <w:abstractNumId w:val="46"/>
  </w:num>
  <w:num w:numId="13">
    <w:abstractNumId w:val="58"/>
  </w:num>
  <w:num w:numId="14">
    <w:abstractNumId w:val="73"/>
  </w:num>
  <w:num w:numId="15">
    <w:abstractNumId w:val="19"/>
  </w:num>
  <w:num w:numId="16">
    <w:abstractNumId w:val="44"/>
  </w:num>
  <w:num w:numId="17">
    <w:abstractNumId w:val="0"/>
  </w:num>
  <w:num w:numId="18">
    <w:abstractNumId w:val="40"/>
  </w:num>
  <w:num w:numId="19">
    <w:abstractNumId w:val="36"/>
  </w:num>
  <w:num w:numId="20">
    <w:abstractNumId w:val="52"/>
  </w:num>
  <w:num w:numId="21">
    <w:abstractNumId w:val="76"/>
  </w:num>
  <w:num w:numId="22">
    <w:abstractNumId w:val="25"/>
  </w:num>
  <w:num w:numId="23">
    <w:abstractNumId w:val="24"/>
  </w:num>
  <w:num w:numId="24">
    <w:abstractNumId w:val="38"/>
  </w:num>
  <w:num w:numId="25">
    <w:abstractNumId w:val="30"/>
  </w:num>
  <w:num w:numId="26">
    <w:abstractNumId w:val="70"/>
  </w:num>
  <w:num w:numId="27">
    <w:abstractNumId w:val="67"/>
  </w:num>
  <w:num w:numId="28">
    <w:abstractNumId w:val="39"/>
  </w:num>
  <w:num w:numId="29">
    <w:abstractNumId w:val="6"/>
  </w:num>
  <w:num w:numId="30">
    <w:abstractNumId w:val="18"/>
  </w:num>
  <w:num w:numId="31">
    <w:abstractNumId w:val="53"/>
  </w:num>
  <w:num w:numId="32">
    <w:abstractNumId w:val="55"/>
  </w:num>
  <w:num w:numId="33">
    <w:abstractNumId w:val="22"/>
  </w:num>
  <w:num w:numId="34">
    <w:abstractNumId w:val="61"/>
  </w:num>
  <w:num w:numId="35">
    <w:abstractNumId w:val="35"/>
  </w:num>
  <w:num w:numId="36">
    <w:abstractNumId w:val="9"/>
  </w:num>
  <w:num w:numId="37">
    <w:abstractNumId w:val="12"/>
  </w:num>
  <w:num w:numId="38">
    <w:abstractNumId w:val="11"/>
  </w:num>
  <w:num w:numId="39">
    <w:abstractNumId w:val="16"/>
  </w:num>
  <w:num w:numId="40">
    <w:abstractNumId w:val="14"/>
  </w:num>
  <w:num w:numId="41">
    <w:abstractNumId w:val="8"/>
  </w:num>
  <w:num w:numId="42">
    <w:abstractNumId w:val="41"/>
  </w:num>
  <w:num w:numId="43">
    <w:abstractNumId w:val="27"/>
  </w:num>
  <w:num w:numId="44">
    <w:abstractNumId w:val="54"/>
  </w:num>
  <w:num w:numId="45">
    <w:abstractNumId w:val="2"/>
  </w:num>
  <w:num w:numId="46">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60"/>
  </w:num>
  <w:num w:numId="49">
    <w:abstractNumId w:val="13"/>
  </w:num>
  <w:num w:numId="50">
    <w:abstractNumId w:val="5"/>
  </w:num>
  <w:num w:numId="51">
    <w:abstractNumId w:val="49"/>
  </w:num>
  <w:num w:numId="52">
    <w:abstractNumId w:val="47"/>
  </w:num>
  <w:num w:numId="53">
    <w:abstractNumId w:val="33"/>
  </w:num>
  <w:num w:numId="54">
    <w:abstractNumId w:val="68"/>
  </w:num>
  <w:num w:numId="55">
    <w:abstractNumId w:val="75"/>
  </w:num>
  <w:num w:numId="56">
    <w:abstractNumId w:val="15"/>
  </w:num>
  <w:num w:numId="57">
    <w:abstractNumId w:val="37"/>
  </w:num>
  <w:num w:numId="58">
    <w:abstractNumId w:val="1"/>
  </w:num>
  <w:num w:numId="59">
    <w:abstractNumId w:val="62"/>
  </w:num>
  <w:num w:numId="60">
    <w:abstractNumId w:val="21"/>
  </w:num>
  <w:num w:numId="61">
    <w:abstractNumId w:val="74"/>
  </w:num>
  <w:num w:numId="62">
    <w:abstractNumId w:val="32"/>
  </w:num>
  <w:num w:numId="63">
    <w:abstractNumId w:val="72"/>
  </w:num>
  <w:num w:numId="64">
    <w:abstractNumId w:val="44"/>
  </w:num>
  <w:num w:numId="65">
    <w:abstractNumId w:val="73"/>
  </w:num>
  <w:num w:numId="66">
    <w:abstractNumId w:val="19"/>
  </w:num>
  <w:num w:numId="67">
    <w:abstractNumId w:val="4"/>
  </w:num>
  <w:num w:numId="68">
    <w:abstractNumId w:val="29"/>
  </w:num>
  <w:num w:numId="69">
    <w:abstractNumId w:val="66"/>
  </w:num>
  <w:num w:numId="70">
    <w:abstractNumId w:val="7"/>
  </w:num>
  <w:num w:numId="71">
    <w:abstractNumId w:val="63"/>
  </w:num>
  <w:num w:numId="72">
    <w:abstractNumId w:val="78"/>
  </w:num>
  <w:num w:numId="73">
    <w:abstractNumId w:val="79"/>
  </w:num>
  <w:num w:numId="74">
    <w:abstractNumId w:val="77"/>
  </w:num>
  <w:num w:numId="75">
    <w:abstractNumId w:val="10"/>
  </w:num>
  <w:num w:numId="76">
    <w:abstractNumId w:val="26"/>
  </w:num>
  <w:num w:numId="77">
    <w:abstractNumId w:val="69"/>
  </w:num>
  <w:num w:numId="78">
    <w:abstractNumId w:val="48"/>
  </w:num>
  <w:num w:numId="79">
    <w:abstractNumId w:val="31"/>
  </w:num>
  <w:num w:numId="80">
    <w:abstractNumId w:val="59"/>
  </w:num>
  <w:num w:numId="81">
    <w:abstractNumId w:val="17"/>
  </w:num>
  <w:num w:numId="82">
    <w:abstractNumId w:val="20"/>
  </w:num>
  <w:num w:numId="83">
    <w:abstractNumId w:val="6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hideGrammaticalErrors/>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gFAGIHQBQtAAAA"/>
  </w:docVars>
  <w:rsids>
    <w:rsidRoot w:val="002B2813"/>
    <w:rsid w:val="000001C4"/>
    <w:rsid w:val="00000D49"/>
    <w:rsid w:val="00000DE6"/>
    <w:rsid w:val="0000159F"/>
    <w:rsid w:val="00001726"/>
    <w:rsid w:val="000019AC"/>
    <w:rsid w:val="00001FA9"/>
    <w:rsid w:val="000021F9"/>
    <w:rsid w:val="000024E9"/>
    <w:rsid w:val="00003EF9"/>
    <w:rsid w:val="00003F4F"/>
    <w:rsid w:val="00004479"/>
    <w:rsid w:val="00004AC8"/>
    <w:rsid w:val="00005844"/>
    <w:rsid w:val="00006055"/>
    <w:rsid w:val="00006240"/>
    <w:rsid w:val="000066C8"/>
    <w:rsid w:val="00006AD4"/>
    <w:rsid w:val="00006B30"/>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15BE"/>
    <w:rsid w:val="00021662"/>
    <w:rsid w:val="00022360"/>
    <w:rsid w:val="00023742"/>
    <w:rsid w:val="00024329"/>
    <w:rsid w:val="000246CB"/>
    <w:rsid w:val="00024AEF"/>
    <w:rsid w:val="00024F2C"/>
    <w:rsid w:val="0002551A"/>
    <w:rsid w:val="000256BA"/>
    <w:rsid w:val="00025BFD"/>
    <w:rsid w:val="000267A5"/>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AE0"/>
    <w:rsid w:val="00035CCB"/>
    <w:rsid w:val="0003634D"/>
    <w:rsid w:val="000367FA"/>
    <w:rsid w:val="0003723A"/>
    <w:rsid w:val="000375B9"/>
    <w:rsid w:val="00040797"/>
    <w:rsid w:val="00041273"/>
    <w:rsid w:val="0004132D"/>
    <w:rsid w:val="00041358"/>
    <w:rsid w:val="00041B78"/>
    <w:rsid w:val="00041C8D"/>
    <w:rsid w:val="000425C9"/>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4B74"/>
    <w:rsid w:val="00054D9D"/>
    <w:rsid w:val="00055308"/>
    <w:rsid w:val="00055676"/>
    <w:rsid w:val="000557B5"/>
    <w:rsid w:val="00055F38"/>
    <w:rsid w:val="00056098"/>
    <w:rsid w:val="00056179"/>
    <w:rsid w:val="00056544"/>
    <w:rsid w:val="000567B9"/>
    <w:rsid w:val="00056AE8"/>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208A"/>
    <w:rsid w:val="000720FA"/>
    <w:rsid w:val="00072BBA"/>
    <w:rsid w:val="00072FCE"/>
    <w:rsid w:val="00072FF5"/>
    <w:rsid w:val="0007385A"/>
    <w:rsid w:val="00074969"/>
    <w:rsid w:val="0007558C"/>
    <w:rsid w:val="00075DA1"/>
    <w:rsid w:val="00075FDA"/>
    <w:rsid w:val="00076386"/>
    <w:rsid w:val="00076D82"/>
    <w:rsid w:val="00077655"/>
    <w:rsid w:val="00077949"/>
    <w:rsid w:val="00077D9D"/>
    <w:rsid w:val="00077E4F"/>
    <w:rsid w:val="00080284"/>
    <w:rsid w:val="00080B60"/>
    <w:rsid w:val="0008107D"/>
    <w:rsid w:val="000818BC"/>
    <w:rsid w:val="0008197E"/>
    <w:rsid w:val="00081EC2"/>
    <w:rsid w:val="000823FE"/>
    <w:rsid w:val="00082574"/>
    <w:rsid w:val="000825E2"/>
    <w:rsid w:val="00082614"/>
    <w:rsid w:val="00082B41"/>
    <w:rsid w:val="00082D85"/>
    <w:rsid w:val="00083800"/>
    <w:rsid w:val="00084622"/>
    <w:rsid w:val="00084971"/>
    <w:rsid w:val="00084A65"/>
    <w:rsid w:val="00085090"/>
    <w:rsid w:val="000853E9"/>
    <w:rsid w:val="00086572"/>
    <w:rsid w:val="00087BAA"/>
    <w:rsid w:val="000900C2"/>
    <w:rsid w:val="000913D4"/>
    <w:rsid w:val="00091A92"/>
    <w:rsid w:val="00091C40"/>
    <w:rsid w:val="00092C05"/>
    <w:rsid w:val="00093714"/>
    <w:rsid w:val="0009381B"/>
    <w:rsid w:val="00093C49"/>
    <w:rsid w:val="00093D63"/>
    <w:rsid w:val="00093EAD"/>
    <w:rsid w:val="00093FD5"/>
    <w:rsid w:val="0009424D"/>
    <w:rsid w:val="00094979"/>
    <w:rsid w:val="00095A80"/>
    <w:rsid w:val="0009632F"/>
    <w:rsid w:val="000966A1"/>
    <w:rsid w:val="000973C8"/>
    <w:rsid w:val="000973E1"/>
    <w:rsid w:val="00097BC1"/>
    <w:rsid w:val="000A0AFE"/>
    <w:rsid w:val="000A0B17"/>
    <w:rsid w:val="000A0D9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684"/>
    <w:rsid w:val="000B16DB"/>
    <w:rsid w:val="000B1C5E"/>
    <w:rsid w:val="000B1C94"/>
    <w:rsid w:val="000B2282"/>
    <w:rsid w:val="000B2A11"/>
    <w:rsid w:val="000B2A5B"/>
    <w:rsid w:val="000B2AC8"/>
    <w:rsid w:val="000B36F4"/>
    <w:rsid w:val="000B3B91"/>
    <w:rsid w:val="000B45E3"/>
    <w:rsid w:val="000B4825"/>
    <w:rsid w:val="000B562E"/>
    <w:rsid w:val="000B5AC9"/>
    <w:rsid w:val="000B5F0A"/>
    <w:rsid w:val="000B6544"/>
    <w:rsid w:val="000B7043"/>
    <w:rsid w:val="000B7130"/>
    <w:rsid w:val="000B75A5"/>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B66"/>
    <w:rsid w:val="000D40E7"/>
    <w:rsid w:val="000D584F"/>
    <w:rsid w:val="000D65B3"/>
    <w:rsid w:val="000D6A34"/>
    <w:rsid w:val="000D6DCC"/>
    <w:rsid w:val="000D71EE"/>
    <w:rsid w:val="000D794A"/>
    <w:rsid w:val="000D7CF2"/>
    <w:rsid w:val="000E071E"/>
    <w:rsid w:val="000E11A6"/>
    <w:rsid w:val="000E27AA"/>
    <w:rsid w:val="000E29CD"/>
    <w:rsid w:val="000E29F1"/>
    <w:rsid w:val="000E2F18"/>
    <w:rsid w:val="000E337A"/>
    <w:rsid w:val="000E3456"/>
    <w:rsid w:val="000E4291"/>
    <w:rsid w:val="000E4350"/>
    <w:rsid w:val="000E4408"/>
    <w:rsid w:val="000E4B2C"/>
    <w:rsid w:val="000E502B"/>
    <w:rsid w:val="000E5490"/>
    <w:rsid w:val="000E5716"/>
    <w:rsid w:val="000E5A4C"/>
    <w:rsid w:val="000E5FBF"/>
    <w:rsid w:val="000E666B"/>
    <w:rsid w:val="000E66AA"/>
    <w:rsid w:val="000E66C1"/>
    <w:rsid w:val="000E6797"/>
    <w:rsid w:val="000E68F2"/>
    <w:rsid w:val="000E6A88"/>
    <w:rsid w:val="000E6C9C"/>
    <w:rsid w:val="000E75EA"/>
    <w:rsid w:val="000E7A79"/>
    <w:rsid w:val="000E7BBC"/>
    <w:rsid w:val="000F09E3"/>
    <w:rsid w:val="000F0D2C"/>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580"/>
    <w:rsid w:val="000F67CF"/>
    <w:rsid w:val="000F6C98"/>
    <w:rsid w:val="000F7450"/>
    <w:rsid w:val="001004F9"/>
    <w:rsid w:val="001007CF"/>
    <w:rsid w:val="00100DBE"/>
    <w:rsid w:val="001015DE"/>
    <w:rsid w:val="001017D7"/>
    <w:rsid w:val="00101892"/>
    <w:rsid w:val="00101C4F"/>
    <w:rsid w:val="00102C83"/>
    <w:rsid w:val="00102C9F"/>
    <w:rsid w:val="0010320E"/>
    <w:rsid w:val="00103523"/>
    <w:rsid w:val="001036C8"/>
    <w:rsid w:val="00103A73"/>
    <w:rsid w:val="00103B18"/>
    <w:rsid w:val="00103C7C"/>
    <w:rsid w:val="001042A0"/>
    <w:rsid w:val="00105C16"/>
    <w:rsid w:val="001068D2"/>
    <w:rsid w:val="0010715F"/>
    <w:rsid w:val="001103BD"/>
    <w:rsid w:val="00110D83"/>
    <w:rsid w:val="00111208"/>
    <w:rsid w:val="00111654"/>
    <w:rsid w:val="00111808"/>
    <w:rsid w:val="00112263"/>
    <w:rsid w:val="00112BDC"/>
    <w:rsid w:val="0011339F"/>
    <w:rsid w:val="00113EAA"/>
    <w:rsid w:val="001140DA"/>
    <w:rsid w:val="0011470E"/>
    <w:rsid w:val="00114904"/>
    <w:rsid w:val="00114E96"/>
    <w:rsid w:val="00115828"/>
    <w:rsid w:val="00116350"/>
    <w:rsid w:val="0011644A"/>
    <w:rsid w:val="0011646E"/>
    <w:rsid w:val="00116913"/>
    <w:rsid w:val="00116959"/>
    <w:rsid w:val="001170D6"/>
    <w:rsid w:val="00117332"/>
    <w:rsid w:val="0011747F"/>
    <w:rsid w:val="00117A67"/>
    <w:rsid w:val="00117B26"/>
    <w:rsid w:val="00117C08"/>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665"/>
    <w:rsid w:val="00124C64"/>
    <w:rsid w:val="00124DAF"/>
    <w:rsid w:val="00124E05"/>
    <w:rsid w:val="00124E12"/>
    <w:rsid w:val="00125FB8"/>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34"/>
    <w:rsid w:val="001375CA"/>
    <w:rsid w:val="00137873"/>
    <w:rsid w:val="00137AC8"/>
    <w:rsid w:val="00137D78"/>
    <w:rsid w:val="001403B0"/>
    <w:rsid w:val="001409A0"/>
    <w:rsid w:val="00140CD3"/>
    <w:rsid w:val="00141125"/>
    <w:rsid w:val="00141F08"/>
    <w:rsid w:val="00141FA2"/>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7390"/>
    <w:rsid w:val="001573CB"/>
    <w:rsid w:val="00160998"/>
    <w:rsid w:val="00160BF8"/>
    <w:rsid w:val="00160CD6"/>
    <w:rsid w:val="0016132D"/>
    <w:rsid w:val="00161FA5"/>
    <w:rsid w:val="00162AC7"/>
    <w:rsid w:val="0016316A"/>
    <w:rsid w:val="001632B6"/>
    <w:rsid w:val="001636C3"/>
    <w:rsid w:val="0016377D"/>
    <w:rsid w:val="00164171"/>
    <w:rsid w:val="001647D7"/>
    <w:rsid w:val="00164DC9"/>
    <w:rsid w:val="00164E58"/>
    <w:rsid w:val="00165033"/>
    <w:rsid w:val="00165B18"/>
    <w:rsid w:val="00165E81"/>
    <w:rsid w:val="001670EA"/>
    <w:rsid w:val="001674A0"/>
    <w:rsid w:val="00167561"/>
    <w:rsid w:val="00170708"/>
    <w:rsid w:val="00170A50"/>
    <w:rsid w:val="00171046"/>
    <w:rsid w:val="001713BF"/>
    <w:rsid w:val="0017157A"/>
    <w:rsid w:val="00171F0C"/>
    <w:rsid w:val="00172AA6"/>
    <w:rsid w:val="00172D43"/>
    <w:rsid w:val="00172E40"/>
    <w:rsid w:val="001730AD"/>
    <w:rsid w:val="0017361B"/>
    <w:rsid w:val="001737D1"/>
    <w:rsid w:val="00173827"/>
    <w:rsid w:val="001749B2"/>
    <w:rsid w:val="00174FFD"/>
    <w:rsid w:val="001753B2"/>
    <w:rsid w:val="001759CA"/>
    <w:rsid w:val="00176716"/>
    <w:rsid w:val="001767D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904"/>
    <w:rsid w:val="00186B0A"/>
    <w:rsid w:val="00186D71"/>
    <w:rsid w:val="001873B6"/>
    <w:rsid w:val="00187D49"/>
    <w:rsid w:val="00187EE0"/>
    <w:rsid w:val="00187F62"/>
    <w:rsid w:val="001905BD"/>
    <w:rsid w:val="001906F5"/>
    <w:rsid w:val="001914BC"/>
    <w:rsid w:val="001914E6"/>
    <w:rsid w:val="0019166C"/>
    <w:rsid w:val="001923E6"/>
    <w:rsid w:val="001925BD"/>
    <w:rsid w:val="00192699"/>
    <w:rsid w:val="0019275A"/>
    <w:rsid w:val="00192A1E"/>
    <w:rsid w:val="00192C31"/>
    <w:rsid w:val="00192FE6"/>
    <w:rsid w:val="00193451"/>
    <w:rsid w:val="00193986"/>
    <w:rsid w:val="00193B08"/>
    <w:rsid w:val="00193E7F"/>
    <w:rsid w:val="00194319"/>
    <w:rsid w:val="0019435C"/>
    <w:rsid w:val="001944DD"/>
    <w:rsid w:val="00194570"/>
    <w:rsid w:val="00195272"/>
    <w:rsid w:val="0019539B"/>
    <w:rsid w:val="00195BBB"/>
    <w:rsid w:val="001965B8"/>
    <w:rsid w:val="00196BF4"/>
    <w:rsid w:val="00196FBD"/>
    <w:rsid w:val="001972DA"/>
    <w:rsid w:val="001976AA"/>
    <w:rsid w:val="001A02F6"/>
    <w:rsid w:val="001A15C6"/>
    <w:rsid w:val="001A1808"/>
    <w:rsid w:val="001A1AB7"/>
    <w:rsid w:val="001A2924"/>
    <w:rsid w:val="001A3CCB"/>
    <w:rsid w:val="001A542C"/>
    <w:rsid w:val="001A5E19"/>
    <w:rsid w:val="001A620B"/>
    <w:rsid w:val="001A6BB6"/>
    <w:rsid w:val="001B01FA"/>
    <w:rsid w:val="001B03E1"/>
    <w:rsid w:val="001B0832"/>
    <w:rsid w:val="001B0C86"/>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159"/>
    <w:rsid w:val="001B69CA"/>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273"/>
    <w:rsid w:val="001C66AC"/>
    <w:rsid w:val="001C6754"/>
    <w:rsid w:val="001C6C1D"/>
    <w:rsid w:val="001C6FA5"/>
    <w:rsid w:val="001C70C3"/>
    <w:rsid w:val="001C77F0"/>
    <w:rsid w:val="001C7A39"/>
    <w:rsid w:val="001D08BB"/>
    <w:rsid w:val="001D0DB8"/>
    <w:rsid w:val="001D18A7"/>
    <w:rsid w:val="001D1B8A"/>
    <w:rsid w:val="001D1DF8"/>
    <w:rsid w:val="001D2304"/>
    <w:rsid w:val="001D2B7D"/>
    <w:rsid w:val="001D46A0"/>
    <w:rsid w:val="001D4793"/>
    <w:rsid w:val="001D4E22"/>
    <w:rsid w:val="001D4E9E"/>
    <w:rsid w:val="001D528B"/>
    <w:rsid w:val="001D5816"/>
    <w:rsid w:val="001D5F23"/>
    <w:rsid w:val="001D5FB0"/>
    <w:rsid w:val="001D706B"/>
    <w:rsid w:val="001D7B2F"/>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B01"/>
    <w:rsid w:val="001F34DA"/>
    <w:rsid w:val="001F3DA6"/>
    <w:rsid w:val="001F3DF7"/>
    <w:rsid w:val="001F42D4"/>
    <w:rsid w:val="001F45A5"/>
    <w:rsid w:val="001F45CB"/>
    <w:rsid w:val="001F48BF"/>
    <w:rsid w:val="001F4CC4"/>
    <w:rsid w:val="001F4DAC"/>
    <w:rsid w:val="001F5019"/>
    <w:rsid w:val="001F5148"/>
    <w:rsid w:val="001F53CA"/>
    <w:rsid w:val="001F650F"/>
    <w:rsid w:val="001F67AA"/>
    <w:rsid w:val="001F7599"/>
    <w:rsid w:val="001F782F"/>
    <w:rsid w:val="001F7B17"/>
    <w:rsid w:val="002007ED"/>
    <w:rsid w:val="002009BD"/>
    <w:rsid w:val="0020171B"/>
    <w:rsid w:val="002021D7"/>
    <w:rsid w:val="002023F7"/>
    <w:rsid w:val="00202D01"/>
    <w:rsid w:val="00204B3A"/>
    <w:rsid w:val="00204E26"/>
    <w:rsid w:val="0020535A"/>
    <w:rsid w:val="00205F67"/>
    <w:rsid w:val="00206386"/>
    <w:rsid w:val="00206650"/>
    <w:rsid w:val="00206955"/>
    <w:rsid w:val="00210309"/>
    <w:rsid w:val="002106F0"/>
    <w:rsid w:val="00210993"/>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4F5"/>
    <w:rsid w:val="00227ACC"/>
    <w:rsid w:val="00227BDA"/>
    <w:rsid w:val="0023005B"/>
    <w:rsid w:val="002303E4"/>
    <w:rsid w:val="002306F8"/>
    <w:rsid w:val="00230A0F"/>
    <w:rsid w:val="002312F4"/>
    <w:rsid w:val="002313A2"/>
    <w:rsid w:val="00231B0D"/>
    <w:rsid w:val="00231E5D"/>
    <w:rsid w:val="00231FC7"/>
    <w:rsid w:val="00232930"/>
    <w:rsid w:val="00232A1F"/>
    <w:rsid w:val="00232A95"/>
    <w:rsid w:val="00232DD9"/>
    <w:rsid w:val="00233403"/>
    <w:rsid w:val="00233440"/>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6F26"/>
    <w:rsid w:val="002477DF"/>
    <w:rsid w:val="00247912"/>
    <w:rsid w:val="0025047E"/>
    <w:rsid w:val="00250726"/>
    <w:rsid w:val="0025074A"/>
    <w:rsid w:val="002516F4"/>
    <w:rsid w:val="00251AD6"/>
    <w:rsid w:val="002522B3"/>
    <w:rsid w:val="00252BBC"/>
    <w:rsid w:val="00252C17"/>
    <w:rsid w:val="0025307F"/>
    <w:rsid w:val="00253325"/>
    <w:rsid w:val="00253C77"/>
    <w:rsid w:val="002551BD"/>
    <w:rsid w:val="00255A30"/>
    <w:rsid w:val="002560B5"/>
    <w:rsid w:val="002568D0"/>
    <w:rsid w:val="002569CE"/>
    <w:rsid w:val="00257FFB"/>
    <w:rsid w:val="002607E0"/>
    <w:rsid w:val="0026198E"/>
    <w:rsid w:val="002622EF"/>
    <w:rsid w:val="00262661"/>
    <w:rsid w:val="002632DF"/>
    <w:rsid w:val="00263961"/>
    <w:rsid w:val="0026400A"/>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822"/>
    <w:rsid w:val="00271232"/>
    <w:rsid w:val="00271589"/>
    <w:rsid w:val="002722ED"/>
    <w:rsid w:val="00272989"/>
    <w:rsid w:val="00272A30"/>
    <w:rsid w:val="00272F7A"/>
    <w:rsid w:val="00273177"/>
    <w:rsid w:val="00273419"/>
    <w:rsid w:val="002742D9"/>
    <w:rsid w:val="00274A22"/>
    <w:rsid w:val="00275074"/>
    <w:rsid w:val="002763E9"/>
    <w:rsid w:val="00276736"/>
    <w:rsid w:val="00277949"/>
    <w:rsid w:val="00277F19"/>
    <w:rsid w:val="00280677"/>
    <w:rsid w:val="002827B8"/>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1017"/>
    <w:rsid w:val="0029136E"/>
    <w:rsid w:val="00291B67"/>
    <w:rsid w:val="00291B73"/>
    <w:rsid w:val="00292399"/>
    <w:rsid w:val="0029279D"/>
    <w:rsid w:val="00293202"/>
    <w:rsid w:val="00293231"/>
    <w:rsid w:val="00293327"/>
    <w:rsid w:val="002935DC"/>
    <w:rsid w:val="00293754"/>
    <w:rsid w:val="002939A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45F"/>
    <w:rsid w:val="002A2F5E"/>
    <w:rsid w:val="002A319A"/>
    <w:rsid w:val="002A352A"/>
    <w:rsid w:val="002A3597"/>
    <w:rsid w:val="002A3CCC"/>
    <w:rsid w:val="002A3E0D"/>
    <w:rsid w:val="002A4516"/>
    <w:rsid w:val="002A498A"/>
    <w:rsid w:val="002A4A34"/>
    <w:rsid w:val="002A52D9"/>
    <w:rsid w:val="002A55A0"/>
    <w:rsid w:val="002A5838"/>
    <w:rsid w:val="002A607D"/>
    <w:rsid w:val="002A67DF"/>
    <w:rsid w:val="002A708F"/>
    <w:rsid w:val="002A742A"/>
    <w:rsid w:val="002A7D9C"/>
    <w:rsid w:val="002B01F2"/>
    <w:rsid w:val="002B0235"/>
    <w:rsid w:val="002B0486"/>
    <w:rsid w:val="002B132E"/>
    <w:rsid w:val="002B21BA"/>
    <w:rsid w:val="002B2330"/>
    <w:rsid w:val="002B2516"/>
    <w:rsid w:val="002B2813"/>
    <w:rsid w:val="002B2954"/>
    <w:rsid w:val="002B2D29"/>
    <w:rsid w:val="002B2E5A"/>
    <w:rsid w:val="002B4099"/>
    <w:rsid w:val="002B59ED"/>
    <w:rsid w:val="002B5DA0"/>
    <w:rsid w:val="002B6A7C"/>
    <w:rsid w:val="002B6B92"/>
    <w:rsid w:val="002B6C5A"/>
    <w:rsid w:val="002B7300"/>
    <w:rsid w:val="002B77C2"/>
    <w:rsid w:val="002B7B5B"/>
    <w:rsid w:val="002C01B7"/>
    <w:rsid w:val="002C01EE"/>
    <w:rsid w:val="002C0C4B"/>
    <w:rsid w:val="002C109A"/>
    <w:rsid w:val="002C11D6"/>
    <w:rsid w:val="002C1EEA"/>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500"/>
    <w:rsid w:val="002D17C5"/>
    <w:rsid w:val="002D22B6"/>
    <w:rsid w:val="002D28E8"/>
    <w:rsid w:val="002D2BC3"/>
    <w:rsid w:val="002D2FF0"/>
    <w:rsid w:val="002D31A4"/>
    <w:rsid w:val="002D365F"/>
    <w:rsid w:val="002D3949"/>
    <w:rsid w:val="002D3BD0"/>
    <w:rsid w:val="002D406E"/>
    <w:rsid w:val="002D545B"/>
    <w:rsid w:val="002D67DF"/>
    <w:rsid w:val="002D7C86"/>
    <w:rsid w:val="002E00B6"/>
    <w:rsid w:val="002E0692"/>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B24"/>
    <w:rsid w:val="002E7E0E"/>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046"/>
    <w:rsid w:val="002F5227"/>
    <w:rsid w:val="002F56E4"/>
    <w:rsid w:val="002F5985"/>
    <w:rsid w:val="002F60FC"/>
    <w:rsid w:val="002F6952"/>
    <w:rsid w:val="002F695B"/>
    <w:rsid w:val="002F72DA"/>
    <w:rsid w:val="002F76B1"/>
    <w:rsid w:val="002F7847"/>
    <w:rsid w:val="002F7CC8"/>
    <w:rsid w:val="002F7D66"/>
    <w:rsid w:val="002F7DBE"/>
    <w:rsid w:val="003003E0"/>
    <w:rsid w:val="0030090B"/>
    <w:rsid w:val="003009DF"/>
    <w:rsid w:val="00300B29"/>
    <w:rsid w:val="00301025"/>
    <w:rsid w:val="00302296"/>
    <w:rsid w:val="00302737"/>
    <w:rsid w:val="00302AE8"/>
    <w:rsid w:val="00302BB1"/>
    <w:rsid w:val="00303051"/>
    <w:rsid w:val="0030323D"/>
    <w:rsid w:val="00304210"/>
    <w:rsid w:val="00304300"/>
    <w:rsid w:val="003048D7"/>
    <w:rsid w:val="00304A1B"/>
    <w:rsid w:val="00304AD2"/>
    <w:rsid w:val="003054FA"/>
    <w:rsid w:val="003062E6"/>
    <w:rsid w:val="003068B6"/>
    <w:rsid w:val="003068C0"/>
    <w:rsid w:val="00306E9E"/>
    <w:rsid w:val="00306F87"/>
    <w:rsid w:val="00306FA4"/>
    <w:rsid w:val="003071F6"/>
    <w:rsid w:val="00307591"/>
    <w:rsid w:val="00307A18"/>
    <w:rsid w:val="00307B60"/>
    <w:rsid w:val="00307BC3"/>
    <w:rsid w:val="00307FE0"/>
    <w:rsid w:val="003104F5"/>
    <w:rsid w:val="0031060D"/>
    <w:rsid w:val="0031094B"/>
    <w:rsid w:val="00310B9C"/>
    <w:rsid w:val="00310D2C"/>
    <w:rsid w:val="00311A23"/>
    <w:rsid w:val="00311C08"/>
    <w:rsid w:val="00311DF5"/>
    <w:rsid w:val="00312567"/>
    <w:rsid w:val="00312B20"/>
    <w:rsid w:val="00312ECE"/>
    <w:rsid w:val="0031393C"/>
    <w:rsid w:val="00313982"/>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D80"/>
    <w:rsid w:val="00322F32"/>
    <w:rsid w:val="003231A4"/>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7"/>
    <w:rsid w:val="003309AC"/>
    <w:rsid w:val="00330D47"/>
    <w:rsid w:val="00330FBE"/>
    <w:rsid w:val="00331243"/>
    <w:rsid w:val="00331C77"/>
    <w:rsid w:val="00331DB6"/>
    <w:rsid w:val="00331F96"/>
    <w:rsid w:val="00332186"/>
    <w:rsid w:val="00332895"/>
    <w:rsid w:val="00332B55"/>
    <w:rsid w:val="00332BD2"/>
    <w:rsid w:val="00333C14"/>
    <w:rsid w:val="003355C4"/>
    <w:rsid w:val="00335EA8"/>
    <w:rsid w:val="003363DD"/>
    <w:rsid w:val="00337572"/>
    <w:rsid w:val="0033780D"/>
    <w:rsid w:val="00340217"/>
    <w:rsid w:val="00340361"/>
    <w:rsid w:val="00340795"/>
    <w:rsid w:val="0034089D"/>
    <w:rsid w:val="00340C2C"/>
    <w:rsid w:val="00340F3F"/>
    <w:rsid w:val="0034111C"/>
    <w:rsid w:val="00341854"/>
    <w:rsid w:val="00341DBF"/>
    <w:rsid w:val="00341E60"/>
    <w:rsid w:val="0034217F"/>
    <w:rsid w:val="00342AD2"/>
    <w:rsid w:val="0034359E"/>
    <w:rsid w:val="00343954"/>
    <w:rsid w:val="00343F64"/>
    <w:rsid w:val="003440BC"/>
    <w:rsid w:val="00344DE9"/>
    <w:rsid w:val="00345405"/>
    <w:rsid w:val="00345DDD"/>
    <w:rsid w:val="003461E7"/>
    <w:rsid w:val="00346FED"/>
    <w:rsid w:val="0035007F"/>
    <w:rsid w:val="00350F8C"/>
    <w:rsid w:val="00351077"/>
    <w:rsid w:val="0035139A"/>
    <w:rsid w:val="00351D37"/>
    <w:rsid w:val="00351E01"/>
    <w:rsid w:val="00351E28"/>
    <w:rsid w:val="00352486"/>
    <w:rsid w:val="0035274C"/>
    <w:rsid w:val="00352B91"/>
    <w:rsid w:val="00352D21"/>
    <w:rsid w:val="0035325C"/>
    <w:rsid w:val="0035399F"/>
    <w:rsid w:val="00353C6E"/>
    <w:rsid w:val="003541DC"/>
    <w:rsid w:val="0035443D"/>
    <w:rsid w:val="00354FEE"/>
    <w:rsid w:val="00355ECB"/>
    <w:rsid w:val="00355FB1"/>
    <w:rsid w:val="003561A1"/>
    <w:rsid w:val="00356275"/>
    <w:rsid w:val="00356960"/>
    <w:rsid w:val="003569B7"/>
    <w:rsid w:val="00356B54"/>
    <w:rsid w:val="00356C0B"/>
    <w:rsid w:val="003575AB"/>
    <w:rsid w:val="00357B9C"/>
    <w:rsid w:val="00357C72"/>
    <w:rsid w:val="00360BF8"/>
    <w:rsid w:val="00361412"/>
    <w:rsid w:val="003615CA"/>
    <w:rsid w:val="00363346"/>
    <w:rsid w:val="0036391C"/>
    <w:rsid w:val="00364290"/>
    <w:rsid w:val="003642A6"/>
    <w:rsid w:val="00364853"/>
    <w:rsid w:val="00365F99"/>
    <w:rsid w:val="0036607F"/>
    <w:rsid w:val="003660CA"/>
    <w:rsid w:val="00366B65"/>
    <w:rsid w:val="00366C55"/>
    <w:rsid w:val="00366DBD"/>
    <w:rsid w:val="00367295"/>
    <w:rsid w:val="00367337"/>
    <w:rsid w:val="00367367"/>
    <w:rsid w:val="00367E61"/>
    <w:rsid w:val="00367F78"/>
    <w:rsid w:val="00367FD8"/>
    <w:rsid w:val="003701DC"/>
    <w:rsid w:val="003708FC"/>
    <w:rsid w:val="00370B35"/>
    <w:rsid w:val="00370B63"/>
    <w:rsid w:val="00370CDF"/>
    <w:rsid w:val="00370FCC"/>
    <w:rsid w:val="003711AF"/>
    <w:rsid w:val="003711EB"/>
    <w:rsid w:val="00371364"/>
    <w:rsid w:val="00371DAA"/>
    <w:rsid w:val="003733E5"/>
    <w:rsid w:val="00374848"/>
    <w:rsid w:val="003757B7"/>
    <w:rsid w:val="00375D09"/>
    <w:rsid w:val="003760FA"/>
    <w:rsid w:val="003766B5"/>
    <w:rsid w:val="0037739D"/>
    <w:rsid w:val="0037751C"/>
    <w:rsid w:val="0038013E"/>
    <w:rsid w:val="00380F3F"/>
    <w:rsid w:val="0038173F"/>
    <w:rsid w:val="00382232"/>
    <w:rsid w:val="00382F1A"/>
    <w:rsid w:val="00383282"/>
    <w:rsid w:val="00383658"/>
    <w:rsid w:val="0038390B"/>
    <w:rsid w:val="00383EE4"/>
    <w:rsid w:val="0038412E"/>
    <w:rsid w:val="00384449"/>
    <w:rsid w:val="0038515B"/>
    <w:rsid w:val="0038527B"/>
    <w:rsid w:val="00385300"/>
    <w:rsid w:val="00386053"/>
    <w:rsid w:val="00386385"/>
    <w:rsid w:val="00386733"/>
    <w:rsid w:val="0038771D"/>
    <w:rsid w:val="00387CC8"/>
    <w:rsid w:val="00387DA0"/>
    <w:rsid w:val="003900FF"/>
    <w:rsid w:val="0039125A"/>
    <w:rsid w:val="003913CD"/>
    <w:rsid w:val="00392583"/>
    <w:rsid w:val="00392586"/>
    <w:rsid w:val="0039287E"/>
    <w:rsid w:val="0039317C"/>
    <w:rsid w:val="00393320"/>
    <w:rsid w:val="00393507"/>
    <w:rsid w:val="003938C1"/>
    <w:rsid w:val="00393E44"/>
    <w:rsid w:val="00394191"/>
    <w:rsid w:val="003941F3"/>
    <w:rsid w:val="00394270"/>
    <w:rsid w:val="003943FF"/>
    <w:rsid w:val="003954C3"/>
    <w:rsid w:val="00395537"/>
    <w:rsid w:val="003959F7"/>
    <w:rsid w:val="00395BCF"/>
    <w:rsid w:val="00396812"/>
    <w:rsid w:val="00396D0A"/>
    <w:rsid w:val="003976D2"/>
    <w:rsid w:val="00397AB6"/>
    <w:rsid w:val="00397ACA"/>
    <w:rsid w:val="00397D36"/>
    <w:rsid w:val="003A04BB"/>
    <w:rsid w:val="003A0608"/>
    <w:rsid w:val="003A10C3"/>
    <w:rsid w:val="003A1458"/>
    <w:rsid w:val="003A1CE3"/>
    <w:rsid w:val="003A277F"/>
    <w:rsid w:val="003A4147"/>
    <w:rsid w:val="003A4FB0"/>
    <w:rsid w:val="003A597F"/>
    <w:rsid w:val="003A6202"/>
    <w:rsid w:val="003A71A8"/>
    <w:rsid w:val="003A7926"/>
    <w:rsid w:val="003A7D6B"/>
    <w:rsid w:val="003B00CA"/>
    <w:rsid w:val="003B030B"/>
    <w:rsid w:val="003B0432"/>
    <w:rsid w:val="003B0821"/>
    <w:rsid w:val="003B0BE9"/>
    <w:rsid w:val="003B0DAF"/>
    <w:rsid w:val="003B14C2"/>
    <w:rsid w:val="003B19F8"/>
    <w:rsid w:val="003B2415"/>
    <w:rsid w:val="003B28D6"/>
    <w:rsid w:val="003B2E9B"/>
    <w:rsid w:val="003B2F8D"/>
    <w:rsid w:val="003B409A"/>
    <w:rsid w:val="003B4170"/>
    <w:rsid w:val="003B43F1"/>
    <w:rsid w:val="003B4FAA"/>
    <w:rsid w:val="003B547A"/>
    <w:rsid w:val="003B5D72"/>
    <w:rsid w:val="003B6840"/>
    <w:rsid w:val="003B68C8"/>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D005B"/>
    <w:rsid w:val="003D0788"/>
    <w:rsid w:val="003D132A"/>
    <w:rsid w:val="003D1517"/>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5B0B"/>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4BD1"/>
    <w:rsid w:val="003F550D"/>
    <w:rsid w:val="003F5547"/>
    <w:rsid w:val="003F5C40"/>
    <w:rsid w:val="003F68DA"/>
    <w:rsid w:val="003F6E12"/>
    <w:rsid w:val="003F7027"/>
    <w:rsid w:val="003F7440"/>
    <w:rsid w:val="003F75B6"/>
    <w:rsid w:val="003F75ED"/>
    <w:rsid w:val="004002B7"/>
    <w:rsid w:val="004008B6"/>
    <w:rsid w:val="004009C2"/>
    <w:rsid w:val="00400D6D"/>
    <w:rsid w:val="00400F31"/>
    <w:rsid w:val="004012AE"/>
    <w:rsid w:val="00402295"/>
    <w:rsid w:val="00403EC2"/>
    <w:rsid w:val="00404367"/>
    <w:rsid w:val="0040457C"/>
    <w:rsid w:val="004050A4"/>
    <w:rsid w:val="0040513F"/>
    <w:rsid w:val="00405869"/>
    <w:rsid w:val="0040655D"/>
    <w:rsid w:val="00406B4D"/>
    <w:rsid w:val="00406CD1"/>
    <w:rsid w:val="004071F3"/>
    <w:rsid w:val="0040784B"/>
    <w:rsid w:val="00407A01"/>
    <w:rsid w:val="00407E94"/>
    <w:rsid w:val="004102EC"/>
    <w:rsid w:val="004118EA"/>
    <w:rsid w:val="00412EEE"/>
    <w:rsid w:val="00414110"/>
    <w:rsid w:val="0041443C"/>
    <w:rsid w:val="00414D37"/>
    <w:rsid w:val="00414F8D"/>
    <w:rsid w:val="004154F7"/>
    <w:rsid w:val="00416B3B"/>
    <w:rsid w:val="00416D44"/>
    <w:rsid w:val="0041713A"/>
    <w:rsid w:val="00417299"/>
    <w:rsid w:val="004174DC"/>
    <w:rsid w:val="004176FF"/>
    <w:rsid w:val="00420773"/>
    <w:rsid w:val="0042092E"/>
    <w:rsid w:val="00421190"/>
    <w:rsid w:val="00421A27"/>
    <w:rsid w:val="00421B66"/>
    <w:rsid w:val="00421D0A"/>
    <w:rsid w:val="004221AD"/>
    <w:rsid w:val="004229D8"/>
    <w:rsid w:val="00422FCD"/>
    <w:rsid w:val="0042338F"/>
    <w:rsid w:val="00423D86"/>
    <w:rsid w:val="004241C5"/>
    <w:rsid w:val="0042431D"/>
    <w:rsid w:val="00424368"/>
    <w:rsid w:val="00424FA7"/>
    <w:rsid w:val="00425305"/>
    <w:rsid w:val="0042567D"/>
    <w:rsid w:val="00425A14"/>
    <w:rsid w:val="00425DF6"/>
    <w:rsid w:val="0042648C"/>
    <w:rsid w:val="004268EB"/>
    <w:rsid w:val="00426A87"/>
    <w:rsid w:val="00426D9C"/>
    <w:rsid w:val="004309D8"/>
    <w:rsid w:val="00430C59"/>
    <w:rsid w:val="004313D1"/>
    <w:rsid w:val="00431528"/>
    <w:rsid w:val="00431FD5"/>
    <w:rsid w:val="00432110"/>
    <w:rsid w:val="0043244B"/>
    <w:rsid w:val="0043256A"/>
    <w:rsid w:val="004327C4"/>
    <w:rsid w:val="004332CD"/>
    <w:rsid w:val="004332E6"/>
    <w:rsid w:val="00433EBE"/>
    <w:rsid w:val="00434308"/>
    <w:rsid w:val="00434330"/>
    <w:rsid w:val="00434406"/>
    <w:rsid w:val="0043619C"/>
    <w:rsid w:val="00436A28"/>
    <w:rsid w:val="00436A61"/>
    <w:rsid w:val="00436C3C"/>
    <w:rsid w:val="0043751F"/>
    <w:rsid w:val="004377C8"/>
    <w:rsid w:val="00437888"/>
    <w:rsid w:val="00440A80"/>
    <w:rsid w:val="00440FED"/>
    <w:rsid w:val="00441194"/>
    <w:rsid w:val="0044164C"/>
    <w:rsid w:val="00441B0A"/>
    <w:rsid w:val="00441B92"/>
    <w:rsid w:val="00441F83"/>
    <w:rsid w:val="00442607"/>
    <w:rsid w:val="004426ED"/>
    <w:rsid w:val="00442ADA"/>
    <w:rsid w:val="00442F42"/>
    <w:rsid w:val="00443E1F"/>
    <w:rsid w:val="00444274"/>
    <w:rsid w:val="0044474B"/>
    <w:rsid w:val="004450C0"/>
    <w:rsid w:val="00445572"/>
    <w:rsid w:val="00445B22"/>
    <w:rsid w:val="00445B5C"/>
    <w:rsid w:val="00445B82"/>
    <w:rsid w:val="00445FF7"/>
    <w:rsid w:val="00446146"/>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7FD"/>
    <w:rsid w:val="00454A7B"/>
    <w:rsid w:val="00454D67"/>
    <w:rsid w:val="00454DCA"/>
    <w:rsid w:val="004554D5"/>
    <w:rsid w:val="004556AA"/>
    <w:rsid w:val="00455B17"/>
    <w:rsid w:val="00455CD7"/>
    <w:rsid w:val="00455E34"/>
    <w:rsid w:val="00455FE9"/>
    <w:rsid w:val="00456045"/>
    <w:rsid w:val="004561C0"/>
    <w:rsid w:val="00456544"/>
    <w:rsid w:val="00456649"/>
    <w:rsid w:val="004567B7"/>
    <w:rsid w:val="00456856"/>
    <w:rsid w:val="00456D54"/>
    <w:rsid w:val="00457008"/>
    <w:rsid w:val="00457810"/>
    <w:rsid w:val="00457CED"/>
    <w:rsid w:val="00460170"/>
    <w:rsid w:val="00460839"/>
    <w:rsid w:val="00460B3F"/>
    <w:rsid w:val="00461210"/>
    <w:rsid w:val="00461290"/>
    <w:rsid w:val="00462207"/>
    <w:rsid w:val="00462490"/>
    <w:rsid w:val="00462789"/>
    <w:rsid w:val="00462A0A"/>
    <w:rsid w:val="00462B2D"/>
    <w:rsid w:val="00463358"/>
    <w:rsid w:val="00463F47"/>
    <w:rsid w:val="0046403A"/>
    <w:rsid w:val="00465187"/>
    <w:rsid w:val="00465299"/>
    <w:rsid w:val="004652E7"/>
    <w:rsid w:val="004654A2"/>
    <w:rsid w:val="00466884"/>
    <w:rsid w:val="00466A0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521C"/>
    <w:rsid w:val="00475A4A"/>
    <w:rsid w:val="00476000"/>
    <w:rsid w:val="004760F4"/>
    <w:rsid w:val="00476719"/>
    <w:rsid w:val="0047674D"/>
    <w:rsid w:val="00476A91"/>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1E"/>
    <w:rsid w:val="00484FCD"/>
    <w:rsid w:val="00485843"/>
    <w:rsid w:val="00485B23"/>
    <w:rsid w:val="00486156"/>
    <w:rsid w:val="0048630D"/>
    <w:rsid w:val="0048670D"/>
    <w:rsid w:val="0048700D"/>
    <w:rsid w:val="00487021"/>
    <w:rsid w:val="0048742A"/>
    <w:rsid w:val="004874E4"/>
    <w:rsid w:val="004901E9"/>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633"/>
    <w:rsid w:val="00495E8E"/>
    <w:rsid w:val="004965B9"/>
    <w:rsid w:val="00496DC2"/>
    <w:rsid w:val="00496E75"/>
    <w:rsid w:val="00496FA6"/>
    <w:rsid w:val="004A014C"/>
    <w:rsid w:val="004A0AA8"/>
    <w:rsid w:val="004A0AC9"/>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71C3"/>
    <w:rsid w:val="004A74D2"/>
    <w:rsid w:val="004A7769"/>
    <w:rsid w:val="004A791B"/>
    <w:rsid w:val="004A7A91"/>
    <w:rsid w:val="004B0C43"/>
    <w:rsid w:val="004B12A4"/>
    <w:rsid w:val="004B23AD"/>
    <w:rsid w:val="004B24E5"/>
    <w:rsid w:val="004B2965"/>
    <w:rsid w:val="004B2CC8"/>
    <w:rsid w:val="004B35DB"/>
    <w:rsid w:val="004B3A1D"/>
    <w:rsid w:val="004B4224"/>
    <w:rsid w:val="004B4647"/>
    <w:rsid w:val="004B53AD"/>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2477"/>
    <w:rsid w:val="004D2597"/>
    <w:rsid w:val="004D26B8"/>
    <w:rsid w:val="004D38C2"/>
    <w:rsid w:val="004D4FBD"/>
    <w:rsid w:val="004D4FC0"/>
    <w:rsid w:val="004D5791"/>
    <w:rsid w:val="004D6037"/>
    <w:rsid w:val="004D60D8"/>
    <w:rsid w:val="004D7DA8"/>
    <w:rsid w:val="004E09C1"/>
    <w:rsid w:val="004E0EF8"/>
    <w:rsid w:val="004E143A"/>
    <w:rsid w:val="004E2892"/>
    <w:rsid w:val="004E2CFA"/>
    <w:rsid w:val="004E362B"/>
    <w:rsid w:val="004E3681"/>
    <w:rsid w:val="004E3D74"/>
    <w:rsid w:val="004E49C4"/>
    <w:rsid w:val="004E4F2A"/>
    <w:rsid w:val="004E5099"/>
    <w:rsid w:val="004E58BF"/>
    <w:rsid w:val="004E5AD0"/>
    <w:rsid w:val="004E5D0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6FD"/>
    <w:rsid w:val="004F3B71"/>
    <w:rsid w:val="004F40B1"/>
    <w:rsid w:val="004F486D"/>
    <w:rsid w:val="004F5154"/>
    <w:rsid w:val="004F53C5"/>
    <w:rsid w:val="004F5835"/>
    <w:rsid w:val="004F5C9E"/>
    <w:rsid w:val="004F62BE"/>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3C31"/>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91D"/>
    <w:rsid w:val="00520D6D"/>
    <w:rsid w:val="005217BE"/>
    <w:rsid w:val="005217C1"/>
    <w:rsid w:val="00521892"/>
    <w:rsid w:val="00522B66"/>
    <w:rsid w:val="00522F9D"/>
    <w:rsid w:val="00523E75"/>
    <w:rsid w:val="005243E0"/>
    <w:rsid w:val="00524454"/>
    <w:rsid w:val="00524C4C"/>
    <w:rsid w:val="00525428"/>
    <w:rsid w:val="00525487"/>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20E2"/>
    <w:rsid w:val="005321D9"/>
    <w:rsid w:val="00532567"/>
    <w:rsid w:val="0053260A"/>
    <w:rsid w:val="0053281C"/>
    <w:rsid w:val="00532D02"/>
    <w:rsid w:val="005340C9"/>
    <w:rsid w:val="005343F7"/>
    <w:rsid w:val="00534B98"/>
    <w:rsid w:val="00534EE8"/>
    <w:rsid w:val="005359AE"/>
    <w:rsid w:val="00535F84"/>
    <w:rsid w:val="0053662A"/>
    <w:rsid w:val="00536B8B"/>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C53"/>
    <w:rsid w:val="00544EFD"/>
    <w:rsid w:val="00545001"/>
    <w:rsid w:val="005453F3"/>
    <w:rsid w:val="00545549"/>
    <w:rsid w:val="00546312"/>
    <w:rsid w:val="0054640C"/>
    <w:rsid w:val="005467DC"/>
    <w:rsid w:val="0054686C"/>
    <w:rsid w:val="005469F5"/>
    <w:rsid w:val="00551634"/>
    <w:rsid w:val="005518ED"/>
    <w:rsid w:val="00552093"/>
    <w:rsid w:val="00552BA6"/>
    <w:rsid w:val="00553650"/>
    <w:rsid w:val="005548E2"/>
    <w:rsid w:val="00554C22"/>
    <w:rsid w:val="00554E4B"/>
    <w:rsid w:val="00555F67"/>
    <w:rsid w:val="0055643E"/>
    <w:rsid w:val="00556559"/>
    <w:rsid w:val="00556605"/>
    <w:rsid w:val="0055691A"/>
    <w:rsid w:val="00556AEC"/>
    <w:rsid w:val="00556CC5"/>
    <w:rsid w:val="005601AC"/>
    <w:rsid w:val="005606A4"/>
    <w:rsid w:val="005607B8"/>
    <w:rsid w:val="00560CF5"/>
    <w:rsid w:val="00561736"/>
    <w:rsid w:val="00562330"/>
    <w:rsid w:val="0056268C"/>
    <w:rsid w:val="0056272D"/>
    <w:rsid w:val="0056290A"/>
    <w:rsid w:val="00562AEB"/>
    <w:rsid w:val="00562BAB"/>
    <w:rsid w:val="0056308E"/>
    <w:rsid w:val="0056316F"/>
    <w:rsid w:val="005638C1"/>
    <w:rsid w:val="00563B57"/>
    <w:rsid w:val="0056415C"/>
    <w:rsid w:val="00564559"/>
    <w:rsid w:val="005649BF"/>
    <w:rsid w:val="005650ED"/>
    <w:rsid w:val="00565869"/>
    <w:rsid w:val="00565A8B"/>
    <w:rsid w:val="00566564"/>
    <w:rsid w:val="0056662A"/>
    <w:rsid w:val="005669CA"/>
    <w:rsid w:val="00567410"/>
    <w:rsid w:val="00567415"/>
    <w:rsid w:val="00567610"/>
    <w:rsid w:val="005678B5"/>
    <w:rsid w:val="00567A2E"/>
    <w:rsid w:val="00570D9F"/>
    <w:rsid w:val="005714E7"/>
    <w:rsid w:val="00571CA8"/>
    <w:rsid w:val="00571DDF"/>
    <w:rsid w:val="005734C0"/>
    <w:rsid w:val="00574779"/>
    <w:rsid w:val="00574BA6"/>
    <w:rsid w:val="00575D24"/>
    <w:rsid w:val="005774C1"/>
    <w:rsid w:val="005800B3"/>
    <w:rsid w:val="00580793"/>
    <w:rsid w:val="00580942"/>
    <w:rsid w:val="00581470"/>
    <w:rsid w:val="00581893"/>
    <w:rsid w:val="00581BF2"/>
    <w:rsid w:val="00582087"/>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573D"/>
    <w:rsid w:val="00596BBA"/>
    <w:rsid w:val="00596F43"/>
    <w:rsid w:val="005972F8"/>
    <w:rsid w:val="005975C4"/>
    <w:rsid w:val="005975CD"/>
    <w:rsid w:val="00597E7B"/>
    <w:rsid w:val="00597ED8"/>
    <w:rsid w:val="005A0FE2"/>
    <w:rsid w:val="005A0FE5"/>
    <w:rsid w:val="005A14A8"/>
    <w:rsid w:val="005A161B"/>
    <w:rsid w:val="005A1E1A"/>
    <w:rsid w:val="005A2225"/>
    <w:rsid w:val="005A2D6D"/>
    <w:rsid w:val="005A34D5"/>
    <w:rsid w:val="005A3A8C"/>
    <w:rsid w:val="005A44E2"/>
    <w:rsid w:val="005A4569"/>
    <w:rsid w:val="005A4904"/>
    <w:rsid w:val="005A4959"/>
    <w:rsid w:val="005A4B81"/>
    <w:rsid w:val="005A515A"/>
    <w:rsid w:val="005A5361"/>
    <w:rsid w:val="005A5C65"/>
    <w:rsid w:val="005A6120"/>
    <w:rsid w:val="005A6BC4"/>
    <w:rsid w:val="005A704D"/>
    <w:rsid w:val="005A7F43"/>
    <w:rsid w:val="005B0553"/>
    <w:rsid w:val="005B13EC"/>
    <w:rsid w:val="005B16AB"/>
    <w:rsid w:val="005B1FF6"/>
    <w:rsid w:val="005B2067"/>
    <w:rsid w:val="005B24AD"/>
    <w:rsid w:val="005B303B"/>
    <w:rsid w:val="005B32F1"/>
    <w:rsid w:val="005B3C6D"/>
    <w:rsid w:val="005B3D13"/>
    <w:rsid w:val="005B3E42"/>
    <w:rsid w:val="005B4045"/>
    <w:rsid w:val="005B49A7"/>
    <w:rsid w:val="005B525A"/>
    <w:rsid w:val="005B5543"/>
    <w:rsid w:val="005B5C3C"/>
    <w:rsid w:val="005B5CE2"/>
    <w:rsid w:val="005B5DED"/>
    <w:rsid w:val="005B609E"/>
    <w:rsid w:val="005B63C4"/>
    <w:rsid w:val="005B6CB0"/>
    <w:rsid w:val="005B6DF6"/>
    <w:rsid w:val="005B6E64"/>
    <w:rsid w:val="005B6EA6"/>
    <w:rsid w:val="005B780E"/>
    <w:rsid w:val="005B78C2"/>
    <w:rsid w:val="005B797A"/>
    <w:rsid w:val="005B7B7D"/>
    <w:rsid w:val="005C04C7"/>
    <w:rsid w:val="005C15BF"/>
    <w:rsid w:val="005C1645"/>
    <w:rsid w:val="005C17D9"/>
    <w:rsid w:val="005C1948"/>
    <w:rsid w:val="005C19A5"/>
    <w:rsid w:val="005C263C"/>
    <w:rsid w:val="005C2679"/>
    <w:rsid w:val="005C2CC1"/>
    <w:rsid w:val="005C3B44"/>
    <w:rsid w:val="005C41D4"/>
    <w:rsid w:val="005C45B5"/>
    <w:rsid w:val="005C55F2"/>
    <w:rsid w:val="005C65FE"/>
    <w:rsid w:val="005C68B3"/>
    <w:rsid w:val="005C6FAD"/>
    <w:rsid w:val="005C7477"/>
    <w:rsid w:val="005C7736"/>
    <w:rsid w:val="005C7BC1"/>
    <w:rsid w:val="005D0079"/>
    <w:rsid w:val="005D02E6"/>
    <w:rsid w:val="005D059A"/>
    <w:rsid w:val="005D07AE"/>
    <w:rsid w:val="005D07C5"/>
    <w:rsid w:val="005D0870"/>
    <w:rsid w:val="005D0B80"/>
    <w:rsid w:val="005D1478"/>
    <w:rsid w:val="005D1699"/>
    <w:rsid w:val="005D1B6C"/>
    <w:rsid w:val="005D1FF8"/>
    <w:rsid w:val="005D40CE"/>
    <w:rsid w:val="005D41D9"/>
    <w:rsid w:val="005D4213"/>
    <w:rsid w:val="005D4302"/>
    <w:rsid w:val="005D563E"/>
    <w:rsid w:val="005D5827"/>
    <w:rsid w:val="005D5A20"/>
    <w:rsid w:val="005D612D"/>
    <w:rsid w:val="005D6582"/>
    <w:rsid w:val="005D677C"/>
    <w:rsid w:val="005D6841"/>
    <w:rsid w:val="005D6F1E"/>
    <w:rsid w:val="005D6F3E"/>
    <w:rsid w:val="005D74C5"/>
    <w:rsid w:val="005D786C"/>
    <w:rsid w:val="005D7991"/>
    <w:rsid w:val="005D7AAF"/>
    <w:rsid w:val="005E00E5"/>
    <w:rsid w:val="005E03F2"/>
    <w:rsid w:val="005E049F"/>
    <w:rsid w:val="005E0A50"/>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5B"/>
    <w:rsid w:val="005F084A"/>
    <w:rsid w:val="005F0ECC"/>
    <w:rsid w:val="005F145B"/>
    <w:rsid w:val="005F1DA8"/>
    <w:rsid w:val="005F21A5"/>
    <w:rsid w:val="005F2470"/>
    <w:rsid w:val="005F28C6"/>
    <w:rsid w:val="005F32DB"/>
    <w:rsid w:val="005F3835"/>
    <w:rsid w:val="005F3E3A"/>
    <w:rsid w:val="005F3F16"/>
    <w:rsid w:val="005F4191"/>
    <w:rsid w:val="005F4486"/>
    <w:rsid w:val="005F52CC"/>
    <w:rsid w:val="005F57EF"/>
    <w:rsid w:val="005F5D9B"/>
    <w:rsid w:val="005F5E6F"/>
    <w:rsid w:val="005F61AC"/>
    <w:rsid w:val="005F6BD4"/>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51D0"/>
    <w:rsid w:val="00605576"/>
    <w:rsid w:val="0060589E"/>
    <w:rsid w:val="00605B30"/>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567B"/>
    <w:rsid w:val="00615FFD"/>
    <w:rsid w:val="006164F4"/>
    <w:rsid w:val="00616921"/>
    <w:rsid w:val="00616ABD"/>
    <w:rsid w:val="00616BEB"/>
    <w:rsid w:val="0062152A"/>
    <w:rsid w:val="00621658"/>
    <w:rsid w:val="00621723"/>
    <w:rsid w:val="00621893"/>
    <w:rsid w:val="00623583"/>
    <w:rsid w:val="006238E8"/>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FD1"/>
    <w:rsid w:val="00633BF2"/>
    <w:rsid w:val="00633F67"/>
    <w:rsid w:val="00634016"/>
    <w:rsid w:val="0063411E"/>
    <w:rsid w:val="00634476"/>
    <w:rsid w:val="006345C3"/>
    <w:rsid w:val="00635121"/>
    <w:rsid w:val="0063580B"/>
    <w:rsid w:val="006360DF"/>
    <w:rsid w:val="006362F9"/>
    <w:rsid w:val="006369A9"/>
    <w:rsid w:val="00636C60"/>
    <w:rsid w:val="00637293"/>
    <w:rsid w:val="006373CD"/>
    <w:rsid w:val="0063747D"/>
    <w:rsid w:val="00640693"/>
    <w:rsid w:val="0064120F"/>
    <w:rsid w:val="0064165D"/>
    <w:rsid w:val="00642BAE"/>
    <w:rsid w:val="006433BD"/>
    <w:rsid w:val="00643487"/>
    <w:rsid w:val="00643784"/>
    <w:rsid w:val="00644186"/>
    <w:rsid w:val="00644A21"/>
    <w:rsid w:val="006450F2"/>
    <w:rsid w:val="006459A7"/>
    <w:rsid w:val="00645C9F"/>
    <w:rsid w:val="00646305"/>
    <w:rsid w:val="006463D6"/>
    <w:rsid w:val="00646A20"/>
    <w:rsid w:val="00646A6C"/>
    <w:rsid w:val="00646D7E"/>
    <w:rsid w:val="00646F20"/>
    <w:rsid w:val="0064755F"/>
    <w:rsid w:val="006475E6"/>
    <w:rsid w:val="0065045C"/>
    <w:rsid w:val="00650632"/>
    <w:rsid w:val="006508B9"/>
    <w:rsid w:val="0065092B"/>
    <w:rsid w:val="00650CA1"/>
    <w:rsid w:val="00651459"/>
    <w:rsid w:val="00651854"/>
    <w:rsid w:val="006518D1"/>
    <w:rsid w:val="00653112"/>
    <w:rsid w:val="006535F7"/>
    <w:rsid w:val="006539E8"/>
    <w:rsid w:val="006540A4"/>
    <w:rsid w:val="00654C42"/>
    <w:rsid w:val="006552A9"/>
    <w:rsid w:val="00655ED1"/>
    <w:rsid w:val="006563F3"/>
    <w:rsid w:val="006565D8"/>
    <w:rsid w:val="00656B96"/>
    <w:rsid w:val="00656CF4"/>
    <w:rsid w:val="0065736B"/>
    <w:rsid w:val="00657715"/>
    <w:rsid w:val="00657AE5"/>
    <w:rsid w:val="006619B0"/>
    <w:rsid w:val="00661B9B"/>
    <w:rsid w:val="00662012"/>
    <w:rsid w:val="00662543"/>
    <w:rsid w:val="006626D0"/>
    <w:rsid w:val="006633C8"/>
    <w:rsid w:val="00663D31"/>
    <w:rsid w:val="00663ED1"/>
    <w:rsid w:val="00664E8C"/>
    <w:rsid w:val="00665138"/>
    <w:rsid w:val="00665219"/>
    <w:rsid w:val="0066528A"/>
    <w:rsid w:val="00665F7C"/>
    <w:rsid w:val="006663A1"/>
    <w:rsid w:val="0066699A"/>
    <w:rsid w:val="00666DFC"/>
    <w:rsid w:val="00666EBB"/>
    <w:rsid w:val="00666F7A"/>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CC7"/>
    <w:rsid w:val="00676274"/>
    <w:rsid w:val="00676574"/>
    <w:rsid w:val="0067661A"/>
    <w:rsid w:val="00676A64"/>
    <w:rsid w:val="00676C16"/>
    <w:rsid w:val="00676CEB"/>
    <w:rsid w:val="00677925"/>
    <w:rsid w:val="00677B8E"/>
    <w:rsid w:val="0067AF42"/>
    <w:rsid w:val="0068078B"/>
    <w:rsid w:val="00680F46"/>
    <w:rsid w:val="00681383"/>
    <w:rsid w:val="00681FDC"/>
    <w:rsid w:val="00682276"/>
    <w:rsid w:val="00682452"/>
    <w:rsid w:val="0068251F"/>
    <w:rsid w:val="006829E8"/>
    <w:rsid w:val="00682A0C"/>
    <w:rsid w:val="00682B53"/>
    <w:rsid w:val="00682F27"/>
    <w:rsid w:val="00683453"/>
    <w:rsid w:val="00683B52"/>
    <w:rsid w:val="0068409E"/>
    <w:rsid w:val="00684173"/>
    <w:rsid w:val="006847DB"/>
    <w:rsid w:val="00684AB3"/>
    <w:rsid w:val="00684D32"/>
    <w:rsid w:val="00687599"/>
    <w:rsid w:val="00687E22"/>
    <w:rsid w:val="0069011A"/>
    <w:rsid w:val="006902AB"/>
    <w:rsid w:val="006903E0"/>
    <w:rsid w:val="00690E2E"/>
    <w:rsid w:val="00690ECE"/>
    <w:rsid w:val="006913F5"/>
    <w:rsid w:val="00691547"/>
    <w:rsid w:val="006915D7"/>
    <w:rsid w:val="006918A5"/>
    <w:rsid w:val="00691F6D"/>
    <w:rsid w:val="00692814"/>
    <w:rsid w:val="00692D1E"/>
    <w:rsid w:val="0069320E"/>
    <w:rsid w:val="006932E7"/>
    <w:rsid w:val="00693347"/>
    <w:rsid w:val="0069334C"/>
    <w:rsid w:val="00694558"/>
    <w:rsid w:val="00694E8D"/>
    <w:rsid w:val="006956EA"/>
    <w:rsid w:val="00696B52"/>
    <w:rsid w:val="00696C4C"/>
    <w:rsid w:val="00696D63"/>
    <w:rsid w:val="0069729C"/>
    <w:rsid w:val="006A01A6"/>
    <w:rsid w:val="006A032F"/>
    <w:rsid w:val="006A05EA"/>
    <w:rsid w:val="006A0F56"/>
    <w:rsid w:val="006A13A3"/>
    <w:rsid w:val="006A1EA3"/>
    <w:rsid w:val="006A1FED"/>
    <w:rsid w:val="006A2CE5"/>
    <w:rsid w:val="006A343C"/>
    <w:rsid w:val="006A3B29"/>
    <w:rsid w:val="006A400A"/>
    <w:rsid w:val="006A41AE"/>
    <w:rsid w:val="006A4856"/>
    <w:rsid w:val="006A52BB"/>
    <w:rsid w:val="006A5432"/>
    <w:rsid w:val="006A564B"/>
    <w:rsid w:val="006A5CBF"/>
    <w:rsid w:val="006A708D"/>
    <w:rsid w:val="006A792E"/>
    <w:rsid w:val="006A7BCB"/>
    <w:rsid w:val="006A7D5E"/>
    <w:rsid w:val="006B019D"/>
    <w:rsid w:val="006B0386"/>
    <w:rsid w:val="006B08CF"/>
    <w:rsid w:val="006B0B90"/>
    <w:rsid w:val="006B1545"/>
    <w:rsid w:val="006B1626"/>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2C0"/>
    <w:rsid w:val="006C07A0"/>
    <w:rsid w:val="006C08C5"/>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ED2"/>
    <w:rsid w:val="006D4305"/>
    <w:rsid w:val="006D50E9"/>
    <w:rsid w:val="006D55EF"/>
    <w:rsid w:val="006D5616"/>
    <w:rsid w:val="006D5C62"/>
    <w:rsid w:val="006D632E"/>
    <w:rsid w:val="006D683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4F9D"/>
    <w:rsid w:val="006E5824"/>
    <w:rsid w:val="006E5853"/>
    <w:rsid w:val="006E5B78"/>
    <w:rsid w:val="006E5BB6"/>
    <w:rsid w:val="006E5C48"/>
    <w:rsid w:val="006E65B9"/>
    <w:rsid w:val="006E6B90"/>
    <w:rsid w:val="006E6BA3"/>
    <w:rsid w:val="006E7234"/>
    <w:rsid w:val="006E74CA"/>
    <w:rsid w:val="006F01EB"/>
    <w:rsid w:val="006F0B6C"/>
    <w:rsid w:val="006F0E3D"/>
    <w:rsid w:val="006F1116"/>
    <w:rsid w:val="006F1B5E"/>
    <w:rsid w:val="006F29C3"/>
    <w:rsid w:val="006F2C0E"/>
    <w:rsid w:val="006F3196"/>
    <w:rsid w:val="006F36C0"/>
    <w:rsid w:val="006F3C54"/>
    <w:rsid w:val="006F41A2"/>
    <w:rsid w:val="006F4CBB"/>
    <w:rsid w:val="006F4F30"/>
    <w:rsid w:val="006F5915"/>
    <w:rsid w:val="006F5CC9"/>
    <w:rsid w:val="006F5E64"/>
    <w:rsid w:val="006F60DE"/>
    <w:rsid w:val="006F66C1"/>
    <w:rsid w:val="006F6B91"/>
    <w:rsid w:val="006F6E60"/>
    <w:rsid w:val="006F6FE3"/>
    <w:rsid w:val="006F7914"/>
    <w:rsid w:val="006F7AD0"/>
    <w:rsid w:val="006F7D75"/>
    <w:rsid w:val="006F7E46"/>
    <w:rsid w:val="006F7E61"/>
    <w:rsid w:val="00700AB4"/>
    <w:rsid w:val="00700ECA"/>
    <w:rsid w:val="00700FCA"/>
    <w:rsid w:val="00701397"/>
    <w:rsid w:val="00701645"/>
    <w:rsid w:val="007019F8"/>
    <w:rsid w:val="00702C6B"/>
    <w:rsid w:val="00702D5A"/>
    <w:rsid w:val="00702EF7"/>
    <w:rsid w:val="00703989"/>
    <w:rsid w:val="00703E44"/>
    <w:rsid w:val="007042E9"/>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5EA2"/>
    <w:rsid w:val="007166DC"/>
    <w:rsid w:val="00716AFC"/>
    <w:rsid w:val="00716E25"/>
    <w:rsid w:val="0071705B"/>
    <w:rsid w:val="00717759"/>
    <w:rsid w:val="00717CD1"/>
    <w:rsid w:val="007202C2"/>
    <w:rsid w:val="00720505"/>
    <w:rsid w:val="00720533"/>
    <w:rsid w:val="00720717"/>
    <w:rsid w:val="00721673"/>
    <w:rsid w:val="007232DB"/>
    <w:rsid w:val="007236A3"/>
    <w:rsid w:val="007239B6"/>
    <w:rsid w:val="0072449C"/>
    <w:rsid w:val="0072490A"/>
    <w:rsid w:val="0072496A"/>
    <w:rsid w:val="0072517D"/>
    <w:rsid w:val="0072558B"/>
    <w:rsid w:val="00725AA9"/>
    <w:rsid w:val="007261C9"/>
    <w:rsid w:val="00726878"/>
    <w:rsid w:val="00727228"/>
    <w:rsid w:val="00727483"/>
    <w:rsid w:val="0072753E"/>
    <w:rsid w:val="0072775C"/>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0E9C"/>
    <w:rsid w:val="007418DE"/>
    <w:rsid w:val="00742258"/>
    <w:rsid w:val="00742B44"/>
    <w:rsid w:val="00742BAA"/>
    <w:rsid w:val="00742D1A"/>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E35"/>
    <w:rsid w:val="00755FE6"/>
    <w:rsid w:val="00756061"/>
    <w:rsid w:val="00756461"/>
    <w:rsid w:val="00756832"/>
    <w:rsid w:val="0075687C"/>
    <w:rsid w:val="007568ED"/>
    <w:rsid w:val="00760235"/>
    <w:rsid w:val="007608F2"/>
    <w:rsid w:val="00761607"/>
    <w:rsid w:val="00761678"/>
    <w:rsid w:val="007626D0"/>
    <w:rsid w:val="0076284A"/>
    <w:rsid w:val="007628CC"/>
    <w:rsid w:val="007635BE"/>
    <w:rsid w:val="00763A9B"/>
    <w:rsid w:val="00764719"/>
    <w:rsid w:val="007649EC"/>
    <w:rsid w:val="00765054"/>
    <w:rsid w:val="007651CA"/>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D20"/>
    <w:rsid w:val="00772E8C"/>
    <w:rsid w:val="007736D3"/>
    <w:rsid w:val="007738B2"/>
    <w:rsid w:val="00773909"/>
    <w:rsid w:val="00773B54"/>
    <w:rsid w:val="00774187"/>
    <w:rsid w:val="0077477E"/>
    <w:rsid w:val="007749F0"/>
    <w:rsid w:val="00774CE7"/>
    <w:rsid w:val="00774DFC"/>
    <w:rsid w:val="0077500F"/>
    <w:rsid w:val="0077548E"/>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A49"/>
    <w:rsid w:val="00787DC8"/>
    <w:rsid w:val="00787F11"/>
    <w:rsid w:val="00790035"/>
    <w:rsid w:val="0079018D"/>
    <w:rsid w:val="007909A5"/>
    <w:rsid w:val="00791A00"/>
    <w:rsid w:val="00791DBA"/>
    <w:rsid w:val="00791E10"/>
    <w:rsid w:val="00791E8E"/>
    <w:rsid w:val="00792CEE"/>
    <w:rsid w:val="00793277"/>
    <w:rsid w:val="00794205"/>
    <w:rsid w:val="007947BF"/>
    <w:rsid w:val="0079481A"/>
    <w:rsid w:val="00794D26"/>
    <w:rsid w:val="00794E92"/>
    <w:rsid w:val="00795402"/>
    <w:rsid w:val="007958DD"/>
    <w:rsid w:val="0079642D"/>
    <w:rsid w:val="0079656A"/>
    <w:rsid w:val="00796A56"/>
    <w:rsid w:val="00796B3B"/>
    <w:rsid w:val="00796D86"/>
    <w:rsid w:val="00796F15"/>
    <w:rsid w:val="00796F4E"/>
    <w:rsid w:val="00797DDE"/>
    <w:rsid w:val="007A03CE"/>
    <w:rsid w:val="007A138F"/>
    <w:rsid w:val="007A143F"/>
    <w:rsid w:val="007A1640"/>
    <w:rsid w:val="007A1FBE"/>
    <w:rsid w:val="007A3723"/>
    <w:rsid w:val="007A39DF"/>
    <w:rsid w:val="007A3A7F"/>
    <w:rsid w:val="007A43CC"/>
    <w:rsid w:val="007A43ED"/>
    <w:rsid w:val="007A4997"/>
    <w:rsid w:val="007A4A02"/>
    <w:rsid w:val="007A4B76"/>
    <w:rsid w:val="007A4BDD"/>
    <w:rsid w:val="007A5AA5"/>
    <w:rsid w:val="007A5AF5"/>
    <w:rsid w:val="007A5C39"/>
    <w:rsid w:val="007A6807"/>
    <w:rsid w:val="007A6881"/>
    <w:rsid w:val="007A6E60"/>
    <w:rsid w:val="007A72EE"/>
    <w:rsid w:val="007A7CC9"/>
    <w:rsid w:val="007B0397"/>
    <w:rsid w:val="007B0608"/>
    <w:rsid w:val="007B111F"/>
    <w:rsid w:val="007B171B"/>
    <w:rsid w:val="007B191E"/>
    <w:rsid w:val="007B1E1A"/>
    <w:rsid w:val="007B2BB2"/>
    <w:rsid w:val="007B3502"/>
    <w:rsid w:val="007B3995"/>
    <w:rsid w:val="007B44ED"/>
    <w:rsid w:val="007B491A"/>
    <w:rsid w:val="007B4C72"/>
    <w:rsid w:val="007B4FA8"/>
    <w:rsid w:val="007B5370"/>
    <w:rsid w:val="007B6063"/>
    <w:rsid w:val="007B6123"/>
    <w:rsid w:val="007B61F5"/>
    <w:rsid w:val="007B63FA"/>
    <w:rsid w:val="007B7496"/>
    <w:rsid w:val="007B74B8"/>
    <w:rsid w:val="007B76BC"/>
    <w:rsid w:val="007B7AF5"/>
    <w:rsid w:val="007B7D52"/>
    <w:rsid w:val="007C0802"/>
    <w:rsid w:val="007C08A7"/>
    <w:rsid w:val="007C12BE"/>
    <w:rsid w:val="007C15D7"/>
    <w:rsid w:val="007C2662"/>
    <w:rsid w:val="007C2739"/>
    <w:rsid w:val="007C3483"/>
    <w:rsid w:val="007C372D"/>
    <w:rsid w:val="007C4B0F"/>
    <w:rsid w:val="007C4DAD"/>
    <w:rsid w:val="007C4EF5"/>
    <w:rsid w:val="007C501D"/>
    <w:rsid w:val="007C5830"/>
    <w:rsid w:val="007C5882"/>
    <w:rsid w:val="007C58D4"/>
    <w:rsid w:val="007C5DB8"/>
    <w:rsid w:val="007C5F17"/>
    <w:rsid w:val="007C6CA2"/>
    <w:rsid w:val="007C7F50"/>
    <w:rsid w:val="007D05B2"/>
    <w:rsid w:val="007D0B6F"/>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40AE"/>
    <w:rsid w:val="007D432A"/>
    <w:rsid w:val="007D4F32"/>
    <w:rsid w:val="007D5A88"/>
    <w:rsid w:val="007D5E27"/>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F30"/>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553"/>
    <w:rsid w:val="007F6734"/>
    <w:rsid w:val="007F7425"/>
    <w:rsid w:val="007F7667"/>
    <w:rsid w:val="007F7AFD"/>
    <w:rsid w:val="007F7E1D"/>
    <w:rsid w:val="00800376"/>
    <w:rsid w:val="008006C6"/>
    <w:rsid w:val="00800C52"/>
    <w:rsid w:val="00800FE1"/>
    <w:rsid w:val="0080153E"/>
    <w:rsid w:val="00801B1A"/>
    <w:rsid w:val="00803B85"/>
    <w:rsid w:val="00803FD9"/>
    <w:rsid w:val="0080443F"/>
    <w:rsid w:val="00804757"/>
    <w:rsid w:val="0080490A"/>
    <w:rsid w:val="00805533"/>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3D76"/>
    <w:rsid w:val="00824894"/>
    <w:rsid w:val="00824A4E"/>
    <w:rsid w:val="00825366"/>
    <w:rsid w:val="00825A5A"/>
    <w:rsid w:val="00825F0F"/>
    <w:rsid w:val="008261C4"/>
    <w:rsid w:val="008266E9"/>
    <w:rsid w:val="00826C7B"/>
    <w:rsid w:val="00826DD9"/>
    <w:rsid w:val="00826E01"/>
    <w:rsid w:val="00827127"/>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6D48"/>
    <w:rsid w:val="00837088"/>
    <w:rsid w:val="0084003A"/>
    <w:rsid w:val="00840853"/>
    <w:rsid w:val="008409AA"/>
    <w:rsid w:val="00840FB8"/>
    <w:rsid w:val="0084353E"/>
    <w:rsid w:val="00843A7A"/>
    <w:rsid w:val="00844078"/>
    <w:rsid w:val="008447F5"/>
    <w:rsid w:val="00844D4F"/>
    <w:rsid w:val="00845289"/>
    <w:rsid w:val="008456FC"/>
    <w:rsid w:val="00846292"/>
    <w:rsid w:val="0084698D"/>
    <w:rsid w:val="00850413"/>
    <w:rsid w:val="008506E1"/>
    <w:rsid w:val="008509AE"/>
    <w:rsid w:val="008515EE"/>
    <w:rsid w:val="008528D3"/>
    <w:rsid w:val="00853E1C"/>
    <w:rsid w:val="008543BB"/>
    <w:rsid w:val="00854553"/>
    <w:rsid w:val="00854637"/>
    <w:rsid w:val="00855596"/>
    <w:rsid w:val="0085562D"/>
    <w:rsid w:val="0085584B"/>
    <w:rsid w:val="00855B86"/>
    <w:rsid w:val="0085635C"/>
    <w:rsid w:val="008565F1"/>
    <w:rsid w:val="00856D07"/>
    <w:rsid w:val="0085762A"/>
    <w:rsid w:val="00860316"/>
    <w:rsid w:val="0086042D"/>
    <w:rsid w:val="00860874"/>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9F"/>
    <w:rsid w:val="008808BE"/>
    <w:rsid w:val="00880930"/>
    <w:rsid w:val="00880EDF"/>
    <w:rsid w:val="0088134E"/>
    <w:rsid w:val="0088192D"/>
    <w:rsid w:val="00881D4F"/>
    <w:rsid w:val="00881F9E"/>
    <w:rsid w:val="00882273"/>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7D"/>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6B40"/>
    <w:rsid w:val="008973AC"/>
    <w:rsid w:val="0089761F"/>
    <w:rsid w:val="00897C63"/>
    <w:rsid w:val="008A0751"/>
    <w:rsid w:val="008A0C13"/>
    <w:rsid w:val="008A16F9"/>
    <w:rsid w:val="008A192D"/>
    <w:rsid w:val="008A1D3E"/>
    <w:rsid w:val="008A2AD7"/>
    <w:rsid w:val="008A2BEB"/>
    <w:rsid w:val="008A30D0"/>
    <w:rsid w:val="008A34E2"/>
    <w:rsid w:val="008A3B00"/>
    <w:rsid w:val="008A457D"/>
    <w:rsid w:val="008A4B16"/>
    <w:rsid w:val="008A4D63"/>
    <w:rsid w:val="008A4FCC"/>
    <w:rsid w:val="008A567B"/>
    <w:rsid w:val="008A58C6"/>
    <w:rsid w:val="008A5BF7"/>
    <w:rsid w:val="008A604D"/>
    <w:rsid w:val="008A66C4"/>
    <w:rsid w:val="008A6D62"/>
    <w:rsid w:val="008A7E9B"/>
    <w:rsid w:val="008B0FE9"/>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CE3"/>
    <w:rsid w:val="008B762D"/>
    <w:rsid w:val="008C0097"/>
    <w:rsid w:val="008C0FE9"/>
    <w:rsid w:val="008C1900"/>
    <w:rsid w:val="008C257F"/>
    <w:rsid w:val="008C2CFD"/>
    <w:rsid w:val="008C4056"/>
    <w:rsid w:val="008C4F91"/>
    <w:rsid w:val="008C57D6"/>
    <w:rsid w:val="008C603A"/>
    <w:rsid w:val="008C6802"/>
    <w:rsid w:val="008C71C8"/>
    <w:rsid w:val="008C79FE"/>
    <w:rsid w:val="008D041D"/>
    <w:rsid w:val="008D167D"/>
    <w:rsid w:val="008D1844"/>
    <w:rsid w:val="008D1DBC"/>
    <w:rsid w:val="008D261F"/>
    <w:rsid w:val="008D338E"/>
    <w:rsid w:val="008D427D"/>
    <w:rsid w:val="008D492A"/>
    <w:rsid w:val="008D4B58"/>
    <w:rsid w:val="008D4B8A"/>
    <w:rsid w:val="008D6541"/>
    <w:rsid w:val="008D7185"/>
    <w:rsid w:val="008D7D7B"/>
    <w:rsid w:val="008E0033"/>
    <w:rsid w:val="008E036E"/>
    <w:rsid w:val="008E0D64"/>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C69"/>
    <w:rsid w:val="008E5E51"/>
    <w:rsid w:val="008E721F"/>
    <w:rsid w:val="008E798E"/>
    <w:rsid w:val="008E7D63"/>
    <w:rsid w:val="008E7E11"/>
    <w:rsid w:val="008F00DB"/>
    <w:rsid w:val="008F05AA"/>
    <w:rsid w:val="008F110E"/>
    <w:rsid w:val="008F1264"/>
    <w:rsid w:val="008F212F"/>
    <w:rsid w:val="008F2A71"/>
    <w:rsid w:val="008F2D91"/>
    <w:rsid w:val="008F2E9C"/>
    <w:rsid w:val="008F33EA"/>
    <w:rsid w:val="008F454D"/>
    <w:rsid w:val="008F47C6"/>
    <w:rsid w:val="008F4CF7"/>
    <w:rsid w:val="008F4EDF"/>
    <w:rsid w:val="008F5809"/>
    <w:rsid w:val="008F592E"/>
    <w:rsid w:val="008F5948"/>
    <w:rsid w:val="008F5B21"/>
    <w:rsid w:val="008F5BE3"/>
    <w:rsid w:val="008F5CFE"/>
    <w:rsid w:val="008F6950"/>
    <w:rsid w:val="008F7056"/>
    <w:rsid w:val="00900093"/>
    <w:rsid w:val="009006A2"/>
    <w:rsid w:val="0090098F"/>
    <w:rsid w:val="00900DCA"/>
    <w:rsid w:val="0090102B"/>
    <w:rsid w:val="0090113C"/>
    <w:rsid w:val="0090118A"/>
    <w:rsid w:val="00901448"/>
    <w:rsid w:val="009026AD"/>
    <w:rsid w:val="00902713"/>
    <w:rsid w:val="00902F86"/>
    <w:rsid w:val="009030A5"/>
    <w:rsid w:val="009036BC"/>
    <w:rsid w:val="009037BF"/>
    <w:rsid w:val="00903AFB"/>
    <w:rsid w:val="009053E9"/>
    <w:rsid w:val="00905549"/>
    <w:rsid w:val="00905C47"/>
    <w:rsid w:val="00906379"/>
    <w:rsid w:val="0090638B"/>
    <w:rsid w:val="00906393"/>
    <w:rsid w:val="009063D8"/>
    <w:rsid w:val="0090662C"/>
    <w:rsid w:val="00907086"/>
    <w:rsid w:val="00907908"/>
    <w:rsid w:val="009101EA"/>
    <w:rsid w:val="009106FC"/>
    <w:rsid w:val="0091090F"/>
    <w:rsid w:val="00911627"/>
    <w:rsid w:val="0091181B"/>
    <w:rsid w:val="009118BB"/>
    <w:rsid w:val="0091191F"/>
    <w:rsid w:val="00911D43"/>
    <w:rsid w:val="00912A2F"/>
    <w:rsid w:val="00913F31"/>
    <w:rsid w:val="009148F3"/>
    <w:rsid w:val="00914B85"/>
    <w:rsid w:val="00914BE0"/>
    <w:rsid w:val="009156D2"/>
    <w:rsid w:val="00915918"/>
    <w:rsid w:val="00915B81"/>
    <w:rsid w:val="00915D6B"/>
    <w:rsid w:val="009160DF"/>
    <w:rsid w:val="009162C7"/>
    <w:rsid w:val="0091650D"/>
    <w:rsid w:val="00916734"/>
    <w:rsid w:val="00916EC2"/>
    <w:rsid w:val="00916F7C"/>
    <w:rsid w:val="0091788B"/>
    <w:rsid w:val="009178BD"/>
    <w:rsid w:val="009200C4"/>
    <w:rsid w:val="009209F5"/>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57C"/>
    <w:rsid w:val="00925879"/>
    <w:rsid w:val="00925BE6"/>
    <w:rsid w:val="00925CC1"/>
    <w:rsid w:val="00925D9E"/>
    <w:rsid w:val="00925EE6"/>
    <w:rsid w:val="00926C3B"/>
    <w:rsid w:val="00926F61"/>
    <w:rsid w:val="00927627"/>
    <w:rsid w:val="009276CF"/>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41BC"/>
    <w:rsid w:val="009354F8"/>
    <w:rsid w:val="009359A9"/>
    <w:rsid w:val="00935B49"/>
    <w:rsid w:val="00935D15"/>
    <w:rsid w:val="0093633C"/>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1615"/>
    <w:rsid w:val="0095285B"/>
    <w:rsid w:val="00952CD5"/>
    <w:rsid w:val="009532CE"/>
    <w:rsid w:val="00953420"/>
    <w:rsid w:val="0095368E"/>
    <w:rsid w:val="00953F1E"/>
    <w:rsid w:val="00953FCD"/>
    <w:rsid w:val="00953FE9"/>
    <w:rsid w:val="0095476B"/>
    <w:rsid w:val="0095481C"/>
    <w:rsid w:val="009564ED"/>
    <w:rsid w:val="0095661D"/>
    <w:rsid w:val="009567E6"/>
    <w:rsid w:val="0095686C"/>
    <w:rsid w:val="00956B68"/>
    <w:rsid w:val="00957076"/>
    <w:rsid w:val="00957132"/>
    <w:rsid w:val="009576FD"/>
    <w:rsid w:val="009578EB"/>
    <w:rsid w:val="009578FF"/>
    <w:rsid w:val="00960236"/>
    <w:rsid w:val="00960446"/>
    <w:rsid w:val="0096068B"/>
    <w:rsid w:val="009606BF"/>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676FD"/>
    <w:rsid w:val="00970046"/>
    <w:rsid w:val="009701B9"/>
    <w:rsid w:val="00970748"/>
    <w:rsid w:val="00971230"/>
    <w:rsid w:val="00971310"/>
    <w:rsid w:val="00971592"/>
    <w:rsid w:val="00971DDF"/>
    <w:rsid w:val="009731D6"/>
    <w:rsid w:val="009734A4"/>
    <w:rsid w:val="009740B8"/>
    <w:rsid w:val="00974314"/>
    <w:rsid w:val="00974746"/>
    <w:rsid w:val="00974DC5"/>
    <w:rsid w:val="00975119"/>
    <w:rsid w:val="00975C4B"/>
    <w:rsid w:val="00976DFA"/>
    <w:rsid w:val="00976F04"/>
    <w:rsid w:val="009777F4"/>
    <w:rsid w:val="00977A68"/>
    <w:rsid w:val="00977AD8"/>
    <w:rsid w:val="009802DF"/>
    <w:rsid w:val="00980A10"/>
    <w:rsid w:val="00981130"/>
    <w:rsid w:val="0098143C"/>
    <w:rsid w:val="00982F93"/>
    <w:rsid w:val="00983038"/>
    <w:rsid w:val="00983261"/>
    <w:rsid w:val="00983558"/>
    <w:rsid w:val="0098359F"/>
    <w:rsid w:val="009835E7"/>
    <w:rsid w:val="00983D46"/>
    <w:rsid w:val="00983DCA"/>
    <w:rsid w:val="00984039"/>
    <w:rsid w:val="009842FF"/>
    <w:rsid w:val="00984413"/>
    <w:rsid w:val="00985C86"/>
    <w:rsid w:val="00985D22"/>
    <w:rsid w:val="00985EF7"/>
    <w:rsid w:val="00986396"/>
    <w:rsid w:val="009865D5"/>
    <w:rsid w:val="00986CF9"/>
    <w:rsid w:val="00987416"/>
    <w:rsid w:val="00990077"/>
    <w:rsid w:val="009907E2"/>
    <w:rsid w:val="00990894"/>
    <w:rsid w:val="00990C0E"/>
    <w:rsid w:val="00990D75"/>
    <w:rsid w:val="00991093"/>
    <w:rsid w:val="0099163B"/>
    <w:rsid w:val="00991745"/>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A06"/>
    <w:rsid w:val="009A1AAC"/>
    <w:rsid w:val="009A2508"/>
    <w:rsid w:val="009A2B5D"/>
    <w:rsid w:val="009A3789"/>
    <w:rsid w:val="009A4860"/>
    <w:rsid w:val="009A5734"/>
    <w:rsid w:val="009A5E4D"/>
    <w:rsid w:val="009A6919"/>
    <w:rsid w:val="009A6AC7"/>
    <w:rsid w:val="009A6CC2"/>
    <w:rsid w:val="009A728A"/>
    <w:rsid w:val="009A77D7"/>
    <w:rsid w:val="009A7831"/>
    <w:rsid w:val="009A7A57"/>
    <w:rsid w:val="009A7BA8"/>
    <w:rsid w:val="009B0408"/>
    <w:rsid w:val="009B0843"/>
    <w:rsid w:val="009B1E47"/>
    <w:rsid w:val="009B20D0"/>
    <w:rsid w:val="009B216A"/>
    <w:rsid w:val="009B24AF"/>
    <w:rsid w:val="009B2CED"/>
    <w:rsid w:val="009B345D"/>
    <w:rsid w:val="009B35A0"/>
    <w:rsid w:val="009B4E84"/>
    <w:rsid w:val="009B5401"/>
    <w:rsid w:val="009B59B2"/>
    <w:rsid w:val="009B5A4D"/>
    <w:rsid w:val="009B7321"/>
    <w:rsid w:val="009B739A"/>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D29"/>
    <w:rsid w:val="009D2E39"/>
    <w:rsid w:val="009D2F0C"/>
    <w:rsid w:val="009D3578"/>
    <w:rsid w:val="009D3696"/>
    <w:rsid w:val="009D3A5F"/>
    <w:rsid w:val="009D3B2A"/>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B4C"/>
    <w:rsid w:val="009E34F0"/>
    <w:rsid w:val="009E3C61"/>
    <w:rsid w:val="009E3CD1"/>
    <w:rsid w:val="009E3DA2"/>
    <w:rsid w:val="009E3DEE"/>
    <w:rsid w:val="009E3FBC"/>
    <w:rsid w:val="009E410A"/>
    <w:rsid w:val="009E4437"/>
    <w:rsid w:val="009E5AF5"/>
    <w:rsid w:val="009E5D91"/>
    <w:rsid w:val="009E5EB5"/>
    <w:rsid w:val="009E74F0"/>
    <w:rsid w:val="009E7844"/>
    <w:rsid w:val="009E7F4A"/>
    <w:rsid w:val="009F0043"/>
    <w:rsid w:val="009F075A"/>
    <w:rsid w:val="009F0768"/>
    <w:rsid w:val="009F09B2"/>
    <w:rsid w:val="009F1035"/>
    <w:rsid w:val="009F1DC6"/>
    <w:rsid w:val="009F2A74"/>
    <w:rsid w:val="009F2AD1"/>
    <w:rsid w:val="009F2D3D"/>
    <w:rsid w:val="009F2E28"/>
    <w:rsid w:val="009F382D"/>
    <w:rsid w:val="009F3A58"/>
    <w:rsid w:val="009F3EB5"/>
    <w:rsid w:val="009F4492"/>
    <w:rsid w:val="009F49B6"/>
    <w:rsid w:val="009F5327"/>
    <w:rsid w:val="009F5E87"/>
    <w:rsid w:val="009F62E9"/>
    <w:rsid w:val="009F6422"/>
    <w:rsid w:val="009F7867"/>
    <w:rsid w:val="009F7D66"/>
    <w:rsid w:val="009F7EC4"/>
    <w:rsid w:val="00A00BD2"/>
    <w:rsid w:val="00A00CC3"/>
    <w:rsid w:val="00A00E56"/>
    <w:rsid w:val="00A01C99"/>
    <w:rsid w:val="00A027F3"/>
    <w:rsid w:val="00A02FAD"/>
    <w:rsid w:val="00A03978"/>
    <w:rsid w:val="00A03DA5"/>
    <w:rsid w:val="00A054DA"/>
    <w:rsid w:val="00A05DF3"/>
    <w:rsid w:val="00A05F1A"/>
    <w:rsid w:val="00A06601"/>
    <w:rsid w:val="00A0670C"/>
    <w:rsid w:val="00A06CC7"/>
    <w:rsid w:val="00A07229"/>
    <w:rsid w:val="00A07E08"/>
    <w:rsid w:val="00A10273"/>
    <w:rsid w:val="00A10901"/>
    <w:rsid w:val="00A10F10"/>
    <w:rsid w:val="00A1185E"/>
    <w:rsid w:val="00A11DCD"/>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E8B"/>
    <w:rsid w:val="00A32ED6"/>
    <w:rsid w:val="00A344A5"/>
    <w:rsid w:val="00A346C3"/>
    <w:rsid w:val="00A346EF"/>
    <w:rsid w:val="00A34F75"/>
    <w:rsid w:val="00A35810"/>
    <w:rsid w:val="00A35C0D"/>
    <w:rsid w:val="00A36B2C"/>
    <w:rsid w:val="00A37655"/>
    <w:rsid w:val="00A3768F"/>
    <w:rsid w:val="00A376A9"/>
    <w:rsid w:val="00A378F9"/>
    <w:rsid w:val="00A37E8F"/>
    <w:rsid w:val="00A400B7"/>
    <w:rsid w:val="00A41455"/>
    <w:rsid w:val="00A41549"/>
    <w:rsid w:val="00A416BF"/>
    <w:rsid w:val="00A41896"/>
    <w:rsid w:val="00A41A67"/>
    <w:rsid w:val="00A41B15"/>
    <w:rsid w:val="00A42867"/>
    <w:rsid w:val="00A42D07"/>
    <w:rsid w:val="00A42D0B"/>
    <w:rsid w:val="00A42E81"/>
    <w:rsid w:val="00A443F4"/>
    <w:rsid w:val="00A450C0"/>
    <w:rsid w:val="00A45468"/>
    <w:rsid w:val="00A455F8"/>
    <w:rsid w:val="00A46347"/>
    <w:rsid w:val="00A470AD"/>
    <w:rsid w:val="00A471DE"/>
    <w:rsid w:val="00A4791B"/>
    <w:rsid w:val="00A47A37"/>
    <w:rsid w:val="00A47EB4"/>
    <w:rsid w:val="00A504A6"/>
    <w:rsid w:val="00A50A48"/>
    <w:rsid w:val="00A50DCE"/>
    <w:rsid w:val="00A51180"/>
    <w:rsid w:val="00A51242"/>
    <w:rsid w:val="00A51522"/>
    <w:rsid w:val="00A51573"/>
    <w:rsid w:val="00A519D0"/>
    <w:rsid w:val="00A51A5E"/>
    <w:rsid w:val="00A51CE2"/>
    <w:rsid w:val="00A52895"/>
    <w:rsid w:val="00A5393B"/>
    <w:rsid w:val="00A53B82"/>
    <w:rsid w:val="00A53DA0"/>
    <w:rsid w:val="00A545E9"/>
    <w:rsid w:val="00A54A80"/>
    <w:rsid w:val="00A56D19"/>
    <w:rsid w:val="00A56EB3"/>
    <w:rsid w:val="00A570C1"/>
    <w:rsid w:val="00A5765D"/>
    <w:rsid w:val="00A6057E"/>
    <w:rsid w:val="00A607CB"/>
    <w:rsid w:val="00A61524"/>
    <w:rsid w:val="00A6203F"/>
    <w:rsid w:val="00A62197"/>
    <w:rsid w:val="00A623B4"/>
    <w:rsid w:val="00A6351F"/>
    <w:rsid w:val="00A63619"/>
    <w:rsid w:val="00A64323"/>
    <w:rsid w:val="00A6530C"/>
    <w:rsid w:val="00A6565C"/>
    <w:rsid w:val="00A65A70"/>
    <w:rsid w:val="00A66F36"/>
    <w:rsid w:val="00A67058"/>
    <w:rsid w:val="00A676D9"/>
    <w:rsid w:val="00A67D43"/>
    <w:rsid w:val="00A67EFC"/>
    <w:rsid w:val="00A701AC"/>
    <w:rsid w:val="00A7031E"/>
    <w:rsid w:val="00A7090E"/>
    <w:rsid w:val="00A70984"/>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2F3A"/>
    <w:rsid w:val="00A93181"/>
    <w:rsid w:val="00A938E6"/>
    <w:rsid w:val="00A93CCF"/>
    <w:rsid w:val="00A945E0"/>
    <w:rsid w:val="00A95795"/>
    <w:rsid w:val="00A95BD5"/>
    <w:rsid w:val="00A95C67"/>
    <w:rsid w:val="00A96065"/>
    <w:rsid w:val="00A96F78"/>
    <w:rsid w:val="00A971A1"/>
    <w:rsid w:val="00A971BF"/>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20B5"/>
    <w:rsid w:val="00AB39C4"/>
    <w:rsid w:val="00AB3A15"/>
    <w:rsid w:val="00AB47C3"/>
    <w:rsid w:val="00AB4ECC"/>
    <w:rsid w:val="00AB502D"/>
    <w:rsid w:val="00AB51E7"/>
    <w:rsid w:val="00AB64D9"/>
    <w:rsid w:val="00AB65CB"/>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C7D22"/>
    <w:rsid w:val="00AD00C5"/>
    <w:rsid w:val="00AD0446"/>
    <w:rsid w:val="00AD14C1"/>
    <w:rsid w:val="00AD165F"/>
    <w:rsid w:val="00AD1B46"/>
    <w:rsid w:val="00AD23F6"/>
    <w:rsid w:val="00AD2794"/>
    <w:rsid w:val="00AD2B9F"/>
    <w:rsid w:val="00AD2DC5"/>
    <w:rsid w:val="00AD3455"/>
    <w:rsid w:val="00AD34E8"/>
    <w:rsid w:val="00AD3CAD"/>
    <w:rsid w:val="00AD4B45"/>
    <w:rsid w:val="00AD4C0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1B7C"/>
    <w:rsid w:val="00AE203A"/>
    <w:rsid w:val="00AE248C"/>
    <w:rsid w:val="00AE2697"/>
    <w:rsid w:val="00AE3C27"/>
    <w:rsid w:val="00AE3DE1"/>
    <w:rsid w:val="00AE3E3E"/>
    <w:rsid w:val="00AE42A6"/>
    <w:rsid w:val="00AE44AC"/>
    <w:rsid w:val="00AE60C3"/>
    <w:rsid w:val="00AE63B3"/>
    <w:rsid w:val="00AE6E76"/>
    <w:rsid w:val="00AE6F68"/>
    <w:rsid w:val="00AE7527"/>
    <w:rsid w:val="00AE7F79"/>
    <w:rsid w:val="00AF1629"/>
    <w:rsid w:val="00AF1983"/>
    <w:rsid w:val="00AF1D1D"/>
    <w:rsid w:val="00AF259C"/>
    <w:rsid w:val="00AF2D54"/>
    <w:rsid w:val="00AF3458"/>
    <w:rsid w:val="00AF35AB"/>
    <w:rsid w:val="00AF3F7B"/>
    <w:rsid w:val="00AF4145"/>
    <w:rsid w:val="00AF42B4"/>
    <w:rsid w:val="00AF473C"/>
    <w:rsid w:val="00AF4B8A"/>
    <w:rsid w:val="00AF4F1B"/>
    <w:rsid w:val="00AF5357"/>
    <w:rsid w:val="00AF5C9B"/>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51D"/>
    <w:rsid w:val="00B07CD6"/>
    <w:rsid w:val="00B07E52"/>
    <w:rsid w:val="00B10010"/>
    <w:rsid w:val="00B102AF"/>
    <w:rsid w:val="00B107FD"/>
    <w:rsid w:val="00B10827"/>
    <w:rsid w:val="00B11775"/>
    <w:rsid w:val="00B117AC"/>
    <w:rsid w:val="00B12632"/>
    <w:rsid w:val="00B12660"/>
    <w:rsid w:val="00B12800"/>
    <w:rsid w:val="00B12F1E"/>
    <w:rsid w:val="00B12F5F"/>
    <w:rsid w:val="00B1302D"/>
    <w:rsid w:val="00B14020"/>
    <w:rsid w:val="00B1480E"/>
    <w:rsid w:val="00B149A6"/>
    <w:rsid w:val="00B1513F"/>
    <w:rsid w:val="00B15B31"/>
    <w:rsid w:val="00B15B89"/>
    <w:rsid w:val="00B15CFD"/>
    <w:rsid w:val="00B15EE1"/>
    <w:rsid w:val="00B163BC"/>
    <w:rsid w:val="00B1746F"/>
    <w:rsid w:val="00B17EA8"/>
    <w:rsid w:val="00B202E2"/>
    <w:rsid w:val="00B2046E"/>
    <w:rsid w:val="00B20725"/>
    <w:rsid w:val="00B20A62"/>
    <w:rsid w:val="00B20B94"/>
    <w:rsid w:val="00B2113A"/>
    <w:rsid w:val="00B212DE"/>
    <w:rsid w:val="00B219E5"/>
    <w:rsid w:val="00B21DBB"/>
    <w:rsid w:val="00B22669"/>
    <w:rsid w:val="00B22BB8"/>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27EB6"/>
    <w:rsid w:val="00B27F75"/>
    <w:rsid w:val="00B3000E"/>
    <w:rsid w:val="00B30F1F"/>
    <w:rsid w:val="00B31D26"/>
    <w:rsid w:val="00B323BD"/>
    <w:rsid w:val="00B326A8"/>
    <w:rsid w:val="00B329EB"/>
    <w:rsid w:val="00B32F09"/>
    <w:rsid w:val="00B33121"/>
    <w:rsid w:val="00B33508"/>
    <w:rsid w:val="00B3377E"/>
    <w:rsid w:val="00B33F76"/>
    <w:rsid w:val="00B34885"/>
    <w:rsid w:val="00B3501A"/>
    <w:rsid w:val="00B3503B"/>
    <w:rsid w:val="00B35786"/>
    <w:rsid w:val="00B3592D"/>
    <w:rsid w:val="00B359A6"/>
    <w:rsid w:val="00B35BCA"/>
    <w:rsid w:val="00B35DA4"/>
    <w:rsid w:val="00B36DBA"/>
    <w:rsid w:val="00B371A5"/>
    <w:rsid w:val="00B37425"/>
    <w:rsid w:val="00B37D2C"/>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ED8"/>
    <w:rsid w:val="00B51AF0"/>
    <w:rsid w:val="00B51BB0"/>
    <w:rsid w:val="00B5239C"/>
    <w:rsid w:val="00B534DF"/>
    <w:rsid w:val="00B53893"/>
    <w:rsid w:val="00B54481"/>
    <w:rsid w:val="00B548C2"/>
    <w:rsid w:val="00B5503F"/>
    <w:rsid w:val="00B55428"/>
    <w:rsid w:val="00B55E52"/>
    <w:rsid w:val="00B55E5C"/>
    <w:rsid w:val="00B56AC8"/>
    <w:rsid w:val="00B56B74"/>
    <w:rsid w:val="00B570BF"/>
    <w:rsid w:val="00B572C9"/>
    <w:rsid w:val="00B6096A"/>
    <w:rsid w:val="00B60CDC"/>
    <w:rsid w:val="00B61188"/>
    <w:rsid w:val="00B62047"/>
    <w:rsid w:val="00B62916"/>
    <w:rsid w:val="00B62B60"/>
    <w:rsid w:val="00B63337"/>
    <w:rsid w:val="00B6369F"/>
    <w:rsid w:val="00B639D7"/>
    <w:rsid w:val="00B64AA7"/>
    <w:rsid w:val="00B64E10"/>
    <w:rsid w:val="00B65148"/>
    <w:rsid w:val="00B65216"/>
    <w:rsid w:val="00B66594"/>
    <w:rsid w:val="00B66A89"/>
    <w:rsid w:val="00B6706E"/>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D90"/>
    <w:rsid w:val="00B825A6"/>
    <w:rsid w:val="00B82613"/>
    <w:rsid w:val="00B828B5"/>
    <w:rsid w:val="00B83DDA"/>
    <w:rsid w:val="00B84E9C"/>
    <w:rsid w:val="00B85522"/>
    <w:rsid w:val="00B85549"/>
    <w:rsid w:val="00B8559A"/>
    <w:rsid w:val="00B8668C"/>
    <w:rsid w:val="00B869A9"/>
    <w:rsid w:val="00B869DF"/>
    <w:rsid w:val="00B86CCD"/>
    <w:rsid w:val="00B90213"/>
    <w:rsid w:val="00B90E2A"/>
    <w:rsid w:val="00B90F2A"/>
    <w:rsid w:val="00B9198D"/>
    <w:rsid w:val="00B92C7F"/>
    <w:rsid w:val="00B93008"/>
    <w:rsid w:val="00B93146"/>
    <w:rsid w:val="00B94025"/>
    <w:rsid w:val="00B94044"/>
    <w:rsid w:val="00B9406D"/>
    <w:rsid w:val="00B9418F"/>
    <w:rsid w:val="00B94647"/>
    <w:rsid w:val="00B947B0"/>
    <w:rsid w:val="00B94BA7"/>
    <w:rsid w:val="00B94BE9"/>
    <w:rsid w:val="00B94E0E"/>
    <w:rsid w:val="00B95014"/>
    <w:rsid w:val="00B9585E"/>
    <w:rsid w:val="00B95BE3"/>
    <w:rsid w:val="00B95E97"/>
    <w:rsid w:val="00B96D99"/>
    <w:rsid w:val="00B972C3"/>
    <w:rsid w:val="00B97CA3"/>
    <w:rsid w:val="00BA2456"/>
    <w:rsid w:val="00BA2541"/>
    <w:rsid w:val="00BA2665"/>
    <w:rsid w:val="00BA2B80"/>
    <w:rsid w:val="00BA2BA9"/>
    <w:rsid w:val="00BA30C4"/>
    <w:rsid w:val="00BA3894"/>
    <w:rsid w:val="00BA3D7B"/>
    <w:rsid w:val="00BA422D"/>
    <w:rsid w:val="00BA4852"/>
    <w:rsid w:val="00BA4BAF"/>
    <w:rsid w:val="00BA5DC6"/>
    <w:rsid w:val="00BA6601"/>
    <w:rsid w:val="00BA6B88"/>
    <w:rsid w:val="00BA76A9"/>
    <w:rsid w:val="00BB0A05"/>
    <w:rsid w:val="00BB0B76"/>
    <w:rsid w:val="00BB2304"/>
    <w:rsid w:val="00BB26DE"/>
    <w:rsid w:val="00BB2819"/>
    <w:rsid w:val="00BB3046"/>
    <w:rsid w:val="00BB3526"/>
    <w:rsid w:val="00BB3E2B"/>
    <w:rsid w:val="00BB4399"/>
    <w:rsid w:val="00BB4820"/>
    <w:rsid w:val="00BB4F16"/>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353D"/>
    <w:rsid w:val="00BC4462"/>
    <w:rsid w:val="00BC4BDB"/>
    <w:rsid w:val="00BC52DE"/>
    <w:rsid w:val="00BC544A"/>
    <w:rsid w:val="00BC577E"/>
    <w:rsid w:val="00BC58B9"/>
    <w:rsid w:val="00BC5A0B"/>
    <w:rsid w:val="00BC60F2"/>
    <w:rsid w:val="00BC616F"/>
    <w:rsid w:val="00BC6BE6"/>
    <w:rsid w:val="00BC70FB"/>
    <w:rsid w:val="00BC7DB7"/>
    <w:rsid w:val="00BD0056"/>
    <w:rsid w:val="00BD031F"/>
    <w:rsid w:val="00BD0F68"/>
    <w:rsid w:val="00BD190B"/>
    <w:rsid w:val="00BD262D"/>
    <w:rsid w:val="00BD2F4E"/>
    <w:rsid w:val="00BD309F"/>
    <w:rsid w:val="00BD32F5"/>
    <w:rsid w:val="00BD3E68"/>
    <w:rsid w:val="00BD479C"/>
    <w:rsid w:val="00BD5047"/>
    <w:rsid w:val="00BD598A"/>
    <w:rsid w:val="00BD664D"/>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9F9"/>
    <w:rsid w:val="00BE4EC9"/>
    <w:rsid w:val="00BE546C"/>
    <w:rsid w:val="00BE56B1"/>
    <w:rsid w:val="00BE58C2"/>
    <w:rsid w:val="00BE631E"/>
    <w:rsid w:val="00BE640F"/>
    <w:rsid w:val="00BE66F4"/>
    <w:rsid w:val="00BE68A8"/>
    <w:rsid w:val="00BE6966"/>
    <w:rsid w:val="00BE6BD9"/>
    <w:rsid w:val="00BE71F7"/>
    <w:rsid w:val="00BE73E6"/>
    <w:rsid w:val="00BE78FC"/>
    <w:rsid w:val="00BE793F"/>
    <w:rsid w:val="00BF0419"/>
    <w:rsid w:val="00BF0CCF"/>
    <w:rsid w:val="00BF0FC5"/>
    <w:rsid w:val="00BF10BC"/>
    <w:rsid w:val="00BF1281"/>
    <w:rsid w:val="00BF21AC"/>
    <w:rsid w:val="00BF235B"/>
    <w:rsid w:val="00BF2617"/>
    <w:rsid w:val="00BF2E53"/>
    <w:rsid w:val="00BF3133"/>
    <w:rsid w:val="00BF313D"/>
    <w:rsid w:val="00BF3669"/>
    <w:rsid w:val="00BF3A63"/>
    <w:rsid w:val="00BF3C0D"/>
    <w:rsid w:val="00BF4435"/>
    <w:rsid w:val="00BF4CC2"/>
    <w:rsid w:val="00BF68B0"/>
    <w:rsid w:val="00BF711C"/>
    <w:rsid w:val="00BF71D1"/>
    <w:rsid w:val="00BF7C74"/>
    <w:rsid w:val="00C00ED8"/>
    <w:rsid w:val="00C01CF8"/>
    <w:rsid w:val="00C022F7"/>
    <w:rsid w:val="00C029AC"/>
    <w:rsid w:val="00C02A3D"/>
    <w:rsid w:val="00C02AEE"/>
    <w:rsid w:val="00C02B56"/>
    <w:rsid w:val="00C032EF"/>
    <w:rsid w:val="00C03309"/>
    <w:rsid w:val="00C03452"/>
    <w:rsid w:val="00C06595"/>
    <w:rsid w:val="00C067D5"/>
    <w:rsid w:val="00C06C8D"/>
    <w:rsid w:val="00C072FE"/>
    <w:rsid w:val="00C1071E"/>
    <w:rsid w:val="00C1210F"/>
    <w:rsid w:val="00C12B57"/>
    <w:rsid w:val="00C12BE4"/>
    <w:rsid w:val="00C12E39"/>
    <w:rsid w:val="00C13A19"/>
    <w:rsid w:val="00C13DA5"/>
    <w:rsid w:val="00C13E1B"/>
    <w:rsid w:val="00C14164"/>
    <w:rsid w:val="00C14339"/>
    <w:rsid w:val="00C14774"/>
    <w:rsid w:val="00C14907"/>
    <w:rsid w:val="00C150B7"/>
    <w:rsid w:val="00C15D8E"/>
    <w:rsid w:val="00C160F2"/>
    <w:rsid w:val="00C1665B"/>
    <w:rsid w:val="00C1671E"/>
    <w:rsid w:val="00C16FF7"/>
    <w:rsid w:val="00C17007"/>
    <w:rsid w:val="00C17012"/>
    <w:rsid w:val="00C1758D"/>
    <w:rsid w:val="00C178FB"/>
    <w:rsid w:val="00C20F63"/>
    <w:rsid w:val="00C211A6"/>
    <w:rsid w:val="00C219B7"/>
    <w:rsid w:val="00C219D2"/>
    <w:rsid w:val="00C21E92"/>
    <w:rsid w:val="00C22B28"/>
    <w:rsid w:val="00C22B5A"/>
    <w:rsid w:val="00C23AD6"/>
    <w:rsid w:val="00C23D17"/>
    <w:rsid w:val="00C23E6D"/>
    <w:rsid w:val="00C2455B"/>
    <w:rsid w:val="00C247BF"/>
    <w:rsid w:val="00C257B7"/>
    <w:rsid w:val="00C25BAD"/>
    <w:rsid w:val="00C25BB7"/>
    <w:rsid w:val="00C267A0"/>
    <w:rsid w:val="00C26B25"/>
    <w:rsid w:val="00C27265"/>
    <w:rsid w:val="00C272E8"/>
    <w:rsid w:val="00C27BAD"/>
    <w:rsid w:val="00C300F0"/>
    <w:rsid w:val="00C311EC"/>
    <w:rsid w:val="00C32114"/>
    <w:rsid w:val="00C32373"/>
    <w:rsid w:val="00C32551"/>
    <w:rsid w:val="00C328BF"/>
    <w:rsid w:val="00C3295E"/>
    <w:rsid w:val="00C32AA8"/>
    <w:rsid w:val="00C3317F"/>
    <w:rsid w:val="00C33359"/>
    <w:rsid w:val="00C33AF4"/>
    <w:rsid w:val="00C33C80"/>
    <w:rsid w:val="00C348D6"/>
    <w:rsid w:val="00C35615"/>
    <w:rsid w:val="00C35AE3"/>
    <w:rsid w:val="00C364C8"/>
    <w:rsid w:val="00C365E7"/>
    <w:rsid w:val="00C36DAE"/>
    <w:rsid w:val="00C36E1C"/>
    <w:rsid w:val="00C36E34"/>
    <w:rsid w:val="00C37899"/>
    <w:rsid w:val="00C37BE4"/>
    <w:rsid w:val="00C37F25"/>
    <w:rsid w:val="00C404EE"/>
    <w:rsid w:val="00C40588"/>
    <w:rsid w:val="00C40D2D"/>
    <w:rsid w:val="00C40FC3"/>
    <w:rsid w:val="00C41305"/>
    <w:rsid w:val="00C415D2"/>
    <w:rsid w:val="00C4171B"/>
    <w:rsid w:val="00C41B3E"/>
    <w:rsid w:val="00C42146"/>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80"/>
    <w:rsid w:val="00C50A4E"/>
    <w:rsid w:val="00C50B71"/>
    <w:rsid w:val="00C50F50"/>
    <w:rsid w:val="00C51A3C"/>
    <w:rsid w:val="00C51B30"/>
    <w:rsid w:val="00C51CF5"/>
    <w:rsid w:val="00C520B1"/>
    <w:rsid w:val="00C520CA"/>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13E"/>
    <w:rsid w:val="00C6225E"/>
    <w:rsid w:val="00C622A0"/>
    <w:rsid w:val="00C62B0A"/>
    <w:rsid w:val="00C62F23"/>
    <w:rsid w:val="00C632D2"/>
    <w:rsid w:val="00C63304"/>
    <w:rsid w:val="00C6340B"/>
    <w:rsid w:val="00C6348F"/>
    <w:rsid w:val="00C63F08"/>
    <w:rsid w:val="00C6406C"/>
    <w:rsid w:val="00C64411"/>
    <w:rsid w:val="00C64459"/>
    <w:rsid w:val="00C651AA"/>
    <w:rsid w:val="00C6528C"/>
    <w:rsid w:val="00C653DE"/>
    <w:rsid w:val="00C65683"/>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AFE"/>
    <w:rsid w:val="00C75F2F"/>
    <w:rsid w:val="00C75FEE"/>
    <w:rsid w:val="00C76F1D"/>
    <w:rsid w:val="00C7722E"/>
    <w:rsid w:val="00C777D9"/>
    <w:rsid w:val="00C777ED"/>
    <w:rsid w:val="00C77BEF"/>
    <w:rsid w:val="00C77D26"/>
    <w:rsid w:val="00C80281"/>
    <w:rsid w:val="00C80BDF"/>
    <w:rsid w:val="00C80CB0"/>
    <w:rsid w:val="00C811DA"/>
    <w:rsid w:val="00C81535"/>
    <w:rsid w:val="00C8153F"/>
    <w:rsid w:val="00C8168D"/>
    <w:rsid w:val="00C82541"/>
    <w:rsid w:val="00C8292E"/>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455"/>
    <w:rsid w:val="00C917D8"/>
    <w:rsid w:val="00C920B5"/>
    <w:rsid w:val="00C92490"/>
    <w:rsid w:val="00C9278D"/>
    <w:rsid w:val="00C933CE"/>
    <w:rsid w:val="00C93462"/>
    <w:rsid w:val="00C93EBF"/>
    <w:rsid w:val="00C93FA3"/>
    <w:rsid w:val="00C94384"/>
    <w:rsid w:val="00C94A30"/>
    <w:rsid w:val="00C94A34"/>
    <w:rsid w:val="00C94A73"/>
    <w:rsid w:val="00C94A9D"/>
    <w:rsid w:val="00C94C2B"/>
    <w:rsid w:val="00C94C78"/>
    <w:rsid w:val="00C94E22"/>
    <w:rsid w:val="00C95338"/>
    <w:rsid w:val="00C95957"/>
    <w:rsid w:val="00C95E27"/>
    <w:rsid w:val="00C96404"/>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A6A0D"/>
    <w:rsid w:val="00CB0380"/>
    <w:rsid w:val="00CB09DA"/>
    <w:rsid w:val="00CB0BD9"/>
    <w:rsid w:val="00CB15CE"/>
    <w:rsid w:val="00CB1CAC"/>
    <w:rsid w:val="00CB1D87"/>
    <w:rsid w:val="00CB1DE8"/>
    <w:rsid w:val="00CB1E3B"/>
    <w:rsid w:val="00CB1F1D"/>
    <w:rsid w:val="00CB2621"/>
    <w:rsid w:val="00CB3AE5"/>
    <w:rsid w:val="00CB4211"/>
    <w:rsid w:val="00CB4212"/>
    <w:rsid w:val="00CB4C59"/>
    <w:rsid w:val="00CB57D7"/>
    <w:rsid w:val="00CB600D"/>
    <w:rsid w:val="00CB643E"/>
    <w:rsid w:val="00CB6934"/>
    <w:rsid w:val="00CB6B3B"/>
    <w:rsid w:val="00CB71F8"/>
    <w:rsid w:val="00CB7E39"/>
    <w:rsid w:val="00CC01F4"/>
    <w:rsid w:val="00CC0202"/>
    <w:rsid w:val="00CC0337"/>
    <w:rsid w:val="00CC0392"/>
    <w:rsid w:val="00CC05FF"/>
    <w:rsid w:val="00CC24E3"/>
    <w:rsid w:val="00CC26DB"/>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6EDE"/>
    <w:rsid w:val="00CC7961"/>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B50"/>
    <w:rsid w:val="00CE4690"/>
    <w:rsid w:val="00CE4961"/>
    <w:rsid w:val="00CE4F2D"/>
    <w:rsid w:val="00CE5FC8"/>
    <w:rsid w:val="00CE601C"/>
    <w:rsid w:val="00CE6428"/>
    <w:rsid w:val="00CE6F0F"/>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2C0C"/>
    <w:rsid w:val="00CF3207"/>
    <w:rsid w:val="00CF321D"/>
    <w:rsid w:val="00CF3280"/>
    <w:rsid w:val="00CF381E"/>
    <w:rsid w:val="00CF393D"/>
    <w:rsid w:val="00CF3ABA"/>
    <w:rsid w:val="00CF4107"/>
    <w:rsid w:val="00CF46D3"/>
    <w:rsid w:val="00CF4ABD"/>
    <w:rsid w:val="00CF4B18"/>
    <w:rsid w:val="00CF5A53"/>
    <w:rsid w:val="00CF5D28"/>
    <w:rsid w:val="00CF61A7"/>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5FB9"/>
    <w:rsid w:val="00D060FF"/>
    <w:rsid w:val="00D064E8"/>
    <w:rsid w:val="00D06572"/>
    <w:rsid w:val="00D065CD"/>
    <w:rsid w:val="00D07421"/>
    <w:rsid w:val="00D0751B"/>
    <w:rsid w:val="00D076A1"/>
    <w:rsid w:val="00D079EB"/>
    <w:rsid w:val="00D07D93"/>
    <w:rsid w:val="00D10180"/>
    <w:rsid w:val="00D11C6C"/>
    <w:rsid w:val="00D11FA6"/>
    <w:rsid w:val="00D1219A"/>
    <w:rsid w:val="00D12325"/>
    <w:rsid w:val="00D12AA7"/>
    <w:rsid w:val="00D12C6A"/>
    <w:rsid w:val="00D135F0"/>
    <w:rsid w:val="00D138D9"/>
    <w:rsid w:val="00D14487"/>
    <w:rsid w:val="00D148B7"/>
    <w:rsid w:val="00D14B8F"/>
    <w:rsid w:val="00D14DBB"/>
    <w:rsid w:val="00D15997"/>
    <w:rsid w:val="00D15DE0"/>
    <w:rsid w:val="00D15E7E"/>
    <w:rsid w:val="00D162EF"/>
    <w:rsid w:val="00D16555"/>
    <w:rsid w:val="00D16F45"/>
    <w:rsid w:val="00D177F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766"/>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1EB"/>
    <w:rsid w:val="00D3462C"/>
    <w:rsid w:val="00D34C38"/>
    <w:rsid w:val="00D3516F"/>
    <w:rsid w:val="00D35198"/>
    <w:rsid w:val="00D3584B"/>
    <w:rsid w:val="00D359B7"/>
    <w:rsid w:val="00D36328"/>
    <w:rsid w:val="00D40696"/>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69AA"/>
    <w:rsid w:val="00D4789B"/>
    <w:rsid w:val="00D47C16"/>
    <w:rsid w:val="00D47FA5"/>
    <w:rsid w:val="00D502AF"/>
    <w:rsid w:val="00D50764"/>
    <w:rsid w:val="00D50A64"/>
    <w:rsid w:val="00D50C12"/>
    <w:rsid w:val="00D50CEF"/>
    <w:rsid w:val="00D518FF"/>
    <w:rsid w:val="00D51A77"/>
    <w:rsid w:val="00D51BD9"/>
    <w:rsid w:val="00D53079"/>
    <w:rsid w:val="00D53649"/>
    <w:rsid w:val="00D53830"/>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7021B"/>
    <w:rsid w:val="00D70D33"/>
    <w:rsid w:val="00D7158F"/>
    <w:rsid w:val="00D719AA"/>
    <w:rsid w:val="00D720E3"/>
    <w:rsid w:val="00D72385"/>
    <w:rsid w:val="00D72D5F"/>
    <w:rsid w:val="00D73077"/>
    <w:rsid w:val="00D736A2"/>
    <w:rsid w:val="00D73C57"/>
    <w:rsid w:val="00D73CFD"/>
    <w:rsid w:val="00D73D67"/>
    <w:rsid w:val="00D742FF"/>
    <w:rsid w:val="00D746B2"/>
    <w:rsid w:val="00D74875"/>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400F"/>
    <w:rsid w:val="00D84536"/>
    <w:rsid w:val="00D84A57"/>
    <w:rsid w:val="00D84A81"/>
    <w:rsid w:val="00D84C3B"/>
    <w:rsid w:val="00D84C4F"/>
    <w:rsid w:val="00D85305"/>
    <w:rsid w:val="00D86178"/>
    <w:rsid w:val="00D8624A"/>
    <w:rsid w:val="00D863D5"/>
    <w:rsid w:val="00D864F8"/>
    <w:rsid w:val="00D86620"/>
    <w:rsid w:val="00D86863"/>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1FA6"/>
    <w:rsid w:val="00DA2124"/>
    <w:rsid w:val="00DA2786"/>
    <w:rsid w:val="00DA2DF8"/>
    <w:rsid w:val="00DA3E7B"/>
    <w:rsid w:val="00DA422D"/>
    <w:rsid w:val="00DA451D"/>
    <w:rsid w:val="00DA461F"/>
    <w:rsid w:val="00DA4AF8"/>
    <w:rsid w:val="00DA4BDE"/>
    <w:rsid w:val="00DA51B7"/>
    <w:rsid w:val="00DA53A6"/>
    <w:rsid w:val="00DA56DB"/>
    <w:rsid w:val="00DA59EB"/>
    <w:rsid w:val="00DA5E13"/>
    <w:rsid w:val="00DA5F9B"/>
    <w:rsid w:val="00DA60EC"/>
    <w:rsid w:val="00DA6193"/>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636"/>
    <w:rsid w:val="00DB5FF5"/>
    <w:rsid w:val="00DB6150"/>
    <w:rsid w:val="00DB69D9"/>
    <w:rsid w:val="00DB6A80"/>
    <w:rsid w:val="00DB6B2A"/>
    <w:rsid w:val="00DB6C06"/>
    <w:rsid w:val="00DB6D49"/>
    <w:rsid w:val="00DB71C1"/>
    <w:rsid w:val="00DB7250"/>
    <w:rsid w:val="00DB73C3"/>
    <w:rsid w:val="00DB7947"/>
    <w:rsid w:val="00DB7B06"/>
    <w:rsid w:val="00DC043C"/>
    <w:rsid w:val="00DC0AEA"/>
    <w:rsid w:val="00DC294F"/>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41E"/>
    <w:rsid w:val="00DD2EFB"/>
    <w:rsid w:val="00DD3029"/>
    <w:rsid w:val="00DD3E21"/>
    <w:rsid w:val="00DD4890"/>
    <w:rsid w:val="00DD48B2"/>
    <w:rsid w:val="00DD4D18"/>
    <w:rsid w:val="00DD546C"/>
    <w:rsid w:val="00DD55E0"/>
    <w:rsid w:val="00DD5E12"/>
    <w:rsid w:val="00DD6B30"/>
    <w:rsid w:val="00DD6EA9"/>
    <w:rsid w:val="00DE0106"/>
    <w:rsid w:val="00DE0C66"/>
    <w:rsid w:val="00DE1904"/>
    <w:rsid w:val="00DE2155"/>
    <w:rsid w:val="00DE36D3"/>
    <w:rsid w:val="00DE3DBB"/>
    <w:rsid w:val="00DE4137"/>
    <w:rsid w:val="00DE425B"/>
    <w:rsid w:val="00DE43A2"/>
    <w:rsid w:val="00DE45B3"/>
    <w:rsid w:val="00DE4A74"/>
    <w:rsid w:val="00DE4B05"/>
    <w:rsid w:val="00DE541C"/>
    <w:rsid w:val="00DE5430"/>
    <w:rsid w:val="00DE5698"/>
    <w:rsid w:val="00DE5D88"/>
    <w:rsid w:val="00DE6D7C"/>
    <w:rsid w:val="00DE737B"/>
    <w:rsid w:val="00DE7473"/>
    <w:rsid w:val="00DE7A7C"/>
    <w:rsid w:val="00DE7E68"/>
    <w:rsid w:val="00DE7F5E"/>
    <w:rsid w:val="00DF0355"/>
    <w:rsid w:val="00DF0587"/>
    <w:rsid w:val="00DF0A34"/>
    <w:rsid w:val="00DF0BB8"/>
    <w:rsid w:val="00DF100B"/>
    <w:rsid w:val="00DF15EE"/>
    <w:rsid w:val="00DF23CA"/>
    <w:rsid w:val="00DF2929"/>
    <w:rsid w:val="00DF3681"/>
    <w:rsid w:val="00DF39E8"/>
    <w:rsid w:val="00DF3B76"/>
    <w:rsid w:val="00DF4359"/>
    <w:rsid w:val="00DF48DE"/>
    <w:rsid w:val="00DF4C1A"/>
    <w:rsid w:val="00DF5057"/>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54B"/>
    <w:rsid w:val="00E05630"/>
    <w:rsid w:val="00E0576C"/>
    <w:rsid w:val="00E05DD1"/>
    <w:rsid w:val="00E0626B"/>
    <w:rsid w:val="00E06275"/>
    <w:rsid w:val="00E068BC"/>
    <w:rsid w:val="00E06BC2"/>
    <w:rsid w:val="00E06F2F"/>
    <w:rsid w:val="00E07395"/>
    <w:rsid w:val="00E073F0"/>
    <w:rsid w:val="00E106C5"/>
    <w:rsid w:val="00E10761"/>
    <w:rsid w:val="00E108E4"/>
    <w:rsid w:val="00E10C9B"/>
    <w:rsid w:val="00E11C0F"/>
    <w:rsid w:val="00E11D7A"/>
    <w:rsid w:val="00E11EEB"/>
    <w:rsid w:val="00E128F2"/>
    <w:rsid w:val="00E13883"/>
    <w:rsid w:val="00E13E0E"/>
    <w:rsid w:val="00E13EE4"/>
    <w:rsid w:val="00E1432C"/>
    <w:rsid w:val="00E14A3E"/>
    <w:rsid w:val="00E153FE"/>
    <w:rsid w:val="00E15544"/>
    <w:rsid w:val="00E15E10"/>
    <w:rsid w:val="00E15E7F"/>
    <w:rsid w:val="00E16230"/>
    <w:rsid w:val="00E16463"/>
    <w:rsid w:val="00E169DA"/>
    <w:rsid w:val="00E17798"/>
    <w:rsid w:val="00E208C6"/>
    <w:rsid w:val="00E21954"/>
    <w:rsid w:val="00E239D1"/>
    <w:rsid w:val="00E25B34"/>
    <w:rsid w:val="00E26727"/>
    <w:rsid w:val="00E26970"/>
    <w:rsid w:val="00E2717F"/>
    <w:rsid w:val="00E274B5"/>
    <w:rsid w:val="00E27791"/>
    <w:rsid w:val="00E30AC9"/>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BF7"/>
    <w:rsid w:val="00E41E2F"/>
    <w:rsid w:val="00E42146"/>
    <w:rsid w:val="00E422B5"/>
    <w:rsid w:val="00E4244B"/>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2CBA"/>
    <w:rsid w:val="00E535D2"/>
    <w:rsid w:val="00E53A01"/>
    <w:rsid w:val="00E53C82"/>
    <w:rsid w:val="00E53CB2"/>
    <w:rsid w:val="00E54BC4"/>
    <w:rsid w:val="00E564C4"/>
    <w:rsid w:val="00E567C9"/>
    <w:rsid w:val="00E573D8"/>
    <w:rsid w:val="00E57558"/>
    <w:rsid w:val="00E604C4"/>
    <w:rsid w:val="00E60809"/>
    <w:rsid w:val="00E60EA7"/>
    <w:rsid w:val="00E611AE"/>
    <w:rsid w:val="00E61300"/>
    <w:rsid w:val="00E614F2"/>
    <w:rsid w:val="00E619E7"/>
    <w:rsid w:val="00E62D38"/>
    <w:rsid w:val="00E635B9"/>
    <w:rsid w:val="00E64603"/>
    <w:rsid w:val="00E65409"/>
    <w:rsid w:val="00E65D15"/>
    <w:rsid w:val="00E6616C"/>
    <w:rsid w:val="00E66431"/>
    <w:rsid w:val="00E66C49"/>
    <w:rsid w:val="00E67B57"/>
    <w:rsid w:val="00E67D79"/>
    <w:rsid w:val="00E67EE5"/>
    <w:rsid w:val="00E7013A"/>
    <w:rsid w:val="00E7013B"/>
    <w:rsid w:val="00E71684"/>
    <w:rsid w:val="00E72219"/>
    <w:rsid w:val="00E7237A"/>
    <w:rsid w:val="00E72C50"/>
    <w:rsid w:val="00E72D8A"/>
    <w:rsid w:val="00E73048"/>
    <w:rsid w:val="00E73AD0"/>
    <w:rsid w:val="00E73C83"/>
    <w:rsid w:val="00E74104"/>
    <w:rsid w:val="00E74177"/>
    <w:rsid w:val="00E7473C"/>
    <w:rsid w:val="00E74F5D"/>
    <w:rsid w:val="00E7554B"/>
    <w:rsid w:val="00E75C85"/>
    <w:rsid w:val="00E76034"/>
    <w:rsid w:val="00E760EA"/>
    <w:rsid w:val="00E76130"/>
    <w:rsid w:val="00E76C98"/>
    <w:rsid w:val="00E77060"/>
    <w:rsid w:val="00E80440"/>
    <w:rsid w:val="00E80515"/>
    <w:rsid w:val="00E80780"/>
    <w:rsid w:val="00E80CDC"/>
    <w:rsid w:val="00E817E0"/>
    <w:rsid w:val="00E819FB"/>
    <w:rsid w:val="00E81A4A"/>
    <w:rsid w:val="00E8221B"/>
    <w:rsid w:val="00E82AE8"/>
    <w:rsid w:val="00E82EE4"/>
    <w:rsid w:val="00E82F34"/>
    <w:rsid w:val="00E830A7"/>
    <w:rsid w:val="00E831E7"/>
    <w:rsid w:val="00E835D8"/>
    <w:rsid w:val="00E838B4"/>
    <w:rsid w:val="00E843B5"/>
    <w:rsid w:val="00E84674"/>
    <w:rsid w:val="00E84A3B"/>
    <w:rsid w:val="00E84E67"/>
    <w:rsid w:val="00E85307"/>
    <w:rsid w:val="00E859B1"/>
    <w:rsid w:val="00E85B9C"/>
    <w:rsid w:val="00E86233"/>
    <w:rsid w:val="00E87720"/>
    <w:rsid w:val="00E87A52"/>
    <w:rsid w:val="00E902A1"/>
    <w:rsid w:val="00E907E4"/>
    <w:rsid w:val="00E90A24"/>
    <w:rsid w:val="00E90B22"/>
    <w:rsid w:val="00E90C34"/>
    <w:rsid w:val="00E91127"/>
    <w:rsid w:val="00E919AC"/>
    <w:rsid w:val="00E93687"/>
    <w:rsid w:val="00E941DA"/>
    <w:rsid w:val="00E94386"/>
    <w:rsid w:val="00E94614"/>
    <w:rsid w:val="00E946A6"/>
    <w:rsid w:val="00E947E4"/>
    <w:rsid w:val="00E948E5"/>
    <w:rsid w:val="00E94986"/>
    <w:rsid w:val="00E94C9F"/>
    <w:rsid w:val="00E94E13"/>
    <w:rsid w:val="00E954B1"/>
    <w:rsid w:val="00E96A29"/>
    <w:rsid w:val="00E96AB5"/>
    <w:rsid w:val="00E96B28"/>
    <w:rsid w:val="00E96FE6"/>
    <w:rsid w:val="00E9719A"/>
    <w:rsid w:val="00EA09EA"/>
    <w:rsid w:val="00EA0A5C"/>
    <w:rsid w:val="00EA0AD2"/>
    <w:rsid w:val="00EA0C91"/>
    <w:rsid w:val="00EA0CF0"/>
    <w:rsid w:val="00EA1153"/>
    <w:rsid w:val="00EA1D43"/>
    <w:rsid w:val="00EA224D"/>
    <w:rsid w:val="00EA283A"/>
    <w:rsid w:val="00EA29B4"/>
    <w:rsid w:val="00EA2AB1"/>
    <w:rsid w:val="00EA3641"/>
    <w:rsid w:val="00EA3A75"/>
    <w:rsid w:val="00EA4866"/>
    <w:rsid w:val="00EA4EC9"/>
    <w:rsid w:val="00EA52E9"/>
    <w:rsid w:val="00EA54D5"/>
    <w:rsid w:val="00EA55C7"/>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35C8"/>
    <w:rsid w:val="00EB4633"/>
    <w:rsid w:val="00EB46A2"/>
    <w:rsid w:val="00EB5433"/>
    <w:rsid w:val="00EB55CA"/>
    <w:rsid w:val="00EB584C"/>
    <w:rsid w:val="00EB5C4B"/>
    <w:rsid w:val="00EB5D88"/>
    <w:rsid w:val="00EB5F1D"/>
    <w:rsid w:val="00EB6939"/>
    <w:rsid w:val="00EB7307"/>
    <w:rsid w:val="00EB76F2"/>
    <w:rsid w:val="00EC14B0"/>
    <w:rsid w:val="00EC204E"/>
    <w:rsid w:val="00EC220F"/>
    <w:rsid w:val="00EC249E"/>
    <w:rsid w:val="00EC2966"/>
    <w:rsid w:val="00EC2CFF"/>
    <w:rsid w:val="00EC2DF8"/>
    <w:rsid w:val="00EC3A24"/>
    <w:rsid w:val="00EC3FBB"/>
    <w:rsid w:val="00EC40BC"/>
    <w:rsid w:val="00EC53E6"/>
    <w:rsid w:val="00EC55ED"/>
    <w:rsid w:val="00EC5F2F"/>
    <w:rsid w:val="00EC639B"/>
    <w:rsid w:val="00EC651E"/>
    <w:rsid w:val="00EC692E"/>
    <w:rsid w:val="00EC6931"/>
    <w:rsid w:val="00EC6F5A"/>
    <w:rsid w:val="00EC6F81"/>
    <w:rsid w:val="00EC745E"/>
    <w:rsid w:val="00EC7A34"/>
    <w:rsid w:val="00EC7EAF"/>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1272"/>
    <w:rsid w:val="00EE16F6"/>
    <w:rsid w:val="00EE177F"/>
    <w:rsid w:val="00EE194A"/>
    <w:rsid w:val="00EE2AFB"/>
    <w:rsid w:val="00EE3663"/>
    <w:rsid w:val="00EE41C4"/>
    <w:rsid w:val="00EE4A40"/>
    <w:rsid w:val="00EE4F0B"/>
    <w:rsid w:val="00EE5C3E"/>
    <w:rsid w:val="00EE619C"/>
    <w:rsid w:val="00EE6CF6"/>
    <w:rsid w:val="00EE76A9"/>
    <w:rsid w:val="00EE799E"/>
    <w:rsid w:val="00EE7B5A"/>
    <w:rsid w:val="00EE7C7E"/>
    <w:rsid w:val="00EE7CA8"/>
    <w:rsid w:val="00EE7FA7"/>
    <w:rsid w:val="00EF0702"/>
    <w:rsid w:val="00EF0A0E"/>
    <w:rsid w:val="00EF1093"/>
    <w:rsid w:val="00EF1C1F"/>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6AD"/>
    <w:rsid w:val="00F01881"/>
    <w:rsid w:val="00F01E6B"/>
    <w:rsid w:val="00F0241C"/>
    <w:rsid w:val="00F02F46"/>
    <w:rsid w:val="00F02FBB"/>
    <w:rsid w:val="00F03D29"/>
    <w:rsid w:val="00F044DA"/>
    <w:rsid w:val="00F047B9"/>
    <w:rsid w:val="00F04C42"/>
    <w:rsid w:val="00F04F56"/>
    <w:rsid w:val="00F05759"/>
    <w:rsid w:val="00F05BCF"/>
    <w:rsid w:val="00F062C0"/>
    <w:rsid w:val="00F068DB"/>
    <w:rsid w:val="00F06C15"/>
    <w:rsid w:val="00F07906"/>
    <w:rsid w:val="00F07B80"/>
    <w:rsid w:val="00F103E2"/>
    <w:rsid w:val="00F10ADB"/>
    <w:rsid w:val="00F10CB9"/>
    <w:rsid w:val="00F10E0F"/>
    <w:rsid w:val="00F110D5"/>
    <w:rsid w:val="00F111DA"/>
    <w:rsid w:val="00F1149B"/>
    <w:rsid w:val="00F11DA1"/>
    <w:rsid w:val="00F12351"/>
    <w:rsid w:val="00F124A2"/>
    <w:rsid w:val="00F12B4C"/>
    <w:rsid w:val="00F1420E"/>
    <w:rsid w:val="00F143A1"/>
    <w:rsid w:val="00F149D1"/>
    <w:rsid w:val="00F150DE"/>
    <w:rsid w:val="00F1528B"/>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5A"/>
    <w:rsid w:val="00F360A6"/>
    <w:rsid w:val="00F36997"/>
    <w:rsid w:val="00F372E3"/>
    <w:rsid w:val="00F403D8"/>
    <w:rsid w:val="00F4065A"/>
    <w:rsid w:val="00F40F19"/>
    <w:rsid w:val="00F414E8"/>
    <w:rsid w:val="00F425EB"/>
    <w:rsid w:val="00F4275C"/>
    <w:rsid w:val="00F4327A"/>
    <w:rsid w:val="00F437F6"/>
    <w:rsid w:val="00F44119"/>
    <w:rsid w:val="00F4486D"/>
    <w:rsid w:val="00F45379"/>
    <w:rsid w:val="00F4552F"/>
    <w:rsid w:val="00F45693"/>
    <w:rsid w:val="00F45A86"/>
    <w:rsid w:val="00F474C7"/>
    <w:rsid w:val="00F47801"/>
    <w:rsid w:val="00F47983"/>
    <w:rsid w:val="00F50B29"/>
    <w:rsid w:val="00F50DFB"/>
    <w:rsid w:val="00F50F6A"/>
    <w:rsid w:val="00F514FC"/>
    <w:rsid w:val="00F51686"/>
    <w:rsid w:val="00F5170F"/>
    <w:rsid w:val="00F51BA5"/>
    <w:rsid w:val="00F52339"/>
    <w:rsid w:val="00F5277A"/>
    <w:rsid w:val="00F52876"/>
    <w:rsid w:val="00F53085"/>
    <w:rsid w:val="00F530BD"/>
    <w:rsid w:val="00F532E8"/>
    <w:rsid w:val="00F537FF"/>
    <w:rsid w:val="00F544F7"/>
    <w:rsid w:val="00F5512E"/>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918"/>
    <w:rsid w:val="00F64967"/>
    <w:rsid w:val="00F64BEC"/>
    <w:rsid w:val="00F6503E"/>
    <w:rsid w:val="00F657CF"/>
    <w:rsid w:val="00F65A0B"/>
    <w:rsid w:val="00F65CFA"/>
    <w:rsid w:val="00F66137"/>
    <w:rsid w:val="00F66359"/>
    <w:rsid w:val="00F66A00"/>
    <w:rsid w:val="00F67227"/>
    <w:rsid w:val="00F676D3"/>
    <w:rsid w:val="00F679B5"/>
    <w:rsid w:val="00F679BB"/>
    <w:rsid w:val="00F67F2C"/>
    <w:rsid w:val="00F70128"/>
    <w:rsid w:val="00F70DFF"/>
    <w:rsid w:val="00F713A3"/>
    <w:rsid w:val="00F71A8F"/>
    <w:rsid w:val="00F7458D"/>
    <w:rsid w:val="00F74DB2"/>
    <w:rsid w:val="00F7523B"/>
    <w:rsid w:val="00F75330"/>
    <w:rsid w:val="00F7597F"/>
    <w:rsid w:val="00F75C0D"/>
    <w:rsid w:val="00F76683"/>
    <w:rsid w:val="00F767A2"/>
    <w:rsid w:val="00F76A46"/>
    <w:rsid w:val="00F76BD9"/>
    <w:rsid w:val="00F76E85"/>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3140"/>
    <w:rsid w:val="00F84421"/>
    <w:rsid w:val="00F8449B"/>
    <w:rsid w:val="00F844CE"/>
    <w:rsid w:val="00F84CDE"/>
    <w:rsid w:val="00F8553C"/>
    <w:rsid w:val="00F85691"/>
    <w:rsid w:val="00F86113"/>
    <w:rsid w:val="00F86F34"/>
    <w:rsid w:val="00F87032"/>
    <w:rsid w:val="00F87049"/>
    <w:rsid w:val="00F87094"/>
    <w:rsid w:val="00F874FF"/>
    <w:rsid w:val="00F87AB3"/>
    <w:rsid w:val="00F902A7"/>
    <w:rsid w:val="00F905D1"/>
    <w:rsid w:val="00F90C87"/>
    <w:rsid w:val="00F90DD0"/>
    <w:rsid w:val="00F90DD6"/>
    <w:rsid w:val="00F90DFA"/>
    <w:rsid w:val="00F913DC"/>
    <w:rsid w:val="00F9148D"/>
    <w:rsid w:val="00F91C96"/>
    <w:rsid w:val="00F91DDA"/>
    <w:rsid w:val="00F91FA4"/>
    <w:rsid w:val="00F93043"/>
    <w:rsid w:val="00F93233"/>
    <w:rsid w:val="00F9397A"/>
    <w:rsid w:val="00F93A37"/>
    <w:rsid w:val="00F94182"/>
    <w:rsid w:val="00F94476"/>
    <w:rsid w:val="00F944D9"/>
    <w:rsid w:val="00F94DB3"/>
    <w:rsid w:val="00F9577E"/>
    <w:rsid w:val="00F95C58"/>
    <w:rsid w:val="00F9606C"/>
    <w:rsid w:val="00F96500"/>
    <w:rsid w:val="00F97377"/>
    <w:rsid w:val="00F97BB8"/>
    <w:rsid w:val="00F97FC6"/>
    <w:rsid w:val="00FA0207"/>
    <w:rsid w:val="00FA1396"/>
    <w:rsid w:val="00FA140C"/>
    <w:rsid w:val="00FA1E52"/>
    <w:rsid w:val="00FA1F1F"/>
    <w:rsid w:val="00FA2246"/>
    <w:rsid w:val="00FA3227"/>
    <w:rsid w:val="00FA3230"/>
    <w:rsid w:val="00FA3782"/>
    <w:rsid w:val="00FA3F80"/>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B0426"/>
    <w:rsid w:val="00FB0826"/>
    <w:rsid w:val="00FB129F"/>
    <w:rsid w:val="00FB1581"/>
    <w:rsid w:val="00FB1DB8"/>
    <w:rsid w:val="00FB2379"/>
    <w:rsid w:val="00FB374A"/>
    <w:rsid w:val="00FB391B"/>
    <w:rsid w:val="00FB4407"/>
    <w:rsid w:val="00FB45C8"/>
    <w:rsid w:val="00FB4AB5"/>
    <w:rsid w:val="00FB4B8A"/>
    <w:rsid w:val="00FB5152"/>
    <w:rsid w:val="00FB5EFB"/>
    <w:rsid w:val="00FB680E"/>
    <w:rsid w:val="00FB7859"/>
    <w:rsid w:val="00FC0065"/>
    <w:rsid w:val="00FC057A"/>
    <w:rsid w:val="00FC15E7"/>
    <w:rsid w:val="00FC1779"/>
    <w:rsid w:val="00FC33E0"/>
    <w:rsid w:val="00FC379B"/>
    <w:rsid w:val="00FC37C3"/>
    <w:rsid w:val="00FC3AEE"/>
    <w:rsid w:val="00FC4443"/>
    <w:rsid w:val="00FC4956"/>
    <w:rsid w:val="00FC4A55"/>
    <w:rsid w:val="00FC4A5C"/>
    <w:rsid w:val="00FC4AE2"/>
    <w:rsid w:val="00FC60E0"/>
    <w:rsid w:val="00FC611F"/>
    <w:rsid w:val="00FC6238"/>
    <w:rsid w:val="00FC66AC"/>
    <w:rsid w:val="00FC6986"/>
    <w:rsid w:val="00FC6DCB"/>
    <w:rsid w:val="00FC6E1A"/>
    <w:rsid w:val="00FC78AD"/>
    <w:rsid w:val="00FD0A27"/>
    <w:rsid w:val="00FD0D70"/>
    <w:rsid w:val="00FD0E87"/>
    <w:rsid w:val="00FD1613"/>
    <w:rsid w:val="00FD17D1"/>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3E9"/>
    <w:rsid w:val="00FD6B74"/>
    <w:rsid w:val="00FD6C44"/>
    <w:rsid w:val="00FD70AE"/>
    <w:rsid w:val="00FD7356"/>
    <w:rsid w:val="00FD7499"/>
    <w:rsid w:val="00FD7564"/>
    <w:rsid w:val="00FD774D"/>
    <w:rsid w:val="00FE002E"/>
    <w:rsid w:val="00FE04B0"/>
    <w:rsid w:val="00FE0856"/>
    <w:rsid w:val="00FE16B7"/>
    <w:rsid w:val="00FE1AFB"/>
    <w:rsid w:val="00FE1C69"/>
    <w:rsid w:val="00FE2398"/>
    <w:rsid w:val="00FE2435"/>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43E"/>
    <w:rsid w:val="00FF2B42"/>
    <w:rsid w:val="00FF2F4F"/>
    <w:rsid w:val="00FF3B32"/>
    <w:rsid w:val="00FF3B7F"/>
    <w:rsid w:val="00FF3C4D"/>
    <w:rsid w:val="00FF4285"/>
    <w:rsid w:val="00FF44A3"/>
    <w:rsid w:val="00FF52B4"/>
    <w:rsid w:val="00FF5600"/>
    <w:rsid w:val="00FF5CDC"/>
    <w:rsid w:val="00FF6822"/>
    <w:rsid w:val="00FF6839"/>
    <w:rsid w:val="00FF73D0"/>
    <w:rsid w:val="014992EE"/>
    <w:rsid w:val="0159C916"/>
    <w:rsid w:val="015FA51A"/>
    <w:rsid w:val="019ED8CB"/>
    <w:rsid w:val="019EE622"/>
    <w:rsid w:val="01B602C7"/>
    <w:rsid w:val="01D1FAF2"/>
    <w:rsid w:val="01D4637E"/>
    <w:rsid w:val="020EE199"/>
    <w:rsid w:val="0235F8FF"/>
    <w:rsid w:val="027E3AEA"/>
    <w:rsid w:val="02BC7DFD"/>
    <w:rsid w:val="02D39862"/>
    <w:rsid w:val="02DE5D22"/>
    <w:rsid w:val="030023B5"/>
    <w:rsid w:val="031D0665"/>
    <w:rsid w:val="035772D2"/>
    <w:rsid w:val="0384F089"/>
    <w:rsid w:val="04068A1C"/>
    <w:rsid w:val="04134837"/>
    <w:rsid w:val="041CEF1C"/>
    <w:rsid w:val="042A6884"/>
    <w:rsid w:val="0442E8F0"/>
    <w:rsid w:val="04651D9E"/>
    <w:rsid w:val="04799965"/>
    <w:rsid w:val="04B22224"/>
    <w:rsid w:val="04E7A101"/>
    <w:rsid w:val="04EAF65E"/>
    <w:rsid w:val="052F2314"/>
    <w:rsid w:val="054E90A4"/>
    <w:rsid w:val="0597BEED"/>
    <w:rsid w:val="060AB5E2"/>
    <w:rsid w:val="0636E036"/>
    <w:rsid w:val="06A52D4E"/>
    <w:rsid w:val="06B20E52"/>
    <w:rsid w:val="06BF83CF"/>
    <w:rsid w:val="06CAF8D3"/>
    <w:rsid w:val="07376A3E"/>
    <w:rsid w:val="07491CE7"/>
    <w:rsid w:val="074EAE4E"/>
    <w:rsid w:val="0755BC9F"/>
    <w:rsid w:val="0775F1CE"/>
    <w:rsid w:val="078449A1"/>
    <w:rsid w:val="0801889B"/>
    <w:rsid w:val="082FDDFE"/>
    <w:rsid w:val="0848B549"/>
    <w:rsid w:val="0855C8FC"/>
    <w:rsid w:val="08E00018"/>
    <w:rsid w:val="08E1D3D7"/>
    <w:rsid w:val="09060B15"/>
    <w:rsid w:val="090634B1"/>
    <w:rsid w:val="090AE063"/>
    <w:rsid w:val="09244B64"/>
    <w:rsid w:val="0936ADD1"/>
    <w:rsid w:val="09AB4E26"/>
    <w:rsid w:val="09CA9352"/>
    <w:rsid w:val="0A381FB1"/>
    <w:rsid w:val="0A72FE20"/>
    <w:rsid w:val="0A8EB451"/>
    <w:rsid w:val="0B1987E7"/>
    <w:rsid w:val="0B2705BA"/>
    <w:rsid w:val="0B286C70"/>
    <w:rsid w:val="0B7016B9"/>
    <w:rsid w:val="0BA69070"/>
    <w:rsid w:val="0C35FAEE"/>
    <w:rsid w:val="0C394527"/>
    <w:rsid w:val="0C59CECB"/>
    <w:rsid w:val="0C6D817F"/>
    <w:rsid w:val="0C879BCD"/>
    <w:rsid w:val="0CCD24F5"/>
    <w:rsid w:val="0CD002A5"/>
    <w:rsid w:val="0CE4CD6C"/>
    <w:rsid w:val="0CECBFE2"/>
    <w:rsid w:val="0D66ADE3"/>
    <w:rsid w:val="0D93923E"/>
    <w:rsid w:val="0DE9CB36"/>
    <w:rsid w:val="0DFB7CC2"/>
    <w:rsid w:val="0E0183C3"/>
    <w:rsid w:val="0E091C64"/>
    <w:rsid w:val="0E691980"/>
    <w:rsid w:val="0E823BFC"/>
    <w:rsid w:val="0EC08ADC"/>
    <w:rsid w:val="0EE4A94A"/>
    <w:rsid w:val="0F0C7237"/>
    <w:rsid w:val="0F3F8631"/>
    <w:rsid w:val="0F864422"/>
    <w:rsid w:val="0FB15236"/>
    <w:rsid w:val="0FB714BA"/>
    <w:rsid w:val="0FD22B7D"/>
    <w:rsid w:val="0FE2EB27"/>
    <w:rsid w:val="1004E9E1"/>
    <w:rsid w:val="101C6E2E"/>
    <w:rsid w:val="101DD52F"/>
    <w:rsid w:val="1058DC18"/>
    <w:rsid w:val="109C3426"/>
    <w:rsid w:val="10C3DCBF"/>
    <w:rsid w:val="10D62D28"/>
    <w:rsid w:val="11282FCE"/>
    <w:rsid w:val="1178D631"/>
    <w:rsid w:val="119CB912"/>
    <w:rsid w:val="11BE6E5F"/>
    <w:rsid w:val="122D069A"/>
    <w:rsid w:val="12AF68B3"/>
    <w:rsid w:val="12C6B81E"/>
    <w:rsid w:val="12D98CD0"/>
    <w:rsid w:val="12DD1CDE"/>
    <w:rsid w:val="1382BC23"/>
    <w:rsid w:val="139711A7"/>
    <w:rsid w:val="13D819B1"/>
    <w:rsid w:val="13DD0D8B"/>
    <w:rsid w:val="14185CBF"/>
    <w:rsid w:val="14517F17"/>
    <w:rsid w:val="14E6539C"/>
    <w:rsid w:val="14F13F4A"/>
    <w:rsid w:val="151A6B42"/>
    <w:rsid w:val="15394DCF"/>
    <w:rsid w:val="1539A529"/>
    <w:rsid w:val="1543AC19"/>
    <w:rsid w:val="15964E90"/>
    <w:rsid w:val="159FE597"/>
    <w:rsid w:val="15CD2A66"/>
    <w:rsid w:val="15D9FACE"/>
    <w:rsid w:val="15DCC841"/>
    <w:rsid w:val="16138271"/>
    <w:rsid w:val="16250F47"/>
    <w:rsid w:val="167F0A65"/>
    <w:rsid w:val="168DCE62"/>
    <w:rsid w:val="16BB5B86"/>
    <w:rsid w:val="17361E82"/>
    <w:rsid w:val="17519E01"/>
    <w:rsid w:val="1752EC1F"/>
    <w:rsid w:val="17CD4D98"/>
    <w:rsid w:val="17E0041D"/>
    <w:rsid w:val="1814584C"/>
    <w:rsid w:val="18300178"/>
    <w:rsid w:val="1831B178"/>
    <w:rsid w:val="18829546"/>
    <w:rsid w:val="18B4A8BD"/>
    <w:rsid w:val="18B51D6D"/>
    <w:rsid w:val="18D0DA96"/>
    <w:rsid w:val="18DD9C63"/>
    <w:rsid w:val="1930C31C"/>
    <w:rsid w:val="1956037C"/>
    <w:rsid w:val="1957C570"/>
    <w:rsid w:val="19A36CEF"/>
    <w:rsid w:val="1A5C8AE8"/>
    <w:rsid w:val="1AA7CF3C"/>
    <w:rsid w:val="1AD7B072"/>
    <w:rsid w:val="1B4E5E09"/>
    <w:rsid w:val="1BAEC3EB"/>
    <w:rsid w:val="1BDC6CA3"/>
    <w:rsid w:val="1BE9D478"/>
    <w:rsid w:val="1C4D453B"/>
    <w:rsid w:val="1C5D019D"/>
    <w:rsid w:val="1C8943AE"/>
    <w:rsid w:val="1C93B66F"/>
    <w:rsid w:val="1CC5F1C7"/>
    <w:rsid w:val="1CE65A05"/>
    <w:rsid w:val="1D2ACDA5"/>
    <w:rsid w:val="1D65B20C"/>
    <w:rsid w:val="1D9A65F5"/>
    <w:rsid w:val="1DFF9B6C"/>
    <w:rsid w:val="1E21B858"/>
    <w:rsid w:val="1E323196"/>
    <w:rsid w:val="1E56712A"/>
    <w:rsid w:val="1E5BBA39"/>
    <w:rsid w:val="1E5DA718"/>
    <w:rsid w:val="1E5DE5A1"/>
    <w:rsid w:val="1E653C23"/>
    <w:rsid w:val="1E9C938C"/>
    <w:rsid w:val="1ECA0D67"/>
    <w:rsid w:val="1EDB00D3"/>
    <w:rsid w:val="1F4563E9"/>
    <w:rsid w:val="1F4BBF11"/>
    <w:rsid w:val="1F6E01E8"/>
    <w:rsid w:val="1F883DA6"/>
    <w:rsid w:val="1FCFA978"/>
    <w:rsid w:val="1FD07E40"/>
    <w:rsid w:val="1FEFF59F"/>
    <w:rsid w:val="1FF85C29"/>
    <w:rsid w:val="2033A726"/>
    <w:rsid w:val="203599BA"/>
    <w:rsid w:val="20AC6537"/>
    <w:rsid w:val="20D90137"/>
    <w:rsid w:val="21394C16"/>
    <w:rsid w:val="2142C2E1"/>
    <w:rsid w:val="21558E8F"/>
    <w:rsid w:val="21B7F240"/>
    <w:rsid w:val="221E4355"/>
    <w:rsid w:val="226B44F0"/>
    <w:rsid w:val="2278846B"/>
    <w:rsid w:val="228BF490"/>
    <w:rsid w:val="228C9AD8"/>
    <w:rsid w:val="22CC748A"/>
    <w:rsid w:val="22D51C77"/>
    <w:rsid w:val="22F4E197"/>
    <w:rsid w:val="234DF9B6"/>
    <w:rsid w:val="2354F0A0"/>
    <w:rsid w:val="2397F9D1"/>
    <w:rsid w:val="23EE092C"/>
    <w:rsid w:val="23EEFC24"/>
    <w:rsid w:val="23F21C84"/>
    <w:rsid w:val="2409A779"/>
    <w:rsid w:val="245CB2C6"/>
    <w:rsid w:val="248DB6CD"/>
    <w:rsid w:val="24B93A8E"/>
    <w:rsid w:val="24D63EC2"/>
    <w:rsid w:val="24E7147A"/>
    <w:rsid w:val="24F8BD7F"/>
    <w:rsid w:val="25310F20"/>
    <w:rsid w:val="254188F4"/>
    <w:rsid w:val="255538A2"/>
    <w:rsid w:val="259C946F"/>
    <w:rsid w:val="25BB39E1"/>
    <w:rsid w:val="25BE8212"/>
    <w:rsid w:val="25D840AE"/>
    <w:rsid w:val="25DB8A20"/>
    <w:rsid w:val="25E601FC"/>
    <w:rsid w:val="2625B804"/>
    <w:rsid w:val="2628064D"/>
    <w:rsid w:val="262C0256"/>
    <w:rsid w:val="263F06DC"/>
    <w:rsid w:val="265572CE"/>
    <w:rsid w:val="267432AF"/>
    <w:rsid w:val="2674F573"/>
    <w:rsid w:val="27339D8E"/>
    <w:rsid w:val="277F8A88"/>
    <w:rsid w:val="2787E27E"/>
    <w:rsid w:val="278B86F9"/>
    <w:rsid w:val="27DC7AD8"/>
    <w:rsid w:val="284627E0"/>
    <w:rsid w:val="28B4E941"/>
    <w:rsid w:val="28F622D4"/>
    <w:rsid w:val="290FC7F1"/>
    <w:rsid w:val="2920F65E"/>
    <w:rsid w:val="2970F646"/>
    <w:rsid w:val="29DC8C42"/>
    <w:rsid w:val="29ECE161"/>
    <w:rsid w:val="2A7D11B5"/>
    <w:rsid w:val="2A967BC5"/>
    <w:rsid w:val="2A9AA534"/>
    <w:rsid w:val="2AB40ED4"/>
    <w:rsid w:val="2ABD0831"/>
    <w:rsid w:val="2B00F20E"/>
    <w:rsid w:val="2B143ECC"/>
    <w:rsid w:val="2B1A2543"/>
    <w:rsid w:val="2B240874"/>
    <w:rsid w:val="2B5E85A0"/>
    <w:rsid w:val="2B764B2C"/>
    <w:rsid w:val="2BA2A488"/>
    <w:rsid w:val="2BB770FA"/>
    <w:rsid w:val="2C189768"/>
    <w:rsid w:val="2C53865F"/>
    <w:rsid w:val="2C807A5A"/>
    <w:rsid w:val="2C88027E"/>
    <w:rsid w:val="2CA6D672"/>
    <w:rsid w:val="2CC79C0A"/>
    <w:rsid w:val="2CF64E74"/>
    <w:rsid w:val="2D2E8148"/>
    <w:rsid w:val="2D3297DB"/>
    <w:rsid w:val="2D527C3C"/>
    <w:rsid w:val="2D6FC1B0"/>
    <w:rsid w:val="2D70C145"/>
    <w:rsid w:val="2D79F02C"/>
    <w:rsid w:val="2DB99923"/>
    <w:rsid w:val="2E21F9E2"/>
    <w:rsid w:val="2E4FF303"/>
    <w:rsid w:val="2E6A0A34"/>
    <w:rsid w:val="2EA90463"/>
    <w:rsid w:val="2EAE3276"/>
    <w:rsid w:val="2EC36B5B"/>
    <w:rsid w:val="2ED523C1"/>
    <w:rsid w:val="2F0B91ED"/>
    <w:rsid w:val="2F542E54"/>
    <w:rsid w:val="2F5FF859"/>
    <w:rsid w:val="2F976B28"/>
    <w:rsid w:val="2FEAE8A9"/>
    <w:rsid w:val="301356AC"/>
    <w:rsid w:val="302DEF36"/>
    <w:rsid w:val="30474592"/>
    <w:rsid w:val="30639A73"/>
    <w:rsid w:val="308E67D0"/>
    <w:rsid w:val="30A215E7"/>
    <w:rsid w:val="30B29BEA"/>
    <w:rsid w:val="30C3A4EB"/>
    <w:rsid w:val="30DCD599"/>
    <w:rsid w:val="311622E9"/>
    <w:rsid w:val="3171E1E6"/>
    <w:rsid w:val="318A53F1"/>
    <w:rsid w:val="31F06902"/>
    <w:rsid w:val="31F37691"/>
    <w:rsid w:val="322213C5"/>
    <w:rsid w:val="3261EF1A"/>
    <w:rsid w:val="328CC3C4"/>
    <w:rsid w:val="329C6675"/>
    <w:rsid w:val="32C93D6D"/>
    <w:rsid w:val="32F85500"/>
    <w:rsid w:val="33836E88"/>
    <w:rsid w:val="338C5D43"/>
    <w:rsid w:val="33C8F459"/>
    <w:rsid w:val="34175D95"/>
    <w:rsid w:val="3428D6D0"/>
    <w:rsid w:val="343FC163"/>
    <w:rsid w:val="34A3D4AB"/>
    <w:rsid w:val="351AD35B"/>
    <w:rsid w:val="35236DC9"/>
    <w:rsid w:val="357C67E0"/>
    <w:rsid w:val="357FA068"/>
    <w:rsid w:val="359C1D6C"/>
    <w:rsid w:val="35C79022"/>
    <w:rsid w:val="35C969EA"/>
    <w:rsid w:val="35E7068A"/>
    <w:rsid w:val="35E7F976"/>
    <w:rsid w:val="3617ACB1"/>
    <w:rsid w:val="361990FE"/>
    <w:rsid w:val="369A9F59"/>
    <w:rsid w:val="36C3FE05"/>
    <w:rsid w:val="371EE77C"/>
    <w:rsid w:val="37585C0D"/>
    <w:rsid w:val="3760C84F"/>
    <w:rsid w:val="3806C2AA"/>
    <w:rsid w:val="3822E927"/>
    <w:rsid w:val="38D944C2"/>
    <w:rsid w:val="3954CE57"/>
    <w:rsid w:val="398BFB24"/>
    <w:rsid w:val="39941F7F"/>
    <w:rsid w:val="399B0AAC"/>
    <w:rsid w:val="39B24CA4"/>
    <w:rsid w:val="39E6DE96"/>
    <w:rsid w:val="3A251964"/>
    <w:rsid w:val="3A541842"/>
    <w:rsid w:val="3A8B12AF"/>
    <w:rsid w:val="3B0FC0C5"/>
    <w:rsid w:val="3B382088"/>
    <w:rsid w:val="3BA48BF1"/>
    <w:rsid w:val="3BC59F04"/>
    <w:rsid w:val="3BD05031"/>
    <w:rsid w:val="3BD6B5AE"/>
    <w:rsid w:val="3C055B73"/>
    <w:rsid w:val="3C6146C9"/>
    <w:rsid w:val="3CC74C6A"/>
    <w:rsid w:val="3CEFD7CE"/>
    <w:rsid w:val="3D0779D0"/>
    <w:rsid w:val="3D276187"/>
    <w:rsid w:val="3D532581"/>
    <w:rsid w:val="3D8CA23F"/>
    <w:rsid w:val="3D99AC9B"/>
    <w:rsid w:val="3DF5D056"/>
    <w:rsid w:val="3EAE9926"/>
    <w:rsid w:val="3EC1D489"/>
    <w:rsid w:val="3EF2DFD3"/>
    <w:rsid w:val="3F08723D"/>
    <w:rsid w:val="3F2E0E5F"/>
    <w:rsid w:val="3F8E0CFA"/>
    <w:rsid w:val="3FD1B0CF"/>
    <w:rsid w:val="3FFD6F22"/>
    <w:rsid w:val="404B2CB1"/>
    <w:rsid w:val="40DEC136"/>
    <w:rsid w:val="40ED9E10"/>
    <w:rsid w:val="40F1A913"/>
    <w:rsid w:val="412BFC81"/>
    <w:rsid w:val="413C8D0E"/>
    <w:rsid w:val="4142D9BC"/>
    <w:rsid w:val="414F52F9"/>
    <w:rsid w:val="41669BBA"/>
    <w:rsid w:val="4194FBE2"/>
    <w:rsid w:val="41AC5CA5"/>
    <w:rsid w:val="41AC7BC0"/>
    <w:rsid w:val="41CF953F"/>
    <w:rsid w:val="41D23A49"/>
    <w:rsid w:val="41D268AD"/>
    <w:rsid w:val="41D618AE"/>
    <w:rsid w:val="42357645"/>
    <w:rsid w:val="42870FC1"/>
    <w:rsid w:val="428FDE55"/>
    <w:rsid w:val="429B74C2"/>
    <w:rsid w:val="42B4E3E4"/>
    <w:rsid w:val="42FF66B7"/>
    <w:rsid w:val="42FFD52E"/>
    <w:rsid w:val="4310F645"/>
    <w:rsid w:val="43496091"/>
    <w:rsid w:val="436D9048"/>
    <w:rsid w:val="4388F012"/>
    <w:rsid w:val="43A9008F"/>
    <w:rsid w:val="44D2F08F"/>
    <w:rsid w:val="452993DB"/>
    <w:rsid w:val="45D6739D"/>
    <w:rsid w:val="45DF501A"/>
    <w:rsid w:val="45E165FE"/>
    <w:rsid w:val="461A4EDD"/>
    <w:rsid w:val="46370779"/>
    <w:rsid w:val="466544AB"/>
    <w:rsid w:val="46715AE7"/>
    <w:rsid w:val="467FEEE4"/>
    <w:rsid w:val="46B8FD95"/>
    <w:rsid w:val="46C2BAC4"/>
    <w:rsid w:val="471BA7CE"/>
    <w:rsid w:val="471F1296"/>
    <w:rsid w:val="47284505"/>
    <w:rsid w:val="474F6C06"/>
    <w:rsid w:val="477E112F"/>
    <w:rsid w:val="47B0A32C"/>
    <w:rsid w:val="47C60715"/>
    <w:rsid w:val="47CF1C8B"/>
    <w:rsid w:val="47F16E62"/>
    <w:rsid w:val="48095FD3"/>
    <w:rsid w:val="4818AE02"/>
    <w:rsid w:val="484110FC"/>
    <w:rsid w:val="4864648A"/>
    <w:rsid w:val="486F3694"/>
    <w:rsid w:val="488A79D2"/>
    <w:rsid w:val="48C1A7B5"/>
    <w:rsid w:val="48C5ACDD"/>
    <w:rsid w:val="48D1D0F5"/>
    <w:rsid w:val="48EE41E8"/>
    <w:rsid w:val="49188259"/>
    <w:rsid w:val="494C738D"/>
    <w:rsid w:val="495DD721"/>
    <w:rsid w:val="4A076C58"/>
    <w:rsid w:val="4A2388C9"/>
    <w:rsid w:val="4A37A258"/>
    <w:rsid w:val="4A72F69E"/>
    <w:rsid w:val="4A8CC666"/>
    <w:rsid w:val="4BC2F23F"/>
    <w:rsid w:val="4BE38797"/>
    <w:rsid w:val="4C3FCAF4"/>
    <w:rsid w:val="4C57DC44"/>
    <w:rsid w:val="4C91D5D6"/>
    <w:rsid w:val="4CB1C76C"/>
    <w:rsid w:val="4CC3652D"/>
    <w:rsid w:val="4D088EB8"/>
    <w:rsid w:val="4D3AA773"/>
    <w:rsid w:val="4DD38402"/>
    <w:rsid w:val="4E25B6A5"/>
    <w:rsid w:val="4EA1AE60"/>
    <w:rsid w:val="4F9900FF"/>
    <w:rsid w:val="4FC18706"/>
    <w:rsid w:val="503CA49E"/>
    <w:rsid w:val="50548C5E"/>
    <w:rsid w:val="509AA4FA"/>
    <w:rsid w:val="50B0A964"/>
    <w:rsid w:val="517C219D"/>
    <w:rsid w:val="51AB8C83"/>
    <w:rsid w:val="5221E90A"/>
    <w:rsid w:val="527B86E8"/>
    <w:rsid w:val="5284544C"/>
    <w:rsid w:val="528A9AFE"/>
    <w:rsid w:val="52A1FBE9"/>
    <w:rsid w:val="52B8D02C"/>
    <w:rsid w:val="52C0C3D6"/>
    <w:rsid w:val="52CE4DDF"/>
    <w:rsid w:val="52EF2B3C"/>
    <w:rsid w:val="5336B592"/>
    <w:rsid w:val="536A84C1"/>
    <w:rsid w:val="5386706C"/>
    <w:rsid w:val="53899CD4"/>
    <w:rsid w:val="53C602E3"/>
    <w:rsid w:val="54ADCB8A"/>
    <w:rsid w:val="54F9B2E5"/>
    <w:rsid w:val="54FC8DC6"/>
    <w:rsid w:val="5561D344"/>
    <w:rsid w:val="55AF3D9E"/>
    <w:rsid w:val="55DE95E7"/>
    <w:rsid w:val="55EE4CD0"/>
    <w:rsid w:val="55F86498"/>
    <w:rsid w:val="567CBA26"/>
    <w:rsid w:val="5694BFF7"/>
    <w:rsid w:val="56A85F8C"/>
    <w:rsid w:val="571976A5"/>
    <w:rsid w:val="57249423"/>
    <w:rsid w:val="5729F63A"/>
    <w:rsid w:val="577A6648"/>
    <w:rsid w:val="579931FC"/>
    <w:rsid w:val="57A0F5D7"/>
    <w:rsid w:val="57AC006A"/>
    <w:rsid w:val="57F16698"/>
    <w:rsid w:val="58053C78"/>
    <w:rsid w:val="5807D335"/>
    <w:rsid w:val="58350670"/>
    <w:rsid w:val="58460E82"/>
    <w:rsid w:val="58478143"/>
    <w:rsid w:val="58D21CF5"/>
    <w:rsid w:val="58D668B2"/>
    <w:rsid w:val="58F13C07"/>
    <w:rsid w:val="590E33F7"/>
    <w:rsid w:val="591D47B6"/>
    <w:rsid w:val="593B07B1"/>
    <w:rsid w:val="59533C32"/>
    <w:rsid w:val="5984C8A6"/>
    <w:rsid w:val="599DF73C"/>
    <w:rsid w:val="59B0307C"/>
    <w:rsid w:val="59BC7774"/>
    <w:rsid w:val="59D168B7"/>
    <w:rsid w:val="59F2EF3C"/>
    <w:rsid w:val="5A36917C"/>
    <w:rsid w:val="5A3D31ED"/>
    <w:rsid w:val="5A50C5F7"/>
    <w:rsid w:val="5A5F669B"/>
    <w:rsid w:val="5A9264A9"/>
    <w:rsid w:val="5AE0A15F"/>
    <w:rsid w:val="5AFABE25"/>
    <w:rsid w:val="5B194C69"/>
    <w:rsid w:val="5B34718B"/>
    <w:rsid w:val="5B62A852"/>
    <w:rsid w:val="5BEB6D22"/>
    <w:rsid w:val="5C34AF0E"/>
    <w:rsid w:val="5C401B31"/>
    <w:rsid w:val="5C4D9F84"/>
    <w:rsid w:val="5C8993BF"/>
    <w:rsid w:val="5D1B26A8"/>
    <w:rsid w:val="5D3DDB90"/>
    <w:rsid w:val="5D7ADDF6"/>
    <w:rsid w:val="5E1474C3"/>
    <w:rsid w:val="5E1EE1C8"/>
    <w:rsid w:val="5E347068"/>
    <w:rsid w:val="5E664A19"/>
    <w:rsid w:val="5E9EFF95"/>
    <w:rsid w:val="5EEE869B"/>
    <w:rsid w:val="5F449ACB"/>
    <w:rsid w:val="5F4A2117"/>
    <w:rsid w:val="5F50CF7C"/>
    <w:rsid w:val="5F655252"/>
    <w:rsid w:val="5FB3647C"/>
    <w:rsid w:val="5FC13481"/>
    <w:rsid w:val="5FC60B7F"/>
    <w:rsid w:val="5FD0FE9F"/>
    <w:rsid w:val="6012389C"/>
    <w:rsid w:val="60458419"/>
    <w:rsid w:val="607E5EEF"/>
    <w:rsid w:val="60B1F3CA"/>
    <w:rsid w:val="60B6D4B0"/>
    <w:rsid w:val="60DCCA63"/>
    <w:rsid w:val="6111681F"/>
    <w:rsid w:val="612234B6"/>
    <w:rsid w:val="6126EBE5"/>
    <w:rsid w:val="6164EFCA"/>
    <w:rsid w:val="6186FA56"/>
    <w:rsid w:val="619BC88B"/>
    <w:rsid w:val="61F632BB"/>
    <w:rsid w:val="621AB540"/>
    <w:rsid w:val="6255D3A4"/>
    <w:rsid w:val="626F4137"/>
    <w:rsid w:val="62705777"/>
    <w:rsid w:val="6295F945"/>
    <w:rsid w:val="62B89000"/>
    <w:rsid w:val="62BD677D"/>
    <w:rsid w:val="62DC05D4"/>
    <w:rsid w:val="62F7F07D"/>
    <w:rsid w:val="63160057"/>
    <w:rsid w:val="6345F850"/>
    <w:rsid w:val="634BB724"/>
    <w:rsid w:val="636DBA37"/>
    <w:rsid w:val="63A9DE64"/>
    <w:rsid w:val="63E0544A"/>
    <w:rsid w:val="63E41433"/>
    <w:rsid w:val="6433D473"/>
    <w:rsid w:val="6435B0C0"/>
    <w:rsid w:val="644307FD"/>
    <w:rsid w:val="64621BCC"/>
    <w:rsid w:val="64715B15"/>
    <w:rsid w:val="64A70652"/>
    <w:rsid w:val="64B339B5"/>
    <w:rsid w:val="64DE6510"/>
    <w:rsid w:val="64F11837"/>
    <w:rsid w:val="655187F5"/>
    <w:rsid w:val="6574B8B6"/>
    <w:rsid w:val="657FE494"/>
    <w:rsid w:val="6589FF68"/>
    <w:rsid w:val="65F2DADA"/>
    <w:rsid w:val="65FA5D08"/>
    <w:rsid w:val="660AF28F"/>
    <w:rsid w:val="660B1AE8"/>
    <w:rsid w:val="661DA022"/>
    <w:rsid w:val="66241F22"/>
    <w:rsid w:val="663FEE13"/>
    <w:rsid w:val="666BBA01"/>
    <w:rsid w:val="66A120E6"/>
    <w:rsid w:val="67028C98"/>
    <w:rsid w:val="6737F556"/>
    <w:rsid w:val="676844DB"/>
    <w:rsid w:val="67692A97"/>
    <w:rsid w:val="677FF44B"/>
    <w:rsid w:val="6782C03F"/>
    <w:rsid w:val="679650D0"/>
    <w:rsid w:val="67E1C130"/>
    <w:rsid w:val="67F2CA31"/>
    <w:rsid w:val="6839D647"/>
    <w:rsid w:val="68B6DEB4"/>
    <w:rsid w:val="692D1034"/>
    <w:rsid w:val="693681E4"/>
    <w:rsid w:val="694E16AA"/>
    <w:rsid w:val="69FB0532"/>
    <w:rsid w:val="6A0F4C00"/>
    <w:rsid w:val="6A28E43D"/>
    <w:rsid w:val="6A3F6CA8"/>
    <w:rsid w:val="6A869138"/>
    <w:rsid w:val="6AAFA943"/>
    <w:rsid w:val="6B04514E"/>
    <w:rsid w:val="6B36254E"/>
    <w:rsid w:val="6BAE1C57"/>
    <w:rsid w:val="6C77C2B6"/>
    <w:rsid w:val="6C7C6CFA"/>
    <w:rsid w:val="6CB2961A"/>
    <w:rsid w:val="6CF53654"/>
    <w:rsid w:val="6D33736B"/>
    <w:rsid w:val="6D940B13"/>
    <w:rsid w:val="6DB64338"/>
    <w:rsid w:val="6DC21DA3"/>
    <w:rsid w:val="6E007112"/>
    <w:rsid w:val="6E0E04FE"/>
    <w:rsid w:val="6E274816"/>
    <w:rsid w:val="6E437570"/>
    <w:rsid w:val="6E488F01"/>
    <w:rsid w:val="6E845F8B"/>
    <w:rsid w:val="6E84C80C"/>
    <w:rsid w:val="6E8CAABD"/>
    <w:rsid w:val="6EB685C6"/>
    <w:rsid w:val="6ED2393A"/>
    <w:rsid w:val="6EE93DDE"/>
    <w:rsid w:val="6F10E6CA"/>
    <w:rsid w:val="6F77168E"/>
    <w:rsid w:val="6F98CC5E"/>
    <w:rsid w:val="6FC55675"/>
    <w:rsid w:val="6FE300D6"/>
    <w:rsid w:val="6FFCC35A"/>
    <w:rsid w:val="70230E7E"/>
    <w:rsid w:val="70874DF3"/>
    <w:rsid w:val="71068561"/>
    <w:rsid w:val="712B8E56"/>
    <w:rsid w:val="714FDE1D"/>
    <w:rsid w:val="71778BE6"/>
    <w:rsid w:val="71BF0A12"/>
    <w:rsid w:val="71FBD600"/>
    <w:rsid w:val="72486474"/>
    <w:rsid w:val="724D2CC5"/>
    <w:rsid w:val="7289206A"/>
    <w:rsid w:val="72A4E933"/>
    <w:rsid w:val="72B7B4FD"/>
    <w:rsid w:val="73010D85"/>
    <w:rsid w:val="738ADDDA"/>
    <w:rsid w:val="73A2A152"/>
    <w:rsid w:val="73CC094D"/>
    <w:rsid w:val="73CF88EE"/>
    <w:rsid w:val="73FB8512"/>
    <w:rsid w:val="742E1254"/>
    <w:rsid w:val="745AE22A"/>
    <w:rsid w:val="7470C8F4"/>
    <w:rsid w:val="74A0363B"/>
    <w:rsid w:val="74F27918"/>
    <w:rsid w:val="751ED241"/>
    <w:rsid w:val="7547846E"/>
    <w:rsid w:val="757FE8F7"/>
    <w:rsid w:val="7584CD87"/>
    <w:rsid w:val="7586C777"/>
    <w:rsid w:val="75B3BEC4"/>
    <w:rsid w:val="75DBBA6C"/>
    <w:rsid w:val="76355EF8"/>
    <w:rsid w:val="763D6AA3"/>
    <w:rsid w:val="7679C243"/>
    <w:rsid w:val="771E0A82"/>
    <w:rsid w:val="771E8AED"/>
    <w:rsid w:val="7750D5BC"/>
    <w:rsid w:val="77D46844"/>
    <w:rsid w:val="77EDBC4D"/>
    <w:rsid w:val="78153B3C"/>
    <w:rsid w:val="783D9C2F"/>
    <w:rsid w:val="785B8A92"/>
    <w:rsid w:val="78775708"/>
    <w:rsid w:val="78822E66"/>
    <w:rsid w:val="788E0EC6"/>
    <w:rsid w:val="78A13A27"/>
    <w:rsid w:val="79135B2E"/>
    <w:rsid w:val="795CEAE4"/>
    <w:rsid w:val="79A9C7E3"/>
    <w:rsid w:val="79DD54B1"/>
    <w:rsid w:val="7A83F321"/>
    <w:rsid w:val="7A87BD27"/>
    <w:rsid w:val="7AE8175D"/>
    <w:rsid w:val="7B1F4704"/>
    <w:rsid w:val="7B35AC0B"/>
    <w:rsid w:val="7C4DE7B7"/>
    <w:rsid w:val="7C9383CA"/>
    <w:rsid w:val="7CAAB5A9"/>
    <w:rsid w:val="7CACFC3A"/>
    <w:rsid w:val="7CB85CDA"/>
    <w:rsid w:val="7D1ADBE1"/>
    <w:rsid w:val="7D38A309"/>
    <w:rsid w:val="7DBA6B5D"/>
    <w:rsid w:val="7DC54039"/>
    <w:rsid w:val="7DE62F57"/>
    <w:rsid w:val="7DF62A7B"/>
    <w:rsid w:val="7E39BDDA"/>
    <w:rsid w:val="7E542D3B"/>
    <w:rsid w:val="7E689210"/>
    <w:rsid w:val="7E6F1404"/>
    <w:rsid w:val="7ED3DB03"/>
    <w:rsid w:val="7ED76199"/>
    <w:rsid w:val="7F02D03D"/>
    <w:rsid w:val="7F46EA7E"/>
    <w:rsid w:val="7F72770F"/>
    <w:rsid w:val="7FA48BAA"/>
    <w:rsid w:val="7FD16FD4"/>
    <w:rsid w:val="7FD21F0C"/>
    <w:rsid w:val="7FE37D1F"/>
    <w:rsid w:val="7FF8EC57"/>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F22461EB-554C-448F-8DD4-883C46E31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5"/>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bchar">
    <w:name w:val="tabchar"/>
    <w:basedOn w:val="DefaultParagraphFont"/>
    <w:rsid w:val="00D26766"/>
  </w:style>
  <w:style w:type="character" w:customStyle="1" w:styleId="mathspan">
    <w:name w:val="mathspan"/>
    <w:basedOn w:val="DefaultParagraphFont"/>
    <w:rsid w:val="00313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445738">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9255149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906051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58174">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496742">
      <w:bodyDiv w:val="1"/>
      <w:marLeft w:val="0"/>
      <w:marRight w:val="0"/>
      <w:marTop w:val="0"/>
      <w:marBottom w:val="0"/>
      <w:divBdr>
        <w:top w:val="none" w:sz="0" w:space="0" w:color="auto"/>
        <w:left w:val="none" w:sz="0" w:space="0" w:color="auto"/>
        <w:bottom w:val="none" w:sz="0" w:space="0" w:color="auto"/>
        <w:right w:val="none" w:sz="0" w:space="0" w:color="auto"/>
      </w:divBdr>
      <w:divsChild>
        <w:div w:id="852302965">
          <w:marLeft w:val="0"/>
          <w:marRight w:val="0"/>
          <w:marTop w:val="0"/>
          <w:marBottom w:val="0"/>
          <w:divBdr>
            <w:top w:val="none" w:sz="0" w:space="0" w:color="auto"/>
            <w:left w:val="none" w:sz="0" w:space="0" w:color="auto"/>
            <w:bottom w:val="none" w:sz="0" w:space="0" w:color="auto"/>
            <w:right w:val="none" w:sz="0" w:space="0" w:color="auto"/>
          </w:divBdr>
        </w:div>
      </w:divsChild>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70801212">
      <w:bodyDiv w:val="1"/>
      <w:marLeft w:val="0"/>
      <w:marRight w:val="0"/>
      <w:marTop w:val="0"/>
      <w:marBottom w:val="0"/>
      <w:divBdr>
        <w:top w:val="none" w:sz="0" w:space="0" w:color="auto"/>
        <w:left w:val="none" w:sz="0" w:space="0" w:color="auto"/>
        <w:bottom w:val="none" w:sz="0" w:space="0" w:color="auto"/>
        <w:right w:val="none" w:sz="0" w:space="0" w:color="auto"/>
      </w:divBdr>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1877822">
      <w:bodyDiv w:val="1"/>
      <w:marLeft w:val="0"/>
      <w:marRight w:val="0"/>
      <w:marTop w:val="0"/>
      <w:marBottom w:val="0"/>
      <w:divBdr>
        <w:top w:val="none" w:sz="0" w:space="0" w:color="auto"/>
        <w:left w:val="none" w:sz="0" w:space="0" w:color="auto"/>
        <w:bottom w:val="none" w:sz="0" w:space="0" w:color="auto"/>
        <w:right w:val="none" w:sz="0" w:space="0" w:color="auto"/>
      </w:divBdr>
      <w:divsChild>
        <w:div w:id="307052128">
          <w:marLeft w:val="0"/>
          <w:marRight w:val="0"/>
          <w:marTop w:val="0"/>
          <w:marBottom w:val="0"/>
          <w:divBdr>
            <w:top w:val="none" w:sz="0" w:space="0" w:color="auto"/>
            <w:left w:val="none" w:sz="0" w:space="0" w:color="auto"/>
            <w:bottom w:val="none" w:sz="0" w:space="0" w:color="auto"/>
            <w:right w:val="none" w:sz="0" w:space="0" w:color="auto"/>
          </w:divBdr>
          <w:divsChild>
            <w:div w:id="301277616">
              <w:marLeft w:val="0"/>
              <w:marRight w:val="0"/>
              <w:marTop w:val="0"/>
              <w:marBottom w:val="0"/>
              <w:divBdr>
                <w:top w:val="none" w:sz="0" w:space="0" w:color="auto"/>
                <w:left w:val="none" w:sz="0" w:space="0" w:color="auto"/>
                <w:bottom w:val="none" w:sz="0" w:space="0" w:color="auto"/>
                <w:right w:val="none" w:sz="0" w:space="0" w:color="auto"/>
              </w:divBdr>
            </w:div>
            <w:div w:id="366104458">
              <w:marLeft w:val="0"/>
              <w:marRight w:val="0"/>
              <w:marTop w:val="0"/>
              <w:marBottom w:val="0"/>
              <w:divBdr>
                <w:top w:val="none" w:sz="0" w:space="0" w:color="auto"/>
                <w:left w:val="none" w:sz="0" w:space="0" w:color="auto"/>
                <w:bottom w:val="none" w:sz="0" w:space="0" w:color="auto"/>
                <w:right w:val="none" w:sz="0" w:space="0" w:color="auto"/>
              </w:divBdr>
            </w:div>
            <w:div w:id="1913588073">
              <w:marLeft w:val="0"/>
              <w:marRight w:val="0"/>
              <w:marTop w:val="0"/>
              <w:marBottom w:val="0"/>
              <w:divBdr>
                <w:top w:val="none" w:sz="0" w:space="0" w:color="auto"/>
                <w:left w:val="none" w:sz="0" w:space="0" w:color="auto"/>
                <w:bottom w:val="none" w:sz="0" w:space="0" w:color="auto"/>
                <w:right w:val="none" w:sz="0" w:space="0" w:color="auto"/>
              </w:divBdr>
            </w:div>
            <w:div w:id="1920866585">
              <w:marLeft w:val="0"/>
              <w:marRight w:val="0"/>
              <w:marTop w:val="0"/>
              <w:marBottom w:val="0"/>
              <w:divBdr>
                <w:top w:val="none" w:sz="0" w:space="0" w:color="auto"/>
                <w:left w:val="none" w:sz="0" w:space="0" w:color="auto"/>
                <w:bottom w:val="none" w:sz="0" w:space="0" w:color="auto"/>
                <w:right w:val="none" w:sz="0" w:space="0" w:color="auto"/>
              </w:divBdr>
            </w:div>
          </w:divsChild>
        </w:div>
        <w:div w:id="429618330">
          <w:marLeft w:val="0"/>
          <w:marRight w:val="0"/>
          <w:marTop w:val="0"/>
          <w:marBottom w:val="0"/>
          <w:divBdr>
            <w:top w:val="none" w:sz="0" w:space="0" w:color="auto"/>
            <w:left w:val="none" w:sz="0" w:space="0" w:color="auto"/>
            <w:bottom w:val="none" w:sz="0" w:space="0" w:color="auto"/>
            <w:right w:val="none" w:sz="0" w:space="0" w:color="auto"/>
          </w:divBdr>
        </w:div>
        <w:div w:id="560139668">
          <w:marLeft w:val="0"/>
          <w:marRight w:val="0"/>
          <w:marTop w:val="0"/>
          <w:marBottom w:val="0"/>
          <w:divBdr>
            <w:top w:val="none" w:sz="0" w:space="0" w:color="auto"/>
            <w:left w:val="none" w:sz="0" w:space="0" w:color="auto"/>
            <w:bottom w:val="none" w:sz="0" w:space="0" w:color="auto"/>
            <w:right w:val="none" w:sz="0" w:space="0" w:color="auto"/>
          </w:divBdr>
        </w:div>
        <w:div w:id="847136420">
          <w:marLeft w:val="0"/>
          <w:marRight w:val="0"/>
          <w:marTop w:val="0"/>
          <w:marBottom w:val="0"/>
          <w:divBdr>
            <w:top w:val="none" w:sz="0" w:space="0" w:color="auto"/>
            <w:left w:val="none" w:sz="0" w:space="0" w:color="auto"/>
            <w:bottom w:val="none" w:sz="0" w:space="0" w:color="auto"/>
            <w:right w:val="none" w:sz="0" w:space="0" w:color="auto"/>
          </w:divBdr>
        </w:div>
        <w:div w:id="1422020255">
          <w:marLeft w:val="0"/>
          <w:marRight w:val="0"/>
          <w:marTop w:val="0"/>
          <w:marBottom w:val="0"/>
          <w:divBdr>
            <w:top w:val="none" w:sz="0" w:space="0" w:color="auto"/>
            <w:left w:val="none" w:sz="0" w:space="0" w:color="auto"/>
            <w:bottom w:val="none" w:sz="0" w:space="0" w:color="auto"/>
            <w:right w:val="none" w:sz="0" w:space="0" w:color="auto"/>
          </w:divBdr>
          <w:divsChild>
            <w:div w:id="2058239413">
              <w:marLeft w:val="0"/>
              <w:marRight w:val="0"/>
              <w:marTop w:val="0"/>
              <w:marBottom w:val="0"/>
              <w:divBdr>
                <w:top w:val="none" w:sz="0" w:space="0" w:color="auto"/>
                <w:left w:val="none" w:sz="0" w:space="0" w:color="auto"/>
                <w:bottom w:val="none" w:sz="0" w:space="0" w:color="auto"/>
                <w:right w:val="none" w:sz="0" w:space="0" w:color="auto"/>
              </w:divBdr>
            </w:div>
          </w:divsChild>
        </w:div>
        <w:div w:id="1429930313">
          <w:marLeft w:val="0"/>
          <w:marRight w:val="0"/>
          <w:marTop w:val="0"/>
          <w:marBottom w:val="0"/>
          <w:divBdr>
            <w:top w:val="none" w:sz="0" w:space="0" w:color="auto"/>
            <w:left w:val="none" w:sz="0" w:space="0" w:color="auto"/>
            <w:bottom w:val="none" w:sz="0" w:space="0" w:color="auto"/>
            <w:right w:val="none" w:sz="0" w:space="0" w:color="auto"/>
          </w:divBdr>
        </w:div>
        <w:div w:id="1675573387">
          <w:marLeft w:val="0"/>
          <w:marRight w:val="0"/>
          <w:marTop w:val="0"/>
          <w:marBottom w:val="0"/>
          <w:divBdr>
            <w:top w:val="none" w:sz="0" w:space="0" w:color="auto"/>
            <w:left w:val="none" w:sz="0" w:space="0" w:color="auto"/>
            <w:bottom w:val="none" w:sz="0" w:space="0" w:color="auto"/>
            <w:right w:val="none" w:sz="0" w:space="0" w:color="auto"/>
          </w:divBdr>
        </w:div>
        <w:div w:id="1680280460">
          <w:marLeft w:val="0"/>
          <w:marRight w:val="0"/>
          <w:marTop w:val="0"/>
          <w:marBottom w:val="0"/>
          <w:divBdr>
            <w:top w:val="none" w:sz="0" w:space="0" w:color="auto"/>
            <w:left w:val="none" w:sz="0" w:space="0" w:color="auto"/>
            <w:bottom w:val="none" w:sz="0" w:space="0" w:color="auto"/>
            <w:right w:val="none" w:sz="0" w:space="0" w:color="auto"/>
          </w:divBdr>
        </w:div>
        <w:div w:id="1914504849">
          <w:marLeft w:val="0"/>
          <w:marRight w:val="0"/>
          <w:marTop w:val="0"/>
          <w:marBottom w:val="0"/>
          <w:divBdr>
            <w:top w:val="none" w:sz="0" w:space="0" w:color="auto"/>
            <w:left w:val="none" w:sz="0" w:space="0" w:color="auto"/>
            <w:bottom w:val="none" w:sz="0" w:space="0" w:color="auto"/>
            <w:right w:val="none" w:sz="0" w:space="0" w:color="auto"/>
          </w:divBdr>
        </w:div>
        <w:div w:id="1927036513">
          <w:marLeft w:val="0"/>
          <w:marRight w:val="0"/>
          <w:marTop w:val="0"/>
          <w:marBottom w:val="0"/>
          <w:divBdr>
            <w:top w:val="none" w:sz="0" w:space="0" w:color="auto"/>
            <w:left w:val="none" w:sz="0" w:space="0" w:color="auto"/>
            <w:bottom w:val="none" w:sz="0" w:space="0" w:color="auto"/>
            <w:right w:val="none" w:sz="0" w:space="0" w:color="auto"/>
          </w:divBdr>
        </w:div>
        <w:div w:id="2008095665">
          <w:marLeft w:val="0"/>
          <w:marRight w:val="0"/>
          <w:marTop w:val="0"/>
          <w:marBottom w:val="0"/>
          <w:divBdr>
            <w:top w:val="none" w:sz="0" w:space="0" w:color="auto"/>
            <w:left w:val="none" w:sz="0" w:space="0" w:color="auto"/>
            <w:bottom w:val="none" w:sz="0" w:space="0" w:color="auto"/>
            <w:right w:val="none" w:sz="0" w:space="0" w:color="auto"/>
          </w:divBdr>
        </w:div>
        <w:div w:id="2084795033">
          <w:marLeft w:val="0"/>
          <w:marRight w:val="0"/>
          <w:marTop w:val="0"/>
          <w:marBottom w:val="0"/>
          <w:divBdr>
            <w:top w:val="none" w:sz="0" w:space="0" w:color="auto"/>
            <w:left w:val="none" w:sz="0" w:space="0" w:color="auto"/>
            <w:bottom w:val="none" w:sz="0" w:space="0" w:color="auto"/>
            <w:right w:val="none" w:sz="0" w:space="0" w:color="auto"/>
          </w:divBdr>
          <w:divsChild>
            <w:div w:id="791094054">
              <w:marLeft w:val="0"/>
              <w:marRight w:val="0"/>
              <w:marTop w:val="0"/>
              <w:marBottom w:val="0"/>
              <w:divBdr>
                <w:top w:val="none" w:sz="0" w:space="0" w:color="auto"/>
                <w:left w:val="none" w:sz="0" w:space="0" w:color="auto"/>
                <w:bottom w:val="none" w:sz="0" w:space="0" w:color="auto"/>
                <w:right w:val="none" w:sz="0" w:space="0" w:color="auto"/>
              </w:divBdr>
            </w:div>
            <w:div w:id="1076590325">
              <w:marLeft w:val="0"/>
              <w:marRight w:val="0"/>
              <w:marTop w:val="0"/>
              <w:marBottom w:val="0"/>
              <w:divBdr>
                <w:top w:val="none" w:sz="0" w:space="0" w:color="auto"/>
                <w:left w:val="none" w:sz="0" w:space="0" w:color="auto"/>
                <w:bottom w:val="none" w:sz="0" w:space="0" w:color="auto"/>
                <w:right w:val="none" w:sz="0" w:space="0" w:color="auto"/>
              </w:divBdr>
            </w:div>
            <w:div w:id="1388186635">
              <w:marLeft w:val="0"/>
              <w:marRight w:val="0"/>
              <w:marTop w:val="0"/>
              <w:marBottom w:val="0"/>
              <w:divBdr>
                <w:top w:val="none" w:sz="0" w:space="0" w:color="auto"/>
                <w:left w:val="none" w:sz="0" w:space="0" w:color="auto"/>
                <w:bottom w:val="none" w:sz="0" w:space="0" w:color="auto"/>
                <w:right w:val="none" w:sz="0" w:space="0" w:color="auto"/>
              </w:divBdr>
            </w:div>
            <w:div w:id="1521237121">
              <w:marLeft w:val="0"/>
              <w:marRight w:val="0"/>
              <w:marTop w:val="0"/>
              <w:marBottom w:val="0"/>
              <w:divBdr>
                <w:top w:val="none" w:sz="0" w:space="0" w:color="auto"/>
                <w:left w:val="none" w:sz="0" w:space="0" w:color="auto"/>
                <w:bottom w:val="none" w:sz="0" w:space="0" w:color="auto"/>
                <w:right w:val="none" w:sz="0" w:space="0" w:color="auto"/>
              </w:divBdr>
            </w:div>
            <w:div w:id="19816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24104733">
      <w:bodyDiv w:val="1"/>
      <w:marLeft w:val="0"/>
      <w:marRight w:val="0"/>
      <w:marTop w:val="0"/>
      <w:marBottom w:val="0"/>
      <w:divBdr>
        <w:top w:val="none" w:sz="0" w:space="0" w:color="auto"/>
        <w:left w:val="none" w:sz="0" w:space="0" w:color="auto"/>
        <w:bottom w:val="none" w:sz="0" w:space="0" w:color="auto"/>
        <w:right w:val="none" w:sz="0" w:space="0" w:color="auto"/>
      </w:divBdr>
      <w:divsChild>
        <w:div w:id="1451630369">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9033491">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46674468">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900352">
      <w:bodyDiv w:val="1"/>
      <w:marLeft w:val="0"/>
      <w:marRight w:val="0"/>
      <w:marTop w:val="0"/>
      <w:marBottom w:val="0"/>
      <w:divBdr>
        <w:top w:val="none" w:sz="0" w:space="0" w:color="auto"/>
        <w:left w:val="none" w:sz="0" w:space="0" w:color="auto"/>
        <w:bottom w:val="none" w:sz="0" w:space="0" w:color="auto"/>
        <w:right w:val="none" w:sz="0" w:space="0" w:color="auto"/>
      </w:divBdr>
      <w:divsChild>
        <w:div w:id="70667519">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04149434">
      <w:bodyDiv w:val="1"/>
      <w:marLeft w:val="0"/>
      <w:marRight w:val="0"/>
      <w:marTop w:val="0"/>
      <w:marBottom w:val="0"/>
      <w:divBdr>
        <w:top w:val="none" w:sz="0" w:space="0" w:color="auto"/>
        <w:left w:val="none" w:sz="0" w:space="0" w:color="auto"/>
        <w:bottom w:val="none" w:sz="0" w:space="0" w:color="auto"/>
        <w:right w:val="none" w:sz="0" w:space="0" w:color="auto"/>
      </w:divBdr>
      <w:divsChild>
        <w:div w:id="356391287">
          <w:marLeft w:val="0"/>
          <w:marRight w:val="0"/>
          <w:marTop w:val="0"/>
          <w:marBottom w:val="0"/>
          <w:divBdr>
            <w:top w:val="none" w:sz="0" w:space="0" w:color="auto"/>
            <w:left w:val="none" w:sz="0" w:space="0" w:color="auto"/>
            <w:bottom w:val="none" w:sz="0" w:space="0" w:color="auto"/>
            <w:right w:val="none" w:sz="0" w:space="0" w:color="auto"/>
          </w:divBdr>
          <w:divsChild>
            <w:div w:id="498422343">
              <w:marLeft w:val="0"/>
              <w:marRight w:val="0"/>
              <w:marTop w:val="0"/>
              <w:marBottom w:val="0"/>
              <w:divBdr>
                <w:top w:val="none" w:sz="0" w:space="0" w:color="auto"/>
                <w:left w:val="none" w:sz="0" w:space="0" w:color="auto"/>
                <w:bottom w:val="none" w:sz="0" w:space="0" w:color="auto"/>
                <w:right w:val="none" w:sz="0" w:space="0" w:color="auto"/>
              </w:divBdr>
            </w:div>
            <w:div w:id="689184731">
              <w:marLeft w:val="0"/>
              <w:marRight w:val="0"/>
              <w:marTop w:val="0"/>
              <w:marBottom w:val="0"/>
              <w:divBdr>
                <w:top w:val="none" w:sz="0" w:space="0" w:color="auto"/>
                <w:left w:val="none" w:sz="0" w:space="0" w:color="auto"/>
                <w:bottom w:val="none" w:sz="0" w:space="0" w:color="auto"/>
                <w:right w:val="none" w:sz="0" w:space="0" w:color="auto"/>
              </w:divBdr>
            </w:div>
          </w:divsChild>
        </w:div>
        <w:div w:id="850608088">
          <w:marLeft w:val="0"/>
          <w:marRight w:val="0"/>
          <w:marTop w:val="0"/>
          <w:marBottom w:val="0"/>
          <w:divBdr>
            <w:top w:val="none" w:sz="0" w:space="0" w:color="auto"/>
            <w:left w:val="none" w:sz="0" w:space="0" w:color="auto"/>
            <w:bottom w:val="none" w:sz="0" w:space="0" w:color="auto"/>
            <w:right w:val="none" w:sz="0" w:space="0" w:color="auto"/>
          </w:divBdr>
          <w:divsChild>
            <w:div w:id="656571836">
              <w:marLeft w:val="0"/>
              <w:marRight w:val="0"/>
              <w:marTop w:val="0"/>
              <w:marBottom w:val="0"/>
              <w:divBdr>
                <w:top w:val="none" w:sz="0" w:space="0" w:color="auto"/>
                <w:left w:val="none" w:sz="0" w:space="0" w:color="auto"/>
                <w:bottom w:val="none" w:sz="0" w:space="0" w:color="auto"/>
                <w:right w:val="none" w:sz="0" w:space="0" w:color="auto"/>
              </w:divBdr>
            </w:div>
            <w:div w:id="697006725">
              <w:marLeft w:val="0"/>
              <w:marRight w:val="0"/>
              <w:marTop w:val="0"/>
              <w:marBottom w:val="0"/>
              <w:divBdr>
                <w:top w:val="none" w:sz="0" w:space="0" w:color="auto"/>
                <w:left w:val="none" w:sz="0" w:space="0" w:color="auto"/>
                <w:bottom w:val="none" w:sz="0" w:space="0" w:color="auto"/>
                <w:right w:val="none" w:sz="0" w:space="0" w:color="auto"/>
              </w:divBdr>
            </w:div>
            <w:div w:id="749811670">
              <w:marLeft w:val="0"/>
              <w:marRight w:val="0"/>
              <w:marTop w:val="0"/>
              <w:marBottom w:val="0"/>
              <w:divBdr>
                <w:top w:val="none" w:sz="0" w:space="0" w:color="auto"/>
                <w:left w:val="none" w:sz="0" w:space="0" w:color="auto"/>
                <w:bottom w:val="none" w:sz="0" w:space="0" w:color="auto"/>
                <w:right w:val="none" w:sz="0" w:space="0" w:color="auto"/>
              </w:divBdr>
            </w:div>
            <w:div w:id="1551841541">
              <w:marLeft w:val="0"/>
              <w:marRight w:val="0"/>
              <w:marTop w:val="0"/>
              <w:marBottom w:val="0"/>
              <w:divBdr>
                <w:top w:val="none" w:sz="0" w:space="0" w:color="auto"/>
                <w:left w:val="none" w:sz="0" w:space="0" w:color="auto"/>
                <w:bottom w:val="none" w:sz="0" w:space="0" w:color="auto"/>
                <w:right w:val="none" w:sz="0" w:space="0" w:color="auto"/>
              </w:divBdr>
            </w:div>
            <w:div w:id="1909680644">
              <w:marLeft w:val="0"/>
              <w:marRight w:val="0"/>
              <w:marTop w:val="0"/>
              <w:marBottom w:val="0"/>
              <w:divBdr>
                <w:top w:val="none" w:sz="0" w:space="0" w:color="auto"/>
                <w:left w:val="none" w:sz="0" w:space="0" w:color="auto"/>
                <w:bottom w:val="none" w:sz="0" w:space="0" w:color="auto"/>
                <w:right w:val="none" w:sz="0" w:space="0" w:color="auto"/>
              </w:divBdr>
            </w:div>
          </w:divsChild>
        </w:div>
        <w:div w:id="1244293482">
          <w:marLeft w:val="0"/>
          <w:marRight w:val="0"/>
          <w:marTop w:val="0"/>
          <w:marBottom w:val="0"/>
          <w:divBdr>
            <w:top w:val="none" w:sz="0" w:space="0" w:color="auto"/>
            <w:left w:val="none" w:sz="0" w:space="0" w:color="auto"/>
            <w:bottom w:val="none" w:sz="0" w:space="0" w:color="auto"/>
            <w:right w:val="none" w:sz="0" w:space="0" w:color="auto"/>
          </w:divBdr>
          <w:divsChild>
            <w:div w:id="760837305">
              <w:marLeft w:val="0"/>
              <w:marRight w:val="0"/>
              <w:marTop w:val="0"/>
              <w:marBottom w:val="0"/>
              <w:divBdr>
                <w:top w:val="none" w:sz="0" w:space="0" w:color="auto"/>
                <w:left w:val="none" w:sz="0" w:space="0" w:color="auto"/>
                <w:bottom w:val="none" w:sz="0" w:space="0" w:color="auto"/>
                <w:right w:val="none" w:sz="0" w:space="0" w:color="auto"/>
              </w:divBdr>
            </w:div>
            <w:div w:id="856388945">
              <w:marLeft w:val="0"/>
              <w:marRight w:val="0"/>
              <w:marTop w:val="0"/>
              <w:marBottom w:val="0"/>
              <w:divBdr>
                <w:top w:val="none" w:sz="0" w:space="0" w:color="auto"/>
                <w:left w:val="none" w:sz="0" w:space="0" w:color="auto"/>
                <w:bottom w:val="none" w:sz="0" w:space="0" w:color="auto"/>
                <w:right w:val="none" w:sz="0" w:space="0" w:color="auto"/>
              </w:divBdr>
            </w:div>
            <w:div w:id="1040280682">
              <w:marLeft w:val="0"/>
              <w:marRight w:val="0"/>
              <w:marTop w:val="0"/>
              <w:marBottom w:val="0"/>
              <w:divBdr>
                <w:top w:val="none" w:sz="0" w:space="0" w:color="auto"/>
                <w:left w:val="none" w:sz="0" w:space="0" w:color="auto"/>
                <w:bottom w:val="none" w:sz="0" w:space="0" w:color="auto"/>
                <w:right w:val="none" w:sz="0" w:space="0" w:color="auto"/>
              </w:divBdr>
            </w:div>
            <w:div w:id="1159154016">
              <w:marLeft w:val="0"/>
              <w:marRight w:val="0"/>
              <w:marTop w:val="0"/>
              <w:marBottom w:val="0"/>
              <w:divBdr>
                <w:top w:val="none" w:sz="0" w:space="0" w:color="auto"/>
                <w:left w:val="none" w:sz="0" w:space="0" w:color="auto"/>
                <w:bottom w:val="none" w:sz="0" w:space="0" w:color="auto"/>
                <w:right w:val="none" w:sz="0" w:space="0" w:color="auto"/>
              </w:divBdr>
            </w:div>
            <w:div w:id="1425608876">
              <w:marLeft w:val="0"/>
              <w:marRight w:val="0"/>
              <w:marTop w:val="0"/>
              <w:marBottom w:val="0"/>
              <w:divBdr>
                <w:top w:val="none" w:sz="0" w:space="0" w:color="auto"/>
                <w:left w:val="none" w:sz="0" w:space="0" w:color="auto"/>
                <w:bottom w:val="none" w:sz="0" w:space="0" w:color="auto"/>
                <w:right w:val="none" w:sz="0" w:space="0" w:color="auto"/>
              </w:divBdr>
            </w:div>
          </w:divsChild>
        </w:div>
        <w:div w:id="1450397687">
          <w:marLeft w:val="0"/>
          <w:marRight w:val="0"/>
          <w:marTop w:val="0"/>
          <w:marBottom w:val="0"/>
          <w:divBdr>
            <w:top w:val="none" w:sz="0" w:space="0" w:color="auto"/>
            <w:left w:val="none" w:sz="0" w:space="0" w:color="auto"/>
            <w:bottom w:val="none" w:sz="0" w:space="0" w:color="auto"/>
            <w:right w:val="none" w:sz="0" w:space="0" w:color="auto"/>
          </w:divBdr>
        </w:div>
        <w:div w:id="1697928386">
          <w:marLeft w:val="0"/>
          <w:marRight w:val="0"/>
          <w:marTop w:val="0"/>
          <w:marBottom w:val="0"/>
          <w:divBdr>
            <w:top w:val="none" w:sz="0" w:space="0" w:color="auto"/>
            <w:left w:val="none" w:sz="0" w:space="0" w:color="auto"/>
            <w:bottom w:val="none" w:sz="0" w:space="0" w:color="auto"/>
            <w:right w:val="none" w:sz="0" w:space="0" w:color="auto"/>
          </w:divBdr>
          <w:divsChild>
            <w:div w:id="526138630">
              <w:marLeft w:val="0"/>
              <w:marRight w:val="0"/>
              <w:marTop w:val="0"/>
              <w:marBottom w:val="0"/>
              <w:divBdr>
                <w:top w:val="none" w:sz="0" w:space="0" w:color="auto"/>
                <w:left w:val="none" w:sz="0" w:space="0" w:color="auto"/>
                <w:bottom w:val="none" w:sz="0" w:space="0" w:color="auto"/>
                <w:right w:val="none" w:sz="0" w:space="0" w:color="auto"/>
              </w:divBdr>
            </w:div>
            <w:div w:id="727150381">
              <w:marLeft w:val="0"/>
              <w:marRight w:val="0"/>
              <w:marTop w:val="0"/>
              <w:marBottom w:val="0"/>
              <w:divBdr>
                <w:top w:val="none" w:sz="0" w:space="0" w:color="auto"/>
                <w:left w:val="none" w:sz="0" w:space="0" w:color="auto"/>
                <w:bottom w:val="none" w:sz="0" w:space="0" w:color="auto"/>
                <w:right w:val="none" w:sz="0" w:space="0" w:color="auto"/>
              </w:divBdr>
            </w:div>
            <w:div w:id="768087381">
              <w:marLeft w:val="0"/>
              <w:marRight w:val="0"/>
              <w:marTop w:val="0"/>
              <w:marBottom w:val="0"/>
              <w:divBdr>
                <w:top w:val="none" w:sz="0" w:space="0" w:color="auto"/>
                <w:left w:val="none" w:sz="0" w:space="0" w:color="auto"/>
                <w:bottom w:val="none" w:sz="0" w:space="0" w:color="auto"/>
                <w:right w:val="none" w:sz="0" w:space="0" w:color="auto"/>
              </w:divBdr>
            </w:div>
            <w:div w:id="1218132121">
              <w:marLeft w:val="0"/>
              <w:marRight w:val="0"/>
              <w:marTop w:val="0"/>
              <w:marBottom w:val="0"/>
              <w:divBdr>
                <w:top w:val="none" w:sz="0" w:space="0" w:color="auto"/>
                <w:left w:val="none" w:sz="0" w:space="0" w:color="auto"/>
                <w:bottom w:val="none" w:sz="0" w:space="0" w:color="auto"/>
                <w:right w:val="none" w:sz="0" w:space="0" w:color="auto"/>
              </w:divBdr>
            </w:div>
            <w:div w:id="194892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690219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57908409">
      <w:bodyDiv w:val="1"/>
      <w:marLeft w:val="0"/>
      <w:marRight w:val="0"/>
      <w:marTop w:val="0"/>
      <w:marBottom w:val="0"/>
      <w:divBdr>
        <w:top w:val="none" w:sz="0" w:space="0" w:color="auto"/>
        <w:left w:val="none" w:sz="0" w:space="0" w:color="auto"/>
        <w:bottom w:val="none" w:sz="0" w:space="0" w:color="auto"/>
        <w:right w:val="none" w:sz="0" w:space="0" w:color="auto"/>
      </w:divBdr>
      <w:divsChild>
        <w:div w:id="332073202">
          <w:marLeft w:val="0"/>
          <w:marRight w:val="0"/>
          <w:marTop w:val="0"/>
          <w:marBottom w:val="0"/>
          <w:divBdr>
            <w:top w:val="none" w:sz="0" w:space="0" w:color="auto"/>
            <w:left w:val="none" w:sz="0" w:space="0" w:color="auto"/>
            <w:bottom w:val="none" w:sz="0" w:space="0" w:color="auto"/>
            <w:right w:val="none" w:sz="0" w:space="0" w:color="auto"/>
          </w:divBdr>
          <w:divsChild>
            <w:div w:id="252784617">
              <w:marLeft w:val="0"/>
              <w:marRight w:val="0"/>
              <w:marTop w:val="0"/>
              <w:marBottom w:val="0"/>
              <w:divBdr>
                <w:top w:val="none" w:sz="0" w:space="0" w:color="auto"/>
                <w:left w:val="none" w:sz="0" w:space="0" w:color="auto"/>
                <w:bottom w:val="none" w:sz="0" w:space="0" w:color="auto"/>
                <w:right w:val="none" w:sz="0" w:space="0" w:color="auto"/>
              </w:divBdr>
            </w:div>
            <w:div w:id="603147492">
              <w:marLeft w:val="0"/>
              <w:marRight w:val="0"/>
              <w:marTop w:val="0"/>
              <w:marBottom w:val="0"/>
              <w:divBdr>
                <w:top w:val="none" w:sz="0" w:space="0" w:color="auto"/>
                <w:left w:val="none" w:sz="0" w:space="0" w:color="auto"/>
                <w:bottom w:val="none" w:sz="0" w:space="0" w:color="auto"/>
                <w:right w:val="none" w:sz="0" w:space="0" w:color="auto"/>
              </w:divBdr>
            </w:div>
            <w:div w:id="1742486592">
              <w:marLeft w:val="0"/>
              <w:marRight w:val="0"/>
              <w:marTop w:val="0"/>
              <w:marBottom w:val="0"/>
              <w:divBdr>
                <w:top w:val="none" w:sz="0" w:space="0" w:color="auto"/>
                <w:left w:val="none" w:sz="0" w:space="0" w:color="auto"/>
                <w:bottom w:val="none" w:sz="0" w:space="0" w:color="auto"/>
                <w:right w:val="none" w:sz="0" w:space="0" w:color="auto"/>
              </w:divBdr>
            </w:div>
            <w:div w:id="1816414854">
              <w:marLeft w:val="0"/>
              <w:marRight w:val="0"/>
              <w:marTop w:val="0"/>
              <w:marBottom w:val="0"/>
              <w:divBdr>
                <w:top w:val="none" w:sz="0" w:space="0" w:color="auto"/>
                <w:left w:val="none" w:sz="0" w:space="0" w:color="auto"/>
                <w:bottom w:val="none" w:sz="0" w:space="0" w:color="auto"/>
                <w:right w:val="none" w:sz="0" w:space="0" w:color="auto"/>
              </w:divBdr>
            </w:div>
          </w:divsChild>
        </w:div>
        <w:div w:id="1465082126">
          <w:marLeft w:val="0"/>
          <w:marRight w:val="0"/>
          <w:marTop w:val="0"/>
          <w:marBottom w:val="0"/>
          <w:divBdr>
            <w:top w:val="none" w:sz="0" w:space="0" w:color="auto"/>
            <w:left w:val="none" w:sz="0" w:space="0" w:color="auto"/>
            <w:bottom w:val="none" w:sz="0" w:space="0" w:color="auto"/>
            <w:right w:val="none" w:sz="0" w:space="0" w:color="auto"/>
          </w:divBdr>
          <w:divsChild>
            <w:div w:id="495419046">
              <w:marLeft w:val="0"/>
              <w:marRight w:val="0"/>
              <w:marTop w:val="0"/>
              <w:marBottom w:val="0"/>
              <w:divBdr>
                <w:top w:val="none" w:sz="0" w:space="0" w:color="auto"/>
                <w:left w:val="none" w:sz="0" w:space="0" w:color="auto"/>
                <w:bottom w:val="none" w:sz="0" w:space="0" w:color="auto"/>
                <w:right w:val="none" w:sz="0" w:space="0" w:color="auto"/>
              </w:divBdr>
            </w:div>
            <w:div w:id="504832153">
              <w:marLeft w:val="0"/>
              <w:marRight w:val="0"/>
              <w:marTop w:val="0"/>
              <w:marBottom w:val="0"/>
              <w:divBdr>
                <w:top w:val="none" w:sz="0" w:space="0" w:color="auto"/>
                <w:left w:val="none" w:sz="0" w:space="0" w:color="auto"/>
                <w:bottom w:val="none" w:sz="0" w:space="0" w:color="auto"/>
                <w:right w:val="none" w:sz="0" w:space="0" w:color="auto"/>
              </w:divBdr>
            </w:div>
            <w:div w:id="1684701114">
              <w:marLeft w:val="0"/>
              <w:marRight w:val="0"/>
              <w:marTop w:val="0"/>
              <w:marBottom w:val="0"/>
              <w:divBdr>
                <w:top w:val="none" w:sz="0" w:space="0" w:color="auto"/>
                <w:left w:val="none" w:sz="0" w:space="0" w:color="auto"/>
                <w:bottom w:val="none" w:sz="0" w:space="0" w:color="auto"/>
                <w:right w:val="none" w:sz="0" w:space="0" w:color="auto"/>
              </w:divBdr>
            </w:div>
            <w:div w:id="1853447128">
              <w:marLeft w:val="0"/>
              <w:marRight w:val="0"/>
              <w:marTop w:val="0"/>
              <w:marBottom w:val="0"/>
              <w:divBdr>
                <w:top w:val="none" w:sz="0" w:space="0" w:color="auto"/>
                <w:left w:val="none" w:sz="0" w:space="0" w:color="auto"/>
                <w:bottom w:val="none" w:sz="0" w:space="0" w:color="auto"/>
                <w:right w:val="none" w:sz="0" w:space="0" w:color="auto"/>
              </w:divBdr>
            </w:div>
            <w:div w:id="20482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8288">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 w:id="2140763348">
      <w:bodyDiv w:val="1"/>
      <w:marLeft w:val="0"/>
      <w:marRight w:val="0"/>
      <w:marTop w:val="0"/>
      <w:marBottom w:val="0"/>
      <w:divBdr>
        <w:top w:val="none" w:sz="0" w:space="0" w:color="auto"/>
        <w:left w:val="none" w:sz="0" w:space="0" w:color="auto"/>
        <w:bottom w:val="none" w:sz="0" w:space="0" w:color="auto"/>
        <w:right w:val="none" w:sz="0" w:space="0" w:color="auto"/>
      </w:divBdr>
      <w:divsChild>
        <w:div w:id="410196627">
          <w:marLeft w:val="0"/>
          <w:marRight w:val="0"/>
          <w:marTop w:val="0"/>
          <w:marBottom w:val="0"/>
          <w:divBdr>
            <w:top w:val="none" w:sz="0" w:space="0" w:color="auto"/>
            <w:left w:val="none" w:sz="0" w:space="0" w:color="auto"/>
            <w:bottom w:val="none" w:sz="0" w:space="0" w:color="auto"/>
            <w:right w:val="none" w:sz="0" w:space="0" w:color="auto"/>
          </w:divBdr>
        </w:div>
        <w:div w:id="1794977145">
          <w:marLeft w:val="0"/>
          <w:marRight w:val="0"/>
          <w:marTop w:val="0"/>
          <w:marBottom w:val="0"/>
          <w:divBdr>
            <w:top w:val="none" w:sz="0" w:space="0" w:color="auto"/>
            <w:left w:val="none" w:sz="0" w:space="0" w:color="auto"/>
            <w:bottom w:val="none" w:sz="0" w:space="0" w:color="auto"/>
            <w:right w:val="none" w:sz="0" w:space="0" w:color="auto"/>
          </w:divBdr>
          <w:divsChild>
            <w:div w:id="1521699768">
              <w:marLeft w:val="0"/>
              <w:marRight w:val="0"/>
              <w:marTop w:val="0"/>
              <w:marBottom w:val="0"/>
              <w:divBdr>
                <w:top w:val="none" w:sz="0" w:space="0" w:color="auto"/>
                <w:left w:val="none" w:sz="0" w:space="0" w:color="auto"/>
                <w:bottom w:val="none" w:sz="0" w:space="0" w:color="auto"/>
                <w:right w:val="none" w:sz="0" w:space="0" w:color="auto"/>
              </w:divBdr>
            </w:div>
          </w:divsChild>
        </w:div>
        <w:div w:id="2144230378">
          <w:marLeft w:val="0"/>
          <w:marRight w:val="0"/>
          <w:marTop w:val="0"/>
          <w:marBottom w:val="0"/>
          <w:divBdr>
            <w:top w:val="none" w:sz="0" w:space="0" w:color="auto"/>
            <w:left w:val="none" w:sz="0" w:space="0" w:color="auto"/>
            <w:bottom w:val="none" w:sz="0" w:space="0" w:color="auto"/>
            <w:right w:val="none" w:sz="0" w:space="0" w:color="auto"/>
          </w:divBdr>
        </w:div>
        <w:div w:id="214454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c0e3a721f52a4429"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5AIRPNAIUNRU-1830940522-10680</_dlc_DocId>
    <_dlc_DocIdUrl xmlns="71c5aaf6-e6ce-465b-b873-5148d2a4c105">
      <Url>https://nokia.sharepoint.com/sites/c5g/5gradio/_layouts/15/DocIdRedir.aspx?ID=5AIRPNAIUNRU-1830940522-10680</Url>
      <Description>5AIRPNAIUNRU-1830940522-10680</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3.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5.xml><?xml version="1.0" encoding="utf-8"?>
<ds:datastoreItem xmlns:ds="http://schemas.openxmlformats.org/officeDocument/2006/customXml" ds:itemID="{4CAF72CF-2995-4108-A322-BC83F12D822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11</Pages>
  <Words>4704</Words>
  <Characters>26815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7</cp:revision>
  <cp:lastPrinted>2016-06-21T07:35:00Z</cp:lastPrinted>
  <dcterms:created xsi:type="dcterms:W3CDTF">2021-05-11T23:18:00Z</dcterms:created>
  <dcterms:modified xsi:type="dcterms:W3CDTF">2021-05-12T00:47:00Z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816eaabb-5b10-4728-8a2e-79aa43fc8d78</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