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560DA371" w14:textId="48D31C40" w:rsidR="000A2FF0" w:rsidRPr="004F62EC" w:rsidRDefault="00480A0B" w:rsidP="000A2FF0">
      <w:pPr>
        <w:tabs>
          <w:tab w:val="center" w:pos="4536"/>
          <w:tab w:val="right" w:pos="9781"/>
        </w:tabs>
        <w:ind w:right="-58"/>
        <w:rPr>
          <w:rFonts w:ascii="Arial" w:eastAsia="宋体" w:hAnsi="Arial" w:cs="Arial"/>
          <w:b/>
          <w:noProof w:val="0"/>
          <w:szCs w:val="22"/>
          <w:lang w:eastAsia="zh-CN"/>
        </w:rPr>
      </w:pPr>
      <w:bookmarkStart w:id="0" w:name="OLE_LINK3"/>
      <w:r w:rsidRPr="004F62EC">
        <w:rPr>
          <w:rFonts w:ascii="Arial" w:eastAsia="宋体" w:hAnsi="Arial" w:cs="Arial"/>
          <w:b/>
          <w:noProof w:val="0"/>
          <w:szCs w:val="22"/>
        </w:rPr>
        <w:t>3GPP TSG RAN WG1 Meeting #</w:t>
      </w:r>
      <w:r w:rsidR="00213C68" w:rsidRPr="004F62EC">
        <w:rPr>
          <w:rFonts w:ascii="Arial" w:eastAsia="宋体" w:hAnsi="Arial" w:cs="Arial"/>
          <w:b/>
          <w:noProof w:val="0"/>
          <w:szCs w:val="22"/>
        </w:rPr>
        <w:t>10</w:t>
      </w:r>
      <w:r w:rsidR="000A3E81">
        <w:rPr>
          <w:rFonts w:ascii="Arial" w:eastAsia="宋体" w:hAnsi="Arial" w:cs="Arial"/>
          <w:b/>
          <w:noProof w:val="0"/>
          <w:szCs w:val="22"/>
          <w:lang w:eastAsia="zh-CN"/>
        </w:rPr>
        <w:t>5</w:t>
      </w:r>
      <w:r w:rsidR="006274E8" w:rsidRPr="004F62EC">
        <w:rPr>
          <w:rFonts w:ascii="Arial" w:eastAsia="宋体" w:hAnsi="Arial" w:cs="Arial" w:hint="eastAsia"/>
          <w:b/>
          <w:noProof w:val="0"/>
          <w:szCs w:val="22"/>
          <w:lang w:eastAsia="zh-CN"/>
        </w:rPr>
        <w:t>-</w:t>
      </w:r>
      <w:r w:rsidR="003C15DE" w:rsidRPr="004F62EC">
        <w:rPr>
          <w:rFonts w:ascii="Arial" w:eastAsia="宋体" w:hAnsi="Arial" w:cs="Arial"/>
          <w:b/>
          <w:noProof w:val="0"/>
          <w:szCs w:val="22"/>
        </w:rPr>
        <w:t>e</w:t>
      </w:r>
      <w:r w:rsidR="000A2FF0" w:rsidRPr="004F62EC">
        <w:rPr>
          <w:rFonts w:ascii="Arial" w:eastAsia="MS Mincho" w:hAnsi="Arial" w:cs="Arial"/>
          <w:b/>
          <w:noProof w:val="0"/>
          <w:szCs w:val="22"/>
          <w:lang w:eastAsia="ja-JP"/>
        </w:rPr>
        <w:t xml:space="preserve">                                                        </w:t>
      </w:r>
      <w:r w:rsidR="002C254F" w:rsidRPr="004F62EC">
        <w:rPr>
          <w:rFonts w:ascii="Arial" w:eastAsia="宋体" w:hAnsi="Arial" w:cs="Arial"/>
          <w:b/>
          <w:noProof w:val="0"/>
          <w:szCs w:val="22"/>
          <w:lang w:eastAsia="zh-CN"/>
        </w:rPr>
        <w:t xml:space="preserve">      </w:t>
      </w:r>
      <w:r w:rsidR="00501897" w:rsidRPr="004F62EC">
        <w:rPr>
          <w:rFonts w:ascii="Arial" w:eastAsia="宋体" w:hAnsi="Arial" w:cs="Arial"/>
          <w:b/>
          <w:noProof w:val="0"/>
          <w:szCs w:val="22"/>
          <w:lang w:eastAsia="zh-CN"/>
        </w:rPr>
        <w:tab/>
      </w:r>
      <w:bookmarkStart w:id="1" w:name="_Hlk15897081"/>
      <w:r w:rsidR="004A2691" w:rsidRPr="004F62EC">
        <w:rPr>
          <w:rFonts w:ascii="Arial" w:eastAsia="宋体" w:hAnsi="Arial" w:cs="Arial"/>
          <w:b/>
          <w:noProof w:val="0"/>
          <w:szCs w:val="22"/>
          <w:lang w:eastAsia="zh-CN"/>
        </w:rPr>
        <w:t>R1-2</w:t>
      </w:r>
      <w:r w:rsidR="004F62EC" w:rsidRPr="004F62EC">
        <w:rPr>
          <w:rFonts w:ascii="Arial" w:eastAsia="宋体" w:hAnsi="Arial" w:cs="Arial" w:hint="eastAsia"/>
          <w:b/>
          <w:noProof w:val="0"/>
          <w:szCs w:val="22"/>
          <w:lang w:eastAsia="zh-CN"/>
        </w:rPr>
        <w:t>1</w:t>
      </w:r>
      <w:r w:rsidR="00D674ED">
        <w:rPr>
          <w:rFonts w:ascii="Arial" w:eastAsia="宋体" w:hAnsi="Arial" w:cs="Arial"/>
          <w:b/>
          <w:noProof w:val="0"/>
          <w:szCs w:val="22"/>
          <w:lang w:eastAsia="zh-CN"/>
        </w:rPr>
        <w:t>05166</w:t>
      </w:r>
    </w:p>
    <w:bookmarkEnd w:id="1"/>
    <w:p w14:paraId="2B6E0651" w14:textId="2DBFB121" w:rsidR="006274E8" w:rsidRPr="004F62EC" w:rsidRDefault="006274E8" w:rsidP="006274E8">
      <w:pPr>
        <w:pStyle w:val="Header"/>
        <w:rPr>
          <w:rFonts w:eastAsia="宋体" w:cs="Arial"/>
          <w:noProof w:val="0"/>
          <w:sz w:val="24"/>
          <w:szCs w:val="22"/>
        </w:rPr>
      </w:pPr>
      <w:r w:rsidRPr="004F62EC">
        <w:rPr>
          <w:rFonts w:eastAsia="宋体" w:cs="Arial"/>
          <w:noProof w:val="0"/>
          <w:sz w:val="24"/>
          <w:szCs w:val="22"/>
        </w:rPr>
        <w:t xml:space="preserve">E-meeting, </w:t>
      </w:r>
      <w:r w:rsidR="003E44B0">
        <w:rPr>
          <w:rFonts w:eastAsia="宋体" w:cs="Arial" w:hint="eastAsia"/>
          <w:noProof w:val="0"/>
          <w:sz w:val="24"/>
          <w:szCs w:val="22"/>
          <w:lang w:eastAsia="zh-CN"/>
        </w:rPr>
        <w:t>May</w:t>
      </w:r>
      <w:r w:rsidR="003E44B0">
        <w:rPr>
          <w:rFonts w:eastAsia="宋体" w:cs="Arial"/>
          <w:noProof w:val="0"/>
          <w:sz w:val="24"/>
          <w:szCs w:val="22"/>
        </w:rPr>
        <w:t xml:space="preserve"> </w:t>
      </w:r>
      <w:r w:rsidR="003E44B0">
        <w:rPr>
          <w:rFonts w:eastAsia="宋体" w:cs="Arial" w:hint="eastAsia"/>
          <w:noProof w:val="0"/>
          <w:sz w:val="24"/>
          <w:szCs w:val="22"/>
          <w:lang w:eastAsia="zh-CN"/>
        </w:rPr>
        <w:t>10</w:t>
      </w:r>
      <w:r w:rsidR="003E44B0" w:rsidRPr="004E53AE">
        <w:rPr>
          <w:rFonts w:eastAsia="宋体" w:cs="Arial"/>
          <w:noProof w:val="0"/>
          <w:sz w:val="24"/>
          <w:szCs w:val="22"/>
          <w:vertAlign w:val="superscript"/>
          <w:lang w:eastAsia="zh-CN"/>
        </w:rPr>
        <w:t>th</w:t>
      </w:r>
      <w:r w:rsidR="003E44B0">
        <w:rPr>
          <w:rFonts w:eastAsia="宋体" w:cs="Arial"/>
          <w:noProof w:val="0"/>
          <w:sz w:val="24"/>
          <w:szCs w:val="22"/>
        </w:rPr>
        <w:t xml:space="preserve"> </w:t>
      </w:r>
      <w:r w:rsidR="003E44B0">
        <w:rPr>
          <w:rFonts w:eastAsia="宋体" w:cs="Arial"/>
          <w:noProof w:val="0"/>
          <w:sz w:val="24"/>
          <w:szCs w:val="22"/>
          <w:lang w:eastAsia="zh-CN"/>
        </w:rPr>
        <w:t>– 27</w:t>
      </w:r>
      <w:r w:rsidR="003E44B0" w:rsidRPr="004E53AE">
        <w:rPr>
          <w:rFonts w:eastAsia="宋体" w:cs="Arial"/>
          <w:noProof w:val="0"/>
          <w:sz w:val="24"/>
          <w:szCs w:val="22"/>
          <w:vertAlign w:val="superscript"/>
          <w:lang w:eastAsia="zh-CN"/>
        </w:rPr>
        <w:t>th</w:t>
      </w:r>
      <w:r w:rsidR="004F62EC" w:rsidRPr="004F62EC">
        <w:rPr>
          <w:rFonts w:eastAsia="宋体" w:cs="Arial"/>
          <w:noProof w:val="0"/>
          <w:sz w:val="24"/>
          <w:szCs w:val="22"/>
        </w:rPr>
        <w:t>, 2021</w:t>
      </w:r>
    </w:p>
    <w:p w14:paraId="2006B7AF" w14:textId="77777777" w:rsidR="00DD2DE1" w:rsidRPr="004F62EC" w:rsidRDefault="00DD2DE1">
      <w:pPr>
        <w:pStyle w:val="Header"/>
        <w:rPr>
          <w:rFonts w:cs="Arial"/>
          <w:noProof w:val="0"/>
          <w:sz w:val="24"/>
          <w:szCs w:val="22"/>
        </w:rPr>
      </w:pPr>
    </w:p>
    <w:p w14:paraId="21E27392" w14:textId="606745F0" w:rsidR="0041628A" w:rsidRPr="004F62EC" w:rsidRDefault="0041628A">
      <w:pPr>
        <w:pStyle w:val="Header"/>
        <w:ind w:left="1800" w:hanging="1800"/>
        <w:rPr>
          <w:rFonts w:eastAsia="MS Gothic" w:cs="Arial"/>
          <w:noProof w:val="0"/>
          <w:sz w:val="24"/>
          <w:szCs w:val="22"/>
        </w:rPr>
      </w:pPr>
      <w:r w:rsidRPr="004F62EC">
        <w:rPr>
          <w:rFonts w:eastAsia="MS Gothic" w:cs="Arial"/>
          <w:noProof w:val="0"/>
          <w:sz w:val="24"/>
          <w:szCs w:val="22"/>
        </w:rPr>
        <w:t>Source:</w:t>
      </w:r>
      <w:r w:rsidRPr="004F62EC">
        <w:rPr>
          <w:rFonts w:eastAsia="MS Gothic" w:cs="Arial"/>
          <w:noProof w:val="0"/>
          <w:sz w:val="24"/>
          <w:szCs w:val="22"/>
        </w:rPr>
        <w:tab/>
      </w:r>
      <w:r w:rsidR="00480A0B" w:rsidRPr="004F62EC">
        <w:rPr>
          <w:rFonts w:eastAsia="MS Gothic" w:cs="Arial"/>
          <w:noProof w:val="0"/>
          <w:sz w:val="24"/>
          <w:szCs w:val="22"/>
        </w:rPr>
        <w:t>Sony</w:t>
      </w:r>
    </w:p>
    <w:bookmarkEnd w:id="0"/>
    <w:p w14:paraId="07787299" w14:textId="21EC10EB" w:rsidR="0041628A" w:rsidRPr="004F62EC" w:rsidRDefault="0041628A">
      <w:pPr>
        <w:pStyle w:val="Header"/>
        <w:ind w:left="1800" w:hanging="1800"/>
        <w:jc w:val="both"/>
        <w:rPr>
          <w:rFonts w:eastAsia="宋体" w:cs="Arial"/>
          <w:noProof w:val="0"/>
          <w:sz w:val="24"/>
          <w:szCs w:val="22"/>
          <w:lang w:eastAsia="zh-CN"/>
        </w:rPr>
      </w:pPr>
      <w:r w:rsidRPr="004F62EC">
        <w:rPr>
          <w:rFonts w:eastAsia="MS Gothic" w:cs="Arial"/>
          <w:noProof w:val="0"/>
          <w:sz w:val="24"/>
          <w:szCs w:val="22"/>
        </w:rPr>
        <w:t>Title:</w:t>
      </w:r>
      <w:r w:rsidRPr="004F62EC">
        <w:rPr>
          <w:rFonts w:eastAsia="MS Gothic" w:cs="Arial"/>
          <w:noProof w:val="0"/>
          <w:sz w:val="24"/>
          <w:szCs w:val="22"/>
        </w:rPr>
        <w:tab/>
      </w:r>
      <w:r w:rsidR="006274E8" w:rsidRPr="004F62EC">
        <w:rPr>
          <w:rFonts w:eastAsia="MS Gothic" w:cs="Arial"/>
          <w:noProof w:val="0"/>
          <w:sz w:val="24"/>
          <w:szCs w:val="22"/>
        </w:rPr>
        <w:t>Enhancements on HARQ</w:t>
      </w:r>
      <w:r w:rsidR="006606BE" w:rsidRPr="004F62EC">
        <w:rPr>
          <w:rFonts w:eastAsia="MS Gothic" w:cs="Arial"/>
          <w:noProof w:val="0"/>
          <w:sz w:val="24"/>
          <w:szCs w:val="22"/>
        </w:rPr>
        <w:t xml:space="preserve"> for NTN</w:t>
      </w:r>
    </w:p>
    <w:p w14:paraId="32D100CB" w14:textId="60C7A3B7" w:rsidR="0041628A" w:rsidRPr="004F62EC" w:rsidRDefault="0041628A">
      <w:pPr>
        <w:pStyle w:val="Header"/>
        <w:tabs>
          <w:tab w:val="left" w:pos="1800"/>
        </w:tabs>
        <w:ind w:left="1800" w:hanging="1800"/>
        <w:rPr>
          <w:rFonts w:eastAsia="宋体" w:cs="Arial"/>
          <w:noProof w:val="0"/>
          <w:sz w:val="24"/>
          <w:szCs w:val="22"/>
          <w:lang w:eastAsia="zh-CN"/>
        </w:rPr>
      </w:pPr>
      <w:r w:rsidRPr="004F62EC">
        <w:rPr>
          <w:rFonts w:eastAsia="MS Gothic" w:cs="Arial"/>
          <w:noProof w:val="0"/>
          <w:sz w:val="24"/>
          <w:szCs w:val="22"/>
        </w:rPr>
        <w:t>Agenda Item:</w:t>
      </w:r>
      <w:bookmarkStart w:id="2" w:name="Source"/>
      <w:bookmarkEnd w:id="2"/>
      <w:r w:rsidRPr="004F62EC">
        <w:rPr>
          <w:rFonts w:eastAsia="MS Gothic" w:cs="Arial"/>
          <w:noProof w:val="0"/>
          <w:sz w:val="24"/>
          <w:szCs w:val="22"/>
        </w:rPr>
        <w:tab/>
      </w:r>
      <w:r w:rsidR="000265AD" w:rsidRPr="004F62EC">
        <w:rPr>
          <w:rFonts w:eastAsia="宋体" w:cs="Arial"/>
          <w:noProof w:val="0"/>
          <w:sz w:val="24"/>
          <w:szCs w:val="22"/>
          <w:lang w:eastAsia="zh-CN"/>
        </w:rPr>
        <w:t>8.4.3</w:t>
      </w:r>
    </w:p>
    <w:p w14:paraId="171841D7" w14:textId="30B640B9" w:rsidR="0041628A" w:rsidRPr="004F62EC" w:rsidRDefault="0041628A">
      <w:pPr>
        <w:pBdr>
          <w:bottom w:val="single" w:sz="6" w:space="1" w:color="auto"/>
        </w:pBdr>
        <w:ind w:left="1800" w:hanging="1800"/>
        <w:rPr>
          <w:rFonts w:ascii="Arial" w:eastAsia="宋体" w:hAnsi="Arial" w:cs="Arial"/>
          <w:b/>
          <w:noProof w:val="0"/>
          <w:szCs w:val="22"/>
        </w:rPr>
      </w:pPr>
      <w:r w:rsidRPr="004F62EC">
        <w:rPr>
          <w:rFonts w:ascii="Arial" w:hAnsi="Arial" w:cs="Arial"/>
          <w:b/>
          <w:noProof w:val="0"/>
          <w:szCs w:val="22"/>
        </w:rPr>
        <w:t>Document for:</w:t>
      </w:r>
      <w:bookmarkStart w:id="3" w:name="DocumentFor"/>
      <w:bookmarkEnd w:id="3"/>
      <w:r w:rsidR="001A49A6" w:rsidRPr="004F62EC">
        <w:rPr>
          <w:rFonts w:ascii="Arial" w:hAnsi="Arial" w:cs="Arial"/>
          <w:b/>
          <w:noProof w:val="0"/>
          <w:szCs w:val="22"/>
        </w:rPr>
        <w:t xml:space="preserve"> </w:t>
      </w:r>
      <w:r w:rsidR="001A49A6" w:rsidRPr="004F62EC">
        <w:rPr>
          <w:rFonts w:ascii="Arial" w:hAnsi="Arial" w:cs="Arial"/>
          <w:b/>
          <w:noProof w:val="0"/>
          <w:szCs w:val="22"/>
        </w:rPr>
        <w:tab/>
        <w:t xml:space="preserve">Discussion </w:t>
      </w:r>
    </w:p>
    <w:p w14:paraId="3D51D2C4" w14:textId="251D8E06" w:rsidR="00CE05E4" w:rsidRPr="004F62EC" w:rsidRDefault="0041628A" w:rsidP="0036768F">
      <w:pPr>
        <w:pStyle w:val="Heading1"/>
        <w:numPr>
          <w:ilvl w:val="0"/>
          <w:numId w:val="5"/>
        </w:numPr>
      </w:pPr>
      <w:r w:rsidRPr="004F62EC">
        <w:t>Introduction</w:t>
      </w:r>
    </w:p>
    <w:p w14:paraId="5C0ACF60" w14:textId="184FBB00" w:rsidR="00A62B3C" w:rsidRPr="004F62EC" w:rsidRDefault="00A62B3C" w:rsidP="008A1A46">
      <w:pPr>
        <w:snapToGrid w:val="0"/>
        <w:spacing w:before="120" w:after="120"/>
        <w:jc w:val="both"/>
        <w:rPr>
          <w:rFonts w:eastAsia="宋体"/>
          <w:noProof w:val="0"/>
          <w:kern w:val="2"/>
          <w:sz w:val="22"/>
          <w:szCs w:val="22"/>
          <w:lang w:eastAsia="zh-CN"/>
        </w:rPr>
      </w:pPr>
      <w:r w:rsidRPr="004F62EC">
        <w:rPr>
          <w:rFonts w:eastAsia="宋体" w:hint="eastAsia"/>
          <w:noProof w:val="0"/>
          <w:kern w:val="2"/>
          <w:sz w:val="22"/>
          <w:szCs w:val="22"/>
          <w:lang w:eastAsia="zh-CN"/>
        </w:rPr>
        <w:t>In RAN#8</w:t>
      </w:r>
      <w:r w:rsidR="00C6475A" w:rsidRPr="004F62EC">
        <w:rPr>
          <w:rFonts w:eastAsia="宋体"/>
          <w:noProof w:val="0"/>
          <w:kern w:val="2"/>
          <w:sz w:val="22"/>
          <w:szCs w:val="22"/>
          <w:lang w:eastAsia="zh-CN"/>
        </w:rPr>
        <w:t>6</w:t>
      </w:r>
      <w:r w:rsidRPr="004F62EC">
        <w:rPr>
          <w:rFonts w:eastAsia="宋体" w:hint="eastAsia"/>
          <w:noProof w:val="0"/>
          <w:kern w:val="2"/>
          <w:sz w:val="22"/>
          <w:szCs w:val="22"/>
          <w:lang w:eastAsia="zh-CN"/>
        </w:rPr>
        <w:t xml:space="preserve">, a new </w:t>
      </w:r>
      <w:r w:rsidR="00C6475A" w:rsidRPr="004F62EC">
        <w:rPr>
          <w:rFonts w:eastAsia="宋体"/>
          <w:noProof w:val="0"/>
          <w:kern w:val="2"/>
          <w:sz w:val="22"/>
          <w:szCs w:val="22"/>
          <w:lang w:eastAsia="zh-CN"/>
        </w:rPr>
        <w:t>W</w:t>
      </w:r>
      <w:r w:rsidRPr="004F62EC">
        <w:rPr>
          <w:rFonts w:eastAsia="宋体" w:hint="eastAsia"/>
          <w:noProof w:val="0"/>
          <w:kern w:val="2"/>
          <w:sz w:val="22"/>
          <w:szCs w:val="22"/>
          <w:lang w:eastAsia="zh-CN"/>
        </w:rPr>
        <w:t xml:space="preserve">I </w:t>
      </w:r>
      <w:r w:rsidRPr="004F62EC">
        <w:rPr>
          <w:rFonts w:eastAsia="宋体"/>
          <w:noProof w:val="0"/>
          <w:kern w:val="2"/>
          <w:sz w:val="22"/>
          <w:szCs w:val="22"/>
          <w:lang w:eastAsia="zh-CN"/>
        </w:rPr>
        <w:t>“Solutions for NR to support non-terrestrial networks (NTN)” was approved</w:t>
      </w:r>
      <w:r w:rsidR="00CE3938" w:rsidRPr="004F62EC">
        <w:rPr>
          <w:rFonts w:eastAsia="宋体"/>
          <w:noProof w:val="0"/>
          <w:kern w:val="2"/>
          <w:sz w:val="22"/>
          <w:szCs w:val="22"/>
          <w:lang w:eastAsia="zh-CN"/>
        </w:rPr>
        <w:t xml:space="preserve"> </w:t>
      </w:r>
      <w:r w:rsidRPr="004F62EC">
        <w:rPr>
          <w:rFonts w:eastAsia="宋体"/>
          <w:noProof w:val="0"/>
          <w:kern w:val="2"/>
          <w:sz w:val="22"/>
          <w:szCs w:val="22"/>
          <w:lang w:eastAsia="zh-CN"/>
        </w:rPr>
        <w:fldChar w:fldCharType="begin"/>
      </w:r>
      <w:r w:rsidRPr="004F62EC">
        <w:rPr>
          <w:rFonts w:eastAsia="宋体"/>
          <w:noProof w:val="0"/>
          <w:kern w:val="2"/>
          <w:sz w:val="22"/>
          <w:szCs w:val="22"/>
          <w:lang w:eastAsia="zh-CN"/>
        </w:rPr>
        <w:instrText xml:space="preserve"> REF _Ref534892461 \r \h </w:instrText>
      </w:r>
      <w:r w:rsidRPr="004F62EC">
        <w:rPr>
          <w:rFonts w:eastAsia="宋体"/>
          <w:noProof w:val="0"/>
          <w:kern w:val="2"/>
          <w:sz w:val="22"/>
          <w:szCs w:val="22"/>
          <w:lang w:eastAsia="zh-CN"/>
        </w:rPr>
      </w:r>
      <w:r w:rsidRPr="004F62EC">
        <w:rPr>
          <w:rFonts w:eastAsia="宋体"/>
          <w:noProof w:val="0"/>
          <w:kern w:val="2"/>
          <w:sz w:val="22"/>
          <w:szCs w:val="22"/>
          <w:lang w:eastAsia="zh-CN"/>
        </w:rPr>
        <w:fldChar w:fldCharType="separate"/>
      </w:r>
      <w:r w:rsidRPr="004F62EC">
        <w:rPr>
          <w:rFonts w:eastAsia="宋体"/>
          <w:noProof w:val="0"/>
          <w:kern w:val="2"/>
          <w:sz w:val="22"/>
          <w:szCs w:val="22"/>
          <w:lang w:eastAsia="zh-CN"/>
        </w:rPr>
        <w:t>[1]</w:t>
      </w:r>
      <w:r w:rsidRPr="004F62EC">
        <w:rPr>
          <w:rFonts w:eastAsia="宋体"/>
          <w:noProof w:val="0"/>
          <w:kern w:val="2"/>
          <w:sz w:val="22"/>
          <w:szCs w:val="22"/>
          <w:lang w:eastAsia="zh-CN"/>
        </w:rPr>
        <w:fldChar w:fldCharType="end"/>
      </w:r>
      <w:r w:rsidRPr="004F62EC">
        <w:rPr>
          <w:rFonts w:eastAsia="宋体"/>
          <w:noProof w:val="0"/>
          <w:kern w:val="2"/>
          <w:sz w:val="22"/>
          <w:szCs w:val="22"/>
          <w:lang w:eastAsia="zh-CN"/>
        </w:rPr>
        <w:t xml:space="preserve">. </w:t>
      </w:r>
      <w:r w:rsidR="00CE3938" w:rsidRPr="004F62EC">
        <w:rPr>
          <w:rFonts w:eastAsia="宋体"/>
          <w:noProof w:val="0"/>
          <w:kern w:val="2"/>
          <w:sz w:val="22"/>
          <w:szCs w:val="22"/>
          <w:lang w:eastAsia="zh-CN"/>
        </w:rPr>
        <w:t>The work item aims to specify the enhancements identified for NR NTN (non-terrestrial networks) especially LEO and GEO with implicit compatibility to support HAPS (high altitude platform station) and ATG (air to ground) scenarios. For RAN1, the detailed objectives are to specify enhancing features to Rel-15 &amp; Rel-16’s NR radio interface as follows [1]:</w:t>
      </w:r>
    </w:p>
    <w:tbl>
      <w:tblPr>
        <w:tblStyle w:val="TableGrid"/>
        <w:tblW w:w="0" w:type="auto"/>
        <w:tblLook w:val="04A0" w:firstRow="1" w:lastRow="0" w:firstColumn="1" w:lastColumn="0" w:noHBand="0" w:noVBand="1"/>
      </w:tblPr>
      <w:tblGrid>
        <w:gridCol w:w="9962"/>
      </w:tblGrid>
      <w:tr w:rsidR="004F62EC" w:rsidRPr="004F62EC" w14:paraId="68AFA0CC" w14:textId="77777777" w:rsidTr="008C464F">
        <w:tc>
          <w:tcPr>
            <w:tcW w:w="9962" w:type="dxa"/>
          </w:tcPr>
          <w:p w14:paraId="214E9FA9" w14:textId="77777777" w:rsidR="00CE3938" w:rsidRPr="004F62EC" w:rsidRDefault="00CE3938" w:rsidP="008A1A46">
            <w:pPr>
              <w:pStyle w:val="Heading2"/>
              <w:rPr>
                <w:rFonts w:eastAsia="PMingLiU"/>
                <w:lang w:eastAsia="zh-TW"/>
              </w:rPr>
            </w:pPr>
            <w:r w:rsidRPr="004F62EC">
              <w:rPr>
                <w:rFonts w:eastAsia="PMingLiU"/>
                <w:lang w:eastAsia="zh-TW"/>
              </w:rPr>
              <w:t>4.1.1</w:t>
            </w:r>
            <w:r w:rsidRPr="004F62EC">
              <w:rPr>
                <w:rFonts w:eastAsia="PMingLiU"/>
                <w:lang w:eastAsia="zh-TW"/>
              </w:rPr>
              <w:tab/>
              <w:t>RAN1</w:t>
            </w:r>
          </w:p>
          <w:p w14:paraId="604FEB49" w14:textId="77777777" w:rsidR="00CE3938" w:rsidRPr="004F62EC" w:rsidRDefault="00CE3938" w:rsidP="008A1A46">
            <w:pPr>
              <w:rPr>
                <w:sz w:val="22"/>
                <w:szCs w:val="22"/>
                <w:lang w:eastAsia="ja-JP"/>
              </w:rPr>
            </w:pPr>
            <w:r w:rsidRPr="004F62EC">
              <w:rPr>
                <w:sz w:val="22"/>
                <w:szCs w:val="22"/>
              </w:rPr>
              <w:t>Enhancing features to address the identified issues due to long propagation delays, large Doppler effects, and moving cells in NTN,</w:t>
            </w:r>
            <w:r w:rsidRPr="004F62EC">
              <w:rPr>
                <w:sz w:val="22"/>
                <w:szCs w:val="22"/>
                <w:lang w:eastAsia="ja-JP"/>
              </w:rPr>
              <w:t xml:space="preserve"> the following should be specified (see TR 38.821):</w:t>
            </w:r>
          </w:p>
          <w:p w14:paraId="75024800" w14:textId="77777777" w:rsidR="00CE3938" w:rsidRPr="004F62EC" w:rsidRDefault="00CE3938" w:rsidP="0036768F">
            <w:pPr>
              <w:numPr>
                <w:ilvl w:val="0"/>
                <w:numId w:val="8"/>
              </w:numPr>
              <w:overflowPunct w:val="0"/>
              <w:autoSpaceDE w:val="0"/>
              <w:autoSpaceDN w:val="0"/>
              <w:adjustRightInd w:val="0"/>
              <w:spacing w:before="100" w:beforeAutospacing="1" w:after="100" w:afterAutospacing="1"/>
              <w:textAlignment w:val="baseline"/>
              <w:rPr>
                <w:sz w:val="22"/>
                <w:szCs w:val="22"/>
              </w:rPr>
            </w:pPr>
            <w:r w:rsidRPr="004F62EC">
              <w:rPr>
                <w:sz w:val="22"/>
                <w:szCs w:val="22"/>
              </w:rPr>
              <w:t>Timing relationship enhancements[RAN1,RAN2]</w:t>
            </w:r>
          </w:p>
          <w:p w14:paraId="73912B32" w14:textId="77777777" w:rsidR="00CE3938" w:rsidRPr="004F62EC" w:rsidRDefault="00CE3938" w:rsidP="0036768F">
            <w:pPr>
              <w:numPr>
                <w:ilvl w:val="0"/>
                <w:numId w:val="8"/>
              </w:numPr>
              <w:overflowPunct w:val="0"/>
              <w:autoSpaceDE w:val="0"/>
              <w:autoSpaceDN w:val="0"/>
              <w:adjustRightInd w:val="0"/>
              <w:spacing w:before="100" w:beforeAutospacing="1" w:after="100" w:afterAutospacing="1"/>
              <w:textAlignment w:val="baseline"/>
              <w:rPr>
                <w:sz w:val="22"/>
                <w:szCs w:val="22"/>
              </w:rPr>
            </w:pPr>
            <w:r w:rsidRPr="004F62EC">
              <w:rPr>
                <w:sz w:val="22"/>
                <w:szCs w:val="22"/>
              </w:rPr>
              <w:t>Enhancements on UL time and frequency synchronization [RAN1,RAN2]</w:t>
            </w:r>
          </w:p>
          <w:p w14:paraId="23331F77" w14:textId="77777777" w:rsidR="00CE3938" w:rsidRPr="004F62EC" w:rsidRDefault="00CE3938" w:rsidP="0036768F">
            <w:pPr>
              <w:numPr>
                <w:ilvl w:val="0"/>
                <w:numId w:val="8"/>
              </w:numPr>
              <w:overflowPunct w:val="0"/>
              <w:autoSpaceDE w:val="0"/>
              <w:autoSpaceDN w:val="0"/>
              <w:adjustRightInd w:val="0"/>
              <w:spacing w:before="100" w:beforeAutospacing="1" w:after="100" w:afterAutospacing="1"/>
              <w:textAlignment w:val="baseline"/>
              <w:rPr>
                <w:sz w:val="22"/>
                <w:szCs w:val="22"/>
              </w:rPr>
            </w:pPr>
            <w:r w:rsidRPr="004F62EC">
              <w:rPr>
                <w:sz w:val="22"/>
                <w:szCs w:val="22"/>
              </w:rPr>
              <w:t>HARQ</w:t>
            </w:r>
          </w:p>
          <w:p w14:paraId="7B4AED45" w14:textId="77777777" w:rsidR="00CE3938" w:rsidRPr="004F62EC" w:rsidRDefault="00CE3938" w:rsidP="0036768F">
            <w:pPr>
              <w:numPr>
                <w:ilvl w:val="1"/>
                <w:numId w:val="8"/>
              </w:numPr>
              <w:overflowPunct w:val="0"/>
              <w:autoSpaceDE w:val="0"/>
              <w:autoSpaceDN w:val="0"/>
              <w:adjustRightInd w:val="0"/>
              <w:spacing w:before="100" w:beforeAutospacing="1" w:after="100" w:afterAutospacing="1"/>
              <w:textAlignment w:val="baseline"/>
              <w:rPr>
                <w:sz w:val="22"/>
                <w:szCs w:val="22"/>
              </w:rPr>
            </w:pPr>
            <w:r w:rsidRPr="004F62EC">
              <w:rPr>
                <w:sz w:val="22"/>
                <w:szCs w:val="22"/>
              </w:rPr>
              <w:t>Number of HARQ process [RAN1]</w:t>
            </w:r>
          </w:p>
          <w:p w14:paraId="5C376E27" w14:textId="566C420D" w:rsidR="00CE3938" w:rsidRPr="004F62EC" w:rsidRDefault="00CE3938" w:rsidP="0036768F">
            <w:pPr>
              <w:numPr>
                <w:ilvl w:val="1"/>
                <w:numId w:val="8"/>
              </w:numPr>
              <w:overflowPunct w:val="0"/>
              <w:autoSpaceDE w:val="0"/>
              <w:autoSpaceDN w:val="0"/>
              <w:adjustRightInd w:val="0"/>
              <w:spacing w:before="100" w:beforeAutospacing="1" w:after="100" w:afterAutospacing="1"/>
              <w:textAlignment w:val="baseline"/>
              <w:rPr>
                <w:sz w:val="22"/>
                <w:szCs w:val="22"/>
              </w:rPr>
            </w:pPr>
            <w:r w:rsidRPr="004F62EC">
              <w:rPr>
                <w:sz w:val="22"/>
                <w:szCs w:val="22"/>
              </w:rPr>
              <w:t>Enabling / disabling of HARQ feedback as described in the TR 38.821 [RAN1&amp;2]</w:t>
            </w:r>
          </w:p>
          <w:p w14:paraId="5589B8B7" w14:textId="77777777" w:rsidR="00CE3938" w:rsidRPr="004F62EC" w:rsidRDefault="00CE3938" w:rsidP="008A1A46">
            <w:pPr>
              <w:rPr>
                <w:sz w:val="22"/>
                <w:szCs w:val="22"/>
              </w:rPr>
            </w:pPr>
            <w:r w:rsidRPr="004F62EC">
              <w:rPr>
                <w:sz w:val="22"/>
                <w:szCs w:val="22"/>
              </w:rPr>
              <w:t>In addition, the following topics should be specified if beneficial and needed</w:t>
            </w:r>
          </w:p>
          <w:p w14:paraId="1F802990" w14:textId="77777777" w:rsidR="00CE3938" w:rsidRPr="004F62EC" w:rsidRDefault="00CE3938" w:rsidP="0036768F">
            <w:pPr>
              <w:numPr>
                <w:ilvl w:val="0"/>
                <w:numId w:val="8"/>
              </w:numPr>
              <w:overflowPunct w:val="0"/>
              <w:autoSpaceDE w:val="0"/>
              <w:autoSpaceDN w:val="0"/>
              <w:adjustRightInd w:val="0"/>
              <w:spacing w:before="100" w:beforeAutospacing="1" w:after="100" w:afterAutospacing="1"/>
              <w:textAlignment w:val="baseline"/>
              <w:rPr>
                <w:sz w:val="22"/>
                <w:szCs w:val="22"/>
              </w:rPr>
            </w:pPr>
            <w:r w:rsidRPr="004F62EC">
              <w:rPr>
                <w:sz w:val="22"/>
                <w:szCs w:val="22"/>
              </w:rPr>
              <w:t>Enhancement on the PRACH sequence and/or format and extension of the ra-ResponseWindow duration (in the case of UE with GNSS capability but without pre-compensation of timing and frequency offset capabilities) [RAN1/2]</w:t>
            </w:r>
            <w:r w:rsidRPr="004F62EC">
              <w:rPr>
                <w:rFonts w:eastAsia="PMingLiU"/>
                <w:sz w:val="22"/>
                <w:szCs w:val="22"/>
                <w:lang w:eastAsia="zh-TW"/>
              </w:rPr>
              <w:t>.</w:t>
            </w:r>
          </w:p>
          <w:p w14:paraId="12C72E11" w14:textId="77777777" w:rsidR="00CE3938" w:rsidRPr="004F62EC" w:rsidRDefault="00CE3938" w:rsidP="0036768F">
            <w:pPr>
              <w:numPr>
                <w:ilvl w:val="0"/>
                <w:numId w:val="8"/>
              </w:numPr>
              <w:overflowPunct w:val="0"/>
              <w:autoSpaceDE w:val="0"/>
              <w:autoSpaceDN w:val="0"/>
              <w:adjustRightInd w:val="0"/>
              <w:spacing w:before="100" w:beforeAutospacing="1" w:after="100" w:afterAutospacing="1"/>
              <w:textAlignment w:val="baseline"/>
              <w:rPr>
                <w:sz w:val="22"/>
                <w:szCs w:val="22"/>
              </w:rPr>
            </w:pPr>
            <w:r w:rsidRPr="004F62EC">
              <w:rPr>
                <w:sz w:val="22"/>
                <w:szCs w:val="22"/>
              </w:rPr>
              <w:t>Feeder link switch [RAN2,RAN1]</w:t>
            </w:r>
          </w:p>
          <w:p w14:paraId="7E3EF0DA" w14:textId="77777777" w:rsidR="00CE3938" w:rsidRPr="004F62EC" w:rsidRDefault="00CE3938" w:rsidP="0036768F">
            <w:pPr>
              <w:numPr>
                <w:ilvl w:val="0"/>
                <w:numId w:val="8"/>
              </w:numPr>
              <w:overflowPunct w:val="0"/>
              <w:autoSpaceDE w:val="0"/>
              <w:autoSpaceDN w:val="0"/>
              <w:adjustRightInd w:val="0"/>
              <w:spacing w:before="100" w:beforeAutospacing="1" w:after="100" w:afterAutospacing="1"/>
              <w:textAlignment w:val="baseline"/>
              <w:rPr>
                <w:sz w:val="22"/>
                <w:szCs w:val="22"/>
              </w:rPr>
            </w:pPr>
            <w:r w:rsidRPr="004F62EC">
              <w:rPr>
                <w:sz w:val="22"/>
                <w:szCs w:val="22"/>
              </w:rPr>
              <w:t>Beam management and Bandwidth Parts (BWP) operation for NTN with frequency reuse [RAN1/2]</w:t>
            </w:r>
          </w:p>
          <w:p w14:paraId="4FAAE19E" w14:textId="77777777" w:rsidR="00CE3938" w:rsidRPr="004F62EC" w:rsidRDefault="00CE3938" w:rsidP="0036768F">
            <w:pPr>
              <w:numPr>
                <w:ilvl w:val="1"/>
                <w:numId w:val="8"/>
              </w:numPr>
              <w:overflowPunct w:val="0"/>
              <w:autoSpaceDE w:val="0"/>
              <w:autoSpaceDN w:val="0"/>
              <w:adjustRightInd w:val="0"/>
              <w:textAlignment w:val="baseline"/>
              <w:rPr>
                <w:rFonts w:eastAsia="PMingLiU"/>
                <w:sz w:val="22"/>
                <w:szCs w:val="22"/>
                <w:lang w:eastAsia="zh-TW"/>
              </w:rPr>
            </w:pPr>
            <w:r w:rsidRPr="004F62EC">
              <w:rPr>
                <w:rFonts w:eastAsia="PMingLiU"/>
                <w:sz w:val="22"/>
                <w:szCs w:val="22"/>
                <w:lang w:eastAsia="zh-TW"/>
              </w:rPr>
              <w:t>Including signalling of polarization mode</w:t>
            </w:r>
          </w:p>
          <w:p w14:paraId="41DA244E" w14:textId="77777777" w:rsidR="00A62B3C" w:rsidRPr="004F62EC" w:rsidRDefault="00A62B3C" w:rsidP="008A1A46">
            <w:pPr>
              <w:rPr>
                <w:rFonts w:eastAsia="PMingLiU"/>
                <w:lang w:eastAsia="zh-TW"/>
              </w:rPr>
            </w:pPr>
          </w:p>
        </w:tc>
      </w:tr>
    </w:tbl>
    <w:p w14:paraId="79DE3100" w14:textId="1AC1CAC2" w:rsidR="00A62B3C" w:rsidRPr="004F62EC" w:rsidRDefault="00A62B3C" w:rsidP="008A1A46">
      <w:pPr>
        <w:snapToGrid w:val="0"/>
        <w:spacing w:before="120" w:after="120"/>
        <w:jc w:val="both"/>
        <w:rPr>
          <w:rFonts w:eastAsia="宋体"/>
          <w:noProof w:val="0"/>
          <w:kern w:val="2"/>
          <w:sz w:val="22"/>
          <w:szCs w:val="22"/>
          <w:lang w:eastAsia="zh-CN"/>
        </w:rPr>
      </w:pPr>
      <w:r w:rsidRPr="004F62EC">
        <w:rPr>
          <w:rFonts w:eastAsia="宋体" w:hint="eastAsia"/>
          <w:noProof w:val="0"/>
          <w:kern w:val="2"/>
          <w:sz w:val="22"/>
          <w:szCs w:val="22"/>
          <w:lang w:eastAsia="zh-CN"/>
        </w:rPr>
        <w:t xml:space="preserve">In </w:t>
      </w:r>
      <w:r w:rsidRPr="004F62EC">
        <w:rPr>
          <w:rFonts w:eastAsia="宋体"/>
          <w:noProof w:val="0"/>
          <w:kern w:val="2"/>
          <w:sz w:val="22"/>
          <w:szCs w:val="22"/>
          <w:lang w:eastAsia="zh-CN"/>
        </w:rPr>
        <w:t xml:space="preserve">this contribution, we share our considerations on </w:t>
      </w:r>
      <w:r w:rsidR="00116980" w:rsidRPr="004F62EC">
        <w:rPr>
          <w:rFonts w:eastAsia="宋体"/>
          <w:noProof w:val="0"/>
          <w:kern w:val="2"/>
          <w:sz w:val="22"/>
          <w:szCs w:val="22"/>
          <w:lang w:eastAsia="zh-CN"/>
        </w:rPr>
        <w:t xml:space="preserve">enhancement </w:t>
      </w:r>
      <w:r w:rsidR="00721634" w:rsidRPr="004F62EC">
        <w:rPr>
          <w:rFonts w:eastAsia="宋体"/>
          <w:noProof w:val="0"/>
          <w:kern w:val="2"/>
          <w:sz w:val="22"/>
          <w:szCs w:val="22"/>
          <w:lang w:eastAsia="zh-CN"/>
        </w:rPr>
        <w:t xml:space="preserve">of </w:t>
      </w:r>
      <w:r w:rsidR="00C41A7C" w:rsidRPr="004F62EC">
        <w:rPr>
          <w:rFonts w:eastAsia="宋体" w:hint="eastAsia"/>
          <w:noProof w:val="0"/>
          <w:kern w:val="2"/>
          <w:sz w:val="22"/>
          <w:szCs w:val="22"/>
          <w:lang w:eastAsia="zh-CN"/>
        </w:rPr>
        <w:t>HAR</w:t>
      </w:r>
      <w:r w:rsidR="00C41A7C" w:rsidRPr="004F62EC">
        <w:rPr>
          <w:rFonts w:eastAsia="宋体"/>
          <w:noProof w:val="0"/>
          <w:kern w:val="2"/>
          <w:sz w:val="22"/>
          <w:szCs w:val="22"/>
          <w:lang w:eastAsia="zh-CN"/>
        </w:rPr>
        <w:t>Q</w:t>
      </w:r>
      <w:r w:rsidR="00116980" w:rsidRPr="004F62EC">
        <w:rPr>
          <w:rFonts w:eastAsia="宋体"/>
          <w:noProof w:val="0"/>
          <w:kern w:val="2"/>
          <w:sz w:val="22"/>
          <w:szCs w:val="22"/>
          <w:lang w:eastAsia="zh-CN"/>
        </w:rPr>
        <w:t xml:space="preserve"> for NTN</w:t>
      </w:r>
      <w:r w:rsidRPr="004F62EC">
        <w:rPr>
          <w:rFonts w:eastAsia="宋体"/>
          <w:noProof w:val="0"/>
          <w:kern w:val="2"/>
          <w:sz w:val="22"/>
          <w:szCs w:val="22"/>
          <w:lang w:eastAsia="zh-CN"/>
        </w:rPr>
        <w:t>.</w:t>
      </w:r>
    </w:p>
    <w:p w14:paraId="5560559A" w14:textId="77777777" w:rsidR="006606BE" w:rsidRPr="004F62EC" w:rsidRDefault="006606BE" w:rsidP="006606BE">
      <w:pPr>
        <w:pStyle w:val="Heading1"/>
        <w:numPr>
          <w:ilvl w:val="0"/>
          <w:numId w:val="12"/>
        </w:numPr>
      </w:pPr>
      <w:r w:rsidRPr="004F62EC">
        <w:t>HARQ process number extension</w:t>
      </w:r>
    </w:p>
    <w:p w14:paraId="566EBF7F" w14:textId="0A9C5F12" w:rsidR="002D68C2" w:rsidRPr="004F62EC" w:rsidRDefault="002D68C2" w:rsidP="006606BE">
      <w:pPr>
        <w:snapToGrid w:val="0"/>
        <w:spacing w:before="120" w:after="120"/>
        <w:jc w:val="both"/>
        <w:rPr>
          <w:rFonts w:eastAsia="宋体"/>
          <w:noProof w:val="0"/>
          <w:kern w:val="2"/>
          <w:sz w:val="22"/>
          <w:szCs w:val="22"/>
          <w:lang w:eastAsia="zh-CN"/>
        </w:rPr>
      </w:pPr>
      <w:r w:rsidRPr="004F62EC">
        <w:rPr>
          <w:rFonts w:eastAsia="宋体" w:hint="eastAsia"/>
          <w:noProof w:val="0"/>
          <w:kern w:val="2"/>
          <w:sz w:val="22"/>
          <w:szCs w:val="22"/>
          <w:lang w:eastAsia="zh-CN"/>
        </w:rPr>
        <w:t>I</w:t>
      </w:r>
      <w:r w:rsidRPr="004F62EC">
        <w:rPr>
          <w:rFonts w:eastAsia="宋体"/>
          <w:noProof w:val="0"/>
          <w:kern w:val="2"/>
          <w:sz w:val="22"/>
          <w:szCs w:val="22"/>
          <w:lang w:eastAsia="zh-CN"/>
        </w:rPr>
        <w:t>n RAN1#10</w:t>
      </w:r>
      <w:r w:rsidR="00AE2E4F" w:rsidRPr="004F62EC">
        <w:rPr>
          <w:rFonts w:eastAsia="宋体" w:hint="eastAsia"/>
          <w:noProof w:val="0"/>
          <w:kern w:val="2"/>
          <w:sz w:val="22"/>
          <w:szCs w:val="22"/>
          <w:lang w:eastAsia="zh-CN"/>
        </w:rPr>
        <w:t>3</w:t>
      </w:r>
      <w:r w:rsidRPr="004F62EC">
        <w:rPr>
          <w:rFonts w:eastAsia="宋体"/>
          <w:noProof w:val="0"/>
          <w:kern w:val="2"/>
          <w:sz w:val="22"/>
          <w:szCs w:val="22"/>
          <w:lang w:eastAsia="zh-CN"/>
        </w:rPr>
        <w:t>e meeting [</w:t>
      </w:r>
      <w:r w:rsidR="008C2D7F" w:rsidRPr="004F62EC">
        <w:rPr>
          <w:rFonts w:eastAsia="宋体"/>
          <w:noProof w:val="0"/>
          <w:kern w:val="2"/>
          <w:sz w:val="22"/>
          <w:szCs w:val="22"/>
          <w:lang w:eastAsia="zh-CN"/>
        </w:rPr>
        <w:t>2</w:t>
      </w:r>
      <w:r w:rsidRPr="004F62EC">
        <w:rPr>
          <w:rFonts w:eastAsia="宋体"/>
          <w:noProof w:val="0"/>
          <w:kern w:val="2"/>
          <w:sz w:val="22"/>
          <w:szCs w:val="22"/>
          <w:lang w:eastAsia="zh-CN"/>
        </w:rPr>
        <w:t xml:space="preserve">], </w:t>
      </w:r>
      <w:r w:rsidR="00721634" w:rsidRPr="004F62EC">
        <w:rPr>
          <w:rFonts w:eastAsia="宋体"/>
          <w:noProof w:val="0"/>
          <w:kern w:val="2"/>
          <w:sz w:val="22"/>
          <w:szCs w:val="22"/>
          <w:lang w:eastAsia="zh-CN"/>
        </w:rPr>
        <w:t xml:space="preserve">the </w:t>
      </w:r>
      <w:r w:rsidRPr="004F62EC">
        <w:rPr>
          <w:rFonts w:eastAsia="宋体"/>
          <w:noProof w:val="0"/>
          <w:kern w:val="2"/>
          <w:sz w:val="22"/>
          <w:szCs w:val="22"/>
          <w:lang w:eastAsia="zh-CN"/>
        </w:rPr>
        <w:t>following agreements were achieved on HARQ process number extension.</w:t>
      </w:r>
    </w:p>
    <w:tbl>
      <w:tblPr>
        <w:tblStyle w:val="TableGrid"/>
        <w:tblW w:w="0" w:type="auto"/>
        <w:tblLook w:val="04A0" w:firstRow="1" w:lastRow="0" w:firstColumn="1" w:lastColumn="0" w:noHBand="0" w:noVBand="1"/>
      </w:tblPr>
      <w:tblGrid>
        <w:gridCol w:w="9962"/>
      </w:tblGrid>
      <w:tr w:rsidR="004F62EC" w:rsidRPr="004F62EC" w14:paraId="287682FE" w14:textId="77777777" w:rsidTr="002D68C2">
        <w:tc>
          <w:tcPr>
            <w:tcW w:w="9962" w:type="dxa"/>
          </w:tcPr>
          <w:p w14:paraId="494321EB" w14:textId="77777777" w:rsidR="00AE2E4F" w:rsidRPr="004F62EC" w:rsidRDefault="00AE2E4F" w:rsidP="00AE2E4F">
            <w:pPr>
              <w:rPr>
                <w:bCs/>
                <w:iCs/>
                <w:sz w:val="22"/>
                <w:szCs w:val="22"/>
              </w:rPr>
            </w:pPr>
            <w:r w:rsidRPr="004F62EC">
              <w:rPr>
                <w:bCs/>
                <w:iCs/>
                <w:sz w:val="22"/>
                <w:szCs w:val="22"/>
                <w:highlight w:val="green"/>
              </w:rPr>
              <w:t>Agreement:</w:t>
            </w:r>
          </w:p>
          <w:p w14:paraId="2F790093" w14:textId="77777777" w:rsidR="00AE2E4F" w:rsidRPr="004F62EC" w:rsidRDefault="00AE2E4F" w:rsidP="00AE2E4F">
            <w:pPr>
              <w:numPr>
                <w:ilvl w:val="0"/>
                <w:numId w:val="19"/>
              </w:numPr>
              <w:rPr>
                <w:sz w:val="22"/>
                <w:szCs w:val="22"/>
                <w:lang w:eastAsia="x-none"/>
              </w:rPr>
            </w:pPr>
            <w:r w:rsidRPr="004F62EC">
              <w:rPr>
                <w:sz w:val="22"/>
                <w:szCs w:val="22"/>
                <w:lang w:eastAsia="x-none"/>
              </w:rPr>
              <w:t>Enhanced HARQ process ID indication is supported for DCI 0-2/1-2 and DCI 0-1/1-1 by at least one of following:</w:t>
            </w:r>
          </w:p>
          <w:p w14:paraId="5017D6D3" w14:textId="77777777" w:rsidR="00AE2E4F" w:rsidRPr="004F62EC" w:rsidRDefault="00AE2E4F" w:rsidP="00AE2E4F">
            <w:pPr>
              <w:numPr>
                <w:ilvl w:val="1"/>
                <w:numId w:val="20"/>
              </w:numPr>
              <w:rPr>
                <w:iCs/>
                <w:sz w:val="22"/>
                <w:szCs w:val="22"/>
                <w:lang w:eastAsia="x-none"/>
              </w:rPr>
            </w:pPr>
            <w:r w:rsidRPr="004F62EC">
              <w:rPr>
                <w:iCs/>
                <w:sz w:val="22"/>
                <w:szCs w:val="22"/>
                <w:lang w:eastAsia="x-none"/>
              </w:rPr>
              <w:t>Option 1: Slot index as the MSB</w:t>
            </w:r>
          </w:p>
          <w:p w14:paraId="3D994B2C" w14:textId="77777777" w:rsidR="00AE2E4F" w:rsidRPr="004F62EC" w:rsidRDefault="00AE2E4F" w:rsidP="00AE2E4F">
            <w:pPr>
              <w:numPr>
                <w:ilvl w:val="1"/>
                <w:numId w:val="20"/>
              </w:numPr>
              <w:rPr>
                <w:iCs/>
                <w:sz w:val="22"/>
                <w:szCs w:val="22"/>
                <w:lang w:eastAsia="x-none"/>
              </w:rPr>
            </w:pPr>
            <w:r w:rsidRPr="004F62EC">
              <w:rPr>
                <w:iCs/>
                <w:sz w:val="22"/>
                <w:szCs w:val="22"/>
                <w:lang w:eastAsia="x-none"/>
              </w:rPr>
              <w:t>Option 1-a:Slot index as the LSB </w:t>
            </w:r>
          </w:p>
          <w:p w14:paraId="3CE5ADC0" w14:textId="77777777" w:rsidR="00AE2E4F" w:rsidRPr="004F62EC" w:rsidRDefault="00AE2E4F" w:rsidP="00AE2E4F">
            <w:pPr>
              <w:numPr>
                <w:ilvl w:val="1"/>
                <w:numId w:val="20"/>
              </w:numPr>
              <w:rPr>
                <w:iCs/>
                <w:sz w:val="22"/>
                <w:szCs w:val="22"/>
                <w:lang w:eastAsia="x-none"/>
              </w:rPr>
            </w:pPr>
            <w:r w:rsidRPr="004F62EC">
              <w:rPr>
                <w:iCs/>
                <w:sz w:val="22"/>
                <w:szCs w:val="22"/>
                <w:lang w:eastAsia="x-none"/>
              </w:rPr>
              <w:t>Option 2: Reusing one bit from other bit field</w:t>
            </w:r>
          </w:p>
          <w:p w14:paraId="524785A0" w14:textId="77777777" w:rsidR="00AE2E4F" w:rsidRPr="004F62EC" w:rsidRDefault="00AE2E4F" w:rsidP="00AE2E4F">
            <w:pPr>
              <w:numPr>
                <w:ilvl w:val="1"/>
                <w:numId w:val="20"/>
              </w:numPr>
              <w:rPr>
                <w:iCs/>
                <w:sz w:val="22"/>
                <w:szCs w:val="22"/>
                <w:lang w:eastAsia="x-none"/>
              </w:rPr>
            </w:pPr>
            <w:r w:rsidRPr="004F62EC">
              <w:rPr>
                <w:iCs/>
                <w:sz w:val="22"/>
                <w:szCs w:val="22"/>
                <w:lang w:eastAsia="x-none"/>
              </w:rPr>
              <w:t>Option 3: Extending the HARQ process ID field up to 5 bits </w:t>
            </w:r>
          </w:p>
          <w:p w14:paraId="1CDE3407" w14:textId="77777777" w:rsidR="00AE2E4F" w:rsidRPr="004F62EC" w:rsidRDefault="00AE2E4F" w:rsidP="00AE2E4F">
            <w:pPr>
              <w:numPr>
                <w:ilvl w:val="0"/>
                <w:numId w:val="20"/>
              </w:numPr>
              <w:rPr>
                <w:sz w:val="22"/>
                <w:szCs w:val="22"/>
                <w:lang w:eastAsia="x-none"/>
              </w:rPr>
            </w:pPr>
            <w:r w:rsidRPr="004F62EC">
              <w:rPr>
                <w:sz w:val="22"/>
                <w:szCs w:val="22"/>
                <w:lang w:eastAsia="x-none"/>
              </w:rPr>
              <w:t>FFS: DCI 0-0/1-0</w:t>
            </w:r>
          </w:p>
          <w:p w14:paraId="50AD6E8A" w14:textId="1DB5D2E7" w:rsidR="002D68C2" w:rsidRPr="004F62EC" w:rsidRDefault="00AE2E4F" w:rsidP="00AE2E4F">
            <w:pPr>
              <w:numPr>
                <w:ilvl w:val="0"/>
                <w:numId w:val="20"/>
              </w:numPr>
              <w:rPr>
                <w:szCs w:val="20"/>
                <w:lang w:eastAsia="x-none"/>
              </w:rPr>
            </w:pPr>
            <w:r w:rsidRPr="004F62EC">
              <w:rPr>
                <w:sz w:val="22"/>
                <w:szCs w:val="22"/>
                <w:lang w:eastAsia="x-none"/>
              </w:rPr>
              <w:t>Note: 32 is taken as maximal supported HARQ processes number for both UL and DL</w:t>
            </w:r>
          </w:p>
        </w:tc>
      </w:tr>
    </w:tbl>
    <w:p w14:paraId="7EA5180A" w14:textId="77777777" w:rsidR="00940BDF" w:rsidRDefault="000E772B" w:rsidP="000E772B">
      <w:pPr>
        <w:pStyle w:val="Eqn"/>
        <w:spacing w:before="120"/>
        <w:rPr>
          <w:lang w:eastAsia="zh-CN"/>
        </w:rPr>
      </w:pPr>
      <w:r w:rsidRPr="004F62EC">
        <w:rPr>
          <w:lang w:eastAsia="zh-CN"/>
        </w:rPr>
        <w:t xml:space="preserve">First, a unified solution for all DCI formats is preferred. </w:t>
      </w:r>
      <w:r w:rsidR="00587D73" w:rsidRPr="004F62EC">
        <w:rPr>
          <w:lang w:eastAsia="zh-CN"/>
        </w:rPr>
        <w:t xml:space="preserve">Option 1, Option 1-a and Option 2 </w:t>
      </w:r>
      <w:r w:rsidR="00F0026B" w:rsidRPr="004F62EC">
        <w:rPr>
          <w:lang w:eastAsia="zh-CN"/>
        </w:rPr>
        <w:t>are implicit indication</w:t>
      </w:r>
      <w:r w:rsidRPr="004F62EC">
        <w:rPr>
          <w:lang w:eastAsia="zh-CN"/>
        </w:rPr>
        <w:t xml:space="preserve"> and will not change the DCI format size</w:t>
      </w:r>
      <w:r w:rsidR="00F0026B" w:rsidRPr="004F62EC">
        <w:rPr>
          <w:lang w:eastAsia="zh-CN"/>
        </w:rPr>
        <w:t>, while Option 3 is explicit indication</w:t>
      </w:r>
      <w:r w:rsidRPr="004F62EC">
        <w:rPr>
          <w:lang w:eastAsia="zh-CN"/>
        </w:rPr>
        <w:t xml:space="preserve"> which may change the DCI format </w:t>
      </w:r>
      <w:r w:rsidRPr="004F62EC">
        <w:rPr>
          <w:lang w:eastAsia="zh-CN"/>
        </w:rPr>
        <w:lastRenderedPageBreak/>
        <w:t>size. In option 2, detailed solutions such as which field is reused should be clarified to avoid possible damage to</w:t>
      </w:r>
      <w:r w:rsidR="00D21023" w:rsidRPr="004F62EC">
        <w:rPr>
          <w:lang w:eastAsia="zh-CN"/>
        </w:rPr>
        <w:t xml:space="preserve"> other features</w:t>
      </w:r>
      <w:r w:rsidRPr="004F62EC">
        <w:rPr>
          <w:lang w:eastAsia="zh-CN"/>
        </w:rPr>
        <w:t>.</w:t>
      </w:r>
      <w:r w:rsidR="00696A86">
        <w:rPr>
          <w:rFonts w:hint="eastAsia"/>
          <w:lang w:eastAsia="zh-CN"/>
        </w:rPr>
        <w:t xml:space="preserve"> </w:t>
      </w:r>
    </w:p>
    <w:p w14:paraId="60DC4786" w14:textId="33D4D3C1" w:rsidR="000604D4" w:rsidRDefault="00940BDF" w:rsidP="000E772B">
      <w:pPr>
        <w:pStyle w:val="Eqn"/>
        <w:spacing w:before="120"/>
        <w:rPr>
          <w:lang w:eastAsia="zh-CN"/>
        </w:rPr>
      </w:pPr>
      <w:r>
        <w:rPr>
          <w:lang w:eastAsia="zh-CN"/>
        </w:rPr>
        <w:t>In RAN2#113 e-meeting [</w:t>
      </w:r>
      <w:r w:rsidR="00D674ED">
        <w:rPr>
          <w:lang w:eastAsia="zh-CN"/>
        </w:rPr>
        <w:t>3</w:t>
      </w:r>
      <w:r>
        <w:rPr>
          <w:lang w:eastAsia="zh-CN"/>
        </w:rPr>
        <w:t xml:space="preserve">], it was agreed that a UE needs to know whether the network is a TN or NTN no later than SIB1 reception. DCI </w:t>
      </w:r>
      <w:r w:rsidR="00A05ECC">
        <w:rPr>
          <w:lang w:eastAsia="zh-CN"/>
        </w:rPr>
        <w:t>1_0</w:t>
      </w:r>
      <w:r>
        <w:rPr>
          <w:lang w:eastAsia="zh-CN"/>
        </w:rPr>
        <w:t xml:space="preserve"> is used to schedule SIB1 which </w:t>
      </w:r>
      <w:r w:rsidR="00A05ECC">
        <w:rPr>
          <w:lang w:eastAsia="zh-CN"/>
        </w:rPr>
        <w:t>is expected to</w:t>
      </w:r>
      <w:r>
        <w:rPr>
          <w:lang w:eastAsia="zh-CN"/>
        </w:rPr>
        <w:t xml:space="preserve"> indicate the network information, e.g., TN/NTN</w:t>
      </w:r>
      <w:r w:rsidR="007E3E38">
        <w:rPr>
          <w:lang w:eastAsia="zh-CN"/>
        </w:rPr>
        <w:t>.</w:t>
      </w:r>
      <w:r>
        <w:rPr>
          <w:lang w:eastAsia="zh-CN"/>
        </w:rPr>
        <w:t xml:space="preserve">  </w:t>
      </w:r>
      <w:r w:rsidR="007E3E38">
        <w:rPr>
          <w:lang w:eastAsia="zh-CN"/>
        </w:rPr>
        <w:t>I</w:t>
      </w:r>
      <w:r w:rsidR="001D6379">
        <w:rPr>
          <w:lang w:eastAsia="zh-CN"/>
        </w:rPr>
        <w:t>f</w:t>
      </w:r>
      <w:r w:rsidR="005D6A12">
        <w:rPr>
          <w:lang w:eastAsia="zh-CN"/>
        </w:rPr>
        <w:t xml:space="preserve"> Option 2</w:t>
      </w:r>
      <w:r w:rsidR="004E53AE">
        <w:rPr>
          <w:lang w:eastAsia="zh-CN"/>
        </w:rPr>
        <w:t>/3</w:t>
      </w:r>
      <w:r w:rsidR="005D6A12">
        <w:rPr>
          <w:lang w:eastAsia="zh-CN"/>
        </w:rPr>
        <w:t xml:space="preserve"> is adopted</w:t>
      </w:r>
      <w:r w:rsidR="004E53AE">
        <w:rPr>
          <w:lang w:eastAsia="zh-CN"/>
        </w:rPr>
        <w:t xml:space="preserve"> </w:t>
      </w:r>
      <w:r w:rsidR="007F19EC">
        <w:rPr>
          <w:rFonts w:hint="eastAsia"/>
          <w:lang w:eastAsia="zh-CN"/>
        </w:rPr>
        <w:t>t</w:t>
      </w:r>
      <w:r w:rsidR="007F19EC">
        <w:rPr>
          <w:lang w:eastAsia="zh-CN"/>
        </w:rPr>
        <w:t>he</w:t>
      </w:r>
      <w:r w:rsidR="007E3E38">
        <w:rPr>
          <w:lang w:eastAsia="zh-CN"/>
        </w:rPr>
        <w:t>n during the decoding of th</w:t>
      </w:r>
      <w:r w:rsidR="00971B16">
        <w:rPr>
          <w:lang w:eastAsia="zh-CN"/>
        </w:rPr>
        <w:t>is DCI 1_0</w:t>
      </w:r>
      <w:r w:rsidR="007F19EC">
        <w:rPr>
          <w:lang w:eastAsia="zh-CN"/>
        </w:rPr>
        <w:t xml:space="preserve"> </w:t>
      </w:r>
      <w:r w:rsidR="00971B16">
        <w:rPr>
          <w:lang w:eastAsia="zh-CN"/>
        </w:rPr>
        <w:t>scheduling SIB1</w:t>
      </w:r>
      <w:r w:rsidR="00FA0C4C">
        <w:rPr>
          <w:lang w:eastAsia="zh-CN"/>
        </w:rPr>
        <w:t xml:space="preserve">, the UE will not yet know whether it is on a TN or an NTN. Therefore, </w:t>
      </w:r>
      <w:r w:rsidR="007F19EC">
        <w:rPr>
          <w:rFonts w:hint="eastAsia"/>
          <w:lang w:eastAsia="zh-CN"/>
        </w:rPr>
        <w:t>t</w:t>
      </w:r>
      <w:r w:rsidR="007F19EC">
        <w:rPr>
          <w:lang w:eastAsia="zh-CN"/>
        </w:rPr>
        <w:t>he UE</w:t>
      </w:r>
      <w:r>
        <w:rPr>
          <w:lang w:eastAsia="zh-CN"/>
        </w:rPr>
        <w:t xml:space="preserve"> know</w:t>
      </w:r>
      <w:r w:rsidR="007F19EC">
        <w:rPr>
          <w:lang w:eastAsia="zh-CN"/>
        </w:rPr>
        <w:t>s</w:t>
      </w:r>
      <w:r>
        <w:rPr>
          <w:lang w:eastAsia="zh-CN"/>
        </w:rPr>
        <w:t xml:space="preserve"> </w:t>
      </w:r>
      <w:r w:rsidR="001D6379">
        <w:rPr>
          <w:lang w:eastAsia="zh-CN"/>
        </w:rPr>
        <w:t xml:space="preserve">neither </w:t>
      </w:r>
      <w:r>
        <w:rPr>
          <w:lang w:eastAsia="zh-CN"/>
        </w:rPr>
        <w:t xml:space="preserve">how many bits are used for HARQ process indication nor how to interpret the DCI fields. </w:t>
      </w:r>
      <w:r w:rsidR="00173DE6">
        <w:rPr>
          <w:lang w:eastAsia="zh-CN"/>
        </w:rPr>
        <w:t xml:space="preserve">In that sense, we propose to use </w:t>
      </w:r>
      <w:r w:rsidR="00BA747F">
        <w:rPr>
          <w:lang w:eastAsia="zh-CN"/>
        </w:rPr>
        <w:t>slot-</w:t>
      </w:r>
      <w:r w:rsidR="00173DE6" w:rsidRPr="00173DE6">
        <w:rPr>
          <w:lang w:eastAsia="zh-CN"/>
        </w:rPr>
        <w:t xml:space="preserve">based solution without increasing the </w:t>
      </w:r>
      <w:r w:rsidR="00600265">
        <w:rPr>
          <w:lang w:eastAsia="zh-CN"/>
        </w:rPr>
        <w:t xml:space="preserve">number of </w:t>
      </w:r>
      <w:r w:rsidR="00173DE6" w:rsidRPr="00173DE6">
        <w:rPr>
          <w:lang w:eastAsia="zh-CN"/>
        </w:rPr>
        <w:t>bit</w:t>
      </w:r>
      <w:r w:rsidR="00600265">
        <w:rPr>
          <w:lang w:eastAsia="zh-CN"/>
        </w:rPr>
        <w:t>s</w:t>
      </w:r>
      <w:r w:rsidR="00173DE6">
        <w:rPr>
          <w:lang w:eastAsia="zh-CN"/>
        </w:rPr>
        <w:t xml:space="preserve">. </w:t>
      </w:r>
      <w:r w:rsidR="00BA747F">
        <w:rPr>
          <w:lang w:eastAsia="zh-CN"/>
        </w:rPr>
        <w:t>Take a</w:t>
      </w:r>
      <w:r w:rsidR="00173DE6">
        <w:rPr>
          <w:lang w:eastAsia="zh-CN"/>
        </w:rPr>
        <w:t>n example as following</w:t>
      </w:r>
      <w:r w:rsidR="00BA747F">
        <w:rPr>
          <w:lang w:eastAsia="zh-CN"/>
        </w:rPr>
        <w:t>.</w:t>
      </w:r>
    </w:p>
    <w:p w14:paraId="2E2385E6" w14:textId="524EDF51" w:rsidR="00173DE6" w:rsidRPr="000537F1" w:rsidRDefault="00173DE6" w:rsidP="00173DE6">
      <w:pPr>
        <w:pStyle w:val="Eqn"/>
        <w:spacing w:before="120"/>
        <w:rPr>
          <w:lang w:eastAsia="en-US"/>
        </w:rPr>
      </w:pPr>
      <w:r>
        <w:rPr>
          <w:lang w:eastAsia="zh-CN"/>
        </w:rPr>
        <w:t xml:space="preserve">Supposing that the maximum configured HARQ process number is expressed as </w:t>
      </w:r>
      <m:oMath>
        <m:sSub>
          <m:sSubPr>
            <m:ctrlPr>
              <w:rPr>
                <w:rFonts w:ascii="Cambria Math" w:hAnsi="Cambria Math"/>
                <w:i/>
                <w:iCs/>
              </w:rPr>
            </m:ctrlPr>
          </m:sSubPr>
          <m:e>
            <m:r>
              <w:rPr>
                <w:rFonts w:ascii="Cambria Math" w:hAnsi="Cambria Math"/>
              </w:rPr>
              <m:t>HARQ</m:t>
            </m:r>
          </m:e>
          <m:sub>
            <m:r>
              <w:rPr>
                <w:rFonts w:ascii="Cambria Math" w:hAnsi="Cambria Math"/>
              </w:rPr>
              <m:t>total_number</m:t>
            </m:r>
          </m:sub>
        </m:sSub>
      </m:oMath>
      <w:r>
        <w:rPr>
          <w:rFonts w:hint="eastAsia"/>
          <w:iCs/>
          <w:lang w:eastAsia="zh-CN"/>
        </w:rPr>
        <w:t>,</w:t>
      </w:r>
      <w:r>
        <w:rPr>
          <w:iCs/>
          <w:lang w:eastAsia="zh-CN"/>
        </w:rPr>
        <w:t xml:space="preserve"> the HARQ process indicator in the DCI is expressed as </w:t>
      </w:r>
      <m:oMath>
        <m:sSub>
          <m:sSubPr>
            <m:ctrlPr>
              <w:rPr>
                <w:rFonts w:ascii="Cambria Math" w:hAnsi="Cambria Math"/>
                <w:i/>
                <w:iCs/>
              </w:rPr>
            </m:ctrlPr>
          </m:sSubPr>
          <m:e>
            <m:r>
              <w:rPr>
                <w:rFonts w:ascii="Cambria Math" w:hAnsi="Cambria Math"/>
              </w:rPr>
              <m:t>HARQ</m:t>
            </m:r>
          </m:e>
          <m:sub>
            <m:r>
              <w:rPr>
                <w:rFonts w:ascii="Cambria Math" w:hAnsi="Cambria Math"/>
              </w:rPr>
              <m:t>DCI_ID</m:t>
            </m:r>
          </m:sub>
        </m:sSub>
      </m:oMath>
      <w:r>
        <w:rPr>
          <w:rFonts w:hint="eastAsia"/>
          <w:iCs/>
          <w:lang w:eastAsia="zh-CN"/>
        </w:rPr>
        <w:t>,</w:t>
      </w:r>
      <w:r>
        <w:rPr>
          <w:iCs/>
          <w:lang w:eastAsia="zh-CN"/>
        </w:rPr>
        <w:t xml:space="preserve"> the slot indexing is expressed as </w:t>
      </w:r>
      <m:oMath>
        <m:sSub>
          <m:sSubPr>
            <m:ctrlPr>
              <w:rPr>
                <w:rFonts w:ascii="Cambria Math" w:hAnsi="Cambria Math"/>
                <w:i/>
                <w:iCs/>
              </w:rPr>
            </m:ctrlPr>
          </m:sSubPr>
          <m:e>
            <m:r>
              <w:rPr>
                <w:rFonts w:ascii="Cambria Math" w:hAnsi="Cambria Math"/>
              </w:rPr>
              <m:t>slot</m:t>
            </m:r>
          </m:e>
          <m:sub>
            <m:r>
              <w:rPr>
                <w:rFonts w:ascii="Cambria Math" w:hAnsi="Cambria Math"/>
              </w:rPr>
              <m:t>system</m:t>
            </m:r>
          </m:sub>
        </m:sSub>
        <m:r>
          <w:rPr>
            <w:rFonts w:ascii="Cambria Math" w:hAnsi="Cambria Math"/>
          </w:rPr>
          <m:t> =</m:t>
        </m:r>
        <m:sSup>
          <m:sSupPr>
            <m:ctrlPr>
              <w:rPr>
                <w:rFonts w:ascii="Cambria Math" w:hAnsi="Cambria Math"/>
                <w:i/>
                <w:iCs/>
              </w:rPr>
            </m:ctrlPr>
          </m:sSupPr>
          <m:e>
            <m:r>
              <w:rPr>
                <w:rFonts w:ascii="Cambria Math" w:hAnsi="Cambria Math"/>
              </w:rPr>
              <m:t>2</m:t>
            </m:r>
          </m:e>
          <m:sup>
            <m:r>
              <w:rPr>
                <w:rFonts w:ascii="Cambria Math" w:hAnsi="Cambria Math"/>
              </w:rPr>
              <m:t>μ</m:t>
            </m:r>
          </m:sup>
        </m:sSup>
        <m:r>
          <w:rPr>
            <w:rFonts w:ascii="Cambria Math" w:hAnsi="Cambria Math"/>
          </w:rPr>
          <m:t>×10×SFN</m:t>
        </m:r>
        <m:r>
          <m:rPr>
            <m:sty m:val="p"/>
          </m:rPr>
          <w:rPr>
            <w:rFonts w:ascii="Cambria Math" w:hAnsi="Cambria Math" w:hint="eastAsia"/>
          </w:rPr>
          <m:t>+</m:t>
        </m:r>
        <m:sSub>
          <m:sSubPr>
            <m:ctrlPr>
              <w:rPr>
                <w:rFonts w:ascii="Cambria Math" w:hAnsi="Cambria Math"/>
                <w:i/>
                <w:iCs/>
              </w:rPr>
            </m:ctrlPr>
          </m:sSubPr>
          <m:e>
            <m:r>
              <w:rPr>
                <w:rFonts w:ascii="Cambria Math" w:hAnsi="Cambria Math"/>
              </w:rPr>
              <m:t>slot</m:t>
            </m:r>
          </m:e>
          <m:sub>
            <m:r>
              <w:rPr>
                <w:rFonts w:ascii="Cambria Math" w:hAnsi="Cambria Math"/>
              </w:rPr>
              <m:t>frame</m:t>
            </m:r>
          </m:sub>
        </m:sSub>
      </m:oMath>
      <w:r>
        <w:rPr>
          <w:rFonts w:hint="eastAsia"/>
          <w:iCs/>
          <w:lang w:eastAsia="zh-CN"/>
        </w:rPr>
        <w:t>,</w:t>
      </w:r>
      <w:r>
        <w:rPr>
          <w:iCs/>
          <w:lang w:eastAsia="zh-CN"/>
        </w:rPr>
        <w:t xml:space="preserve"> where </w:t>
      </w:r>
      <m:oMath>
        <m:r>
          <m:rPr>
            <m:sty m:val="p"/>
          </m:rPr>
          <w:rPr>
            <w:rFonts w:ascii="Cambria Math" w:hAnsi="Cambria Math"/>
            <w:lang w:eastAsia="zh-CN"/>
          </w:rPr>
          <m:t>μ</m:t>
        </m:r>
      </m:oMath>
      <w:r>
        <w:rPr>
          <w:rFonts w:hint="eastAsia"/>
          <w:iCs/>
          <w:lang w:eastAsia="zh-CN"/>
        </w:rPr>
        <w:t xml:space="preserve"> </w:t>
      </w:r>
      <w:r>
        <w:rPr>
          <w:iCs/>
          <w:lang w:eastAsia="zh-CN"/>
        </w:rPr>
        <w:t xml:space="preserve">is the sub-carrier-spacing. Then the </w:t>
      </w:r>
      <w:r w:rsidR="00EB718A">
        <w:rPr>
          <w:iCs/>
          <w:lang w:eastAsia="zh-CN"/>
        </w:rPr>
        <w:t>slot based</w:t>
      </w:r>
      <w:r>
        <w:rPr>
          <w:iCs/>
          <w:lang w:eastAsia="zh-CN"/>
        </w:rPr>
        <w:t xml:space="preserve"> HARQ ID can be expressed as following:</w:t>
      </w:r>
    </w:p>
    <w:p w14:paraId="23D48ADE" w14:textId="77777777" w:rsidR="00173DE6" w:rsidRPr="000537F1" w:rsidRDefault="00B52F0B" w:rsidP="00173DE6">
      <w:pPr>
        <w:pStyle w:val="Eqn"/>
        <w:jc w:val="center"/>
      </w:pPr>
      <m:oMath>
        <m:sSub>
          <m:sSubPr>
            <m:ctrlPr>
              <w:rPr>
                <w:rFonts w:ascii="Cambria Math" w:hAnsi="Cambria Math"/>
                <w:i/>
                <w:iCs/>
              </w:rPr>
            </m:ctrlPr>
          </m:sSubPr>
          <m:e>
            <m:r>
              <w:rPr>
                <w:rFonts w:ascii="Cambria Math" w:hAnsi="Cambria Math"/>
              </w:rPr>
              <m:t>HARQ</m:t>
            </m:r>
          </m:e>
          <m:sub>
            <m:r>
              <w:rPr>
                <w:rFonts w:ascii="Cambria Math" w:hAnsi="Cambria Math"/>
              </w:rPr>
              <m:t>ID</m:t>
            </m:r>
          </m:sub>
        </m:sSub>
        <m:r>
          <w:rPr>
            <w:rFonts w:ascii="Cambria Math" w:hAnsi="Cambria Math"/>
          </w:rPr>
          <m:t>=16×floor</m:t>
        </m:r>
        <m:d>
          <m:dPr>
            <m:begChr m:val="["/>
            <m:endChr m:val="]"/>
            <m:ctrlPr>
              <w:rPr>
                <w:rFonts w:ascii="Cambria Math" w:hAnsi="Cambria Math"/>
                <w:i/>
                <w:iCs/>
              </w:rPr>
            </m:ctrlPr>
          </m:dPr>
          <m:e>
            <m:r>
              <w:rPr>
                <w:rFonts w:ascii="Cambria Math" w:hAnsi="Cambria Math"/>
              </w:rPr>
              <m:t>modulo</m:t>
            </m:r>
            <m:d>
              <m:dPr>
                <m:ctrlPr>
                  <w:rPr>
                    <w:rFonts w:ascii="Cambria Math" w:hAnsi="Cambria Math"/>
                    <w:i/>
                    <w:iCs/>
                  </w:rPr>
                </m:ctrlPr>
              </m:dPr>
              <m:e>
                <m:f>
                  <m:fPr>
                    <m:ctrlPr>
                      <w:rPr>
                        <w:rFonts w:ascii="Cambria Math" w:hAnsi="Cambria Math"/>
                        <w:i/>
                        <w:iCs/>
                      </w:rPr>
                    </m:ctrlPr>
                  </m:fPr>
                  <m:num>
                    <m:sSub>
                      <m:sSubPr>
                        <m:ctrlPr>
                          <w:rPr>
                            <w:rFonts w:ascii="Cambria Math" w:hAnsi="Cambria Math"/>
                            <w:i/>
                            <w:iCs/>
                          </w:rPr>
                        </m:ctrlPr>
                      </m:sSubPr>
                      <m:e>
                        <m:r>
                          <w:rPr>
                            <w:rFonts w:ascii="Cambria Math" w:hAnsi="Cambria Math"/>
                          </w:rPr>
                          <m:t>slot</m:t>
                        </m:r>
                      </m:e>
                      <m:sub>
                        <m:r>
                          <w:rPr>
                            <w:rFonts w:ascii="Cambria Math" w:hAnsi="Cambria Math"/>
                          </w:rPr>
                          <m:t>system</m:t>
                        </m:r>
                      </m:sub>
                    </m:sSub>
                  </m:num>
                  <m:den>
                    <m:sSub>
                      <m:sSubPr>
                        <m:ctrlPr>
                          <w:rPr>
                            <w:rFonts w:ascii="Cambria Math" w:hAnsi="Cambria Math"/>
                            <w:i/>
                            <w:iCs/>
                          </w:rPr>
                        </m:ctrlPr>
                      </m:sSubPr>
                      <m:e>
                        <m:r>
                          <w:rPr>
                            <w:rFonts w:ascii="Cambria Math" w:hAnsi="Cambria Math"/>
                          </w:rPr>
                          <m:t>HARQ</m:t>
                        </m:r>
                      </m:e>
                      <m:sub>
                        <m:r>
                          <w:rPr>
                            <w:rFonts w:ascii="Cambria Math" w:hAnsi="Cambria Math"/>
                          </w:rPr>
                          <m:t>tota</m:t>
                        </m:r>
                        <m:sSub>
                          <m:sSubPr>
                            <m:ctrlPr>
                              <w:rPr>
                                <w:rFonts w:ascii="Cambria Math" w:hAnsi="Cambria Math"/>
                                <w:i/>
                                <w:iCs/>
                              </w:rPr>
                            </m:ctrlPr>
                          </m:sSubPr>
                          <m:e>
                            <m:r>
                              <w:rPr>
                                <w:rFonts w:ascii="Cambria Math" w:hAnsi="Cambria Math"/>
                              </w:rPr>
                              <m:t>l</m:t>
                            </m:r>
                          </m:e>
                          <m:sub>
                            <m:r>
                              <w:rPr>
                                <w:rFonts w:ascii="Cambria Math" w:hAnsi="Cambria Math"/>
                              </w:rPr>
                              <m:t>number</m:t>
                            </m:r>
                          </m:sub>
                        </m:sSub>
                      </m:sub>
                    </m:sSub>
                  </m:den>
                </m:f>
              </m:e>
            </m:d>
            <m:r>
              <w:rPr>
                <w:rFonts w:ascii="Cambria Math" w:hAnsi="Cambria Math"/>
              </w:rPr>
              <m:t>/16</m:t>
            </m:r>
          </m:e>
        </m:d>
        <m:r>
          <m:rPr>
            <m:sty m:val="p"/>
          </m:rPr>
          <w:rPr>
            <w:rFonts w:ascii="Cambria Math" w:hAnsi="Cambria Math"/>
          </w:rPr>
          <m:t>+</m:t>
        </m:r>
        <m:sSub>
          <m:sSubPr>
            <m:ctrlPr>
              <w:rPr>
                <w:rFonts w:ascii="Cambria Math" w:hAnsi="Cambria Math"/>
                <w:i/>
                <w:iCs/>
              </w:rPr>
            </m:ctrlPr>
          </m:sSubPr>
          <m:e>
            <m:r>
              <w:rPr>
                <w:rFonts w:ascii="Cambria Math" w:hAnsi="Cambria Math"/>
              </w:rPr>
              <m:t>HARQ</m:t>
            </m:r>
          </m:e>
          <m:sub>
            <m:r>
              <w:rPr>
                <w:rFonts w:ascii="Cambria Math" w:hAnsi="Cambria Math"/>
              </w:rPr>
              <m:t>DCI_ID</m:t>
            </m:r>
          </m:sub>
        </m:sSub>
      </m:oMath>
      <w:r w:rsidR="00173DE6" w:rsidRPr="000537F1">
        <w:rPr>
          <w:rFonts w:hint="eastAsia"/>
        </w:rPr>
        <w:t xml:space="preserve"> </w:t>
      </w:r>
    </w:p>
    <w:p w14:paraId="2BE036F9" w14:textId="77777777" w:rsidR="00173DE6" w:rsidRDefault="00173DE6" w:rsidP="00173DE6">
      <w:pPr>
        <w:pStyle w:val="Eqn"/>
        <w:rPr>
          <w:iCs/>
          <w:lang w:eastAsia="zh-CN"/>
        </w:rPr>
      </w:pPr>
      <w:r>
        <w:rPr>
          <w:lang w:eastAsia="zh-CN"/>
        </w:rPr>
        <w:t xml:space="preserve">For example, assume </w:t>
      </w:r>
      <m:oMath>
        <m:sSub>
          <m:sSubPr>
            <m:ctrlPr>
              <w:rPr>
                <w:rFonts w:ascii="Cambria Math" w:hAnsi="Cambria Math"/>
                <w:i/>
                <w:iCs/>
              </w:rPr>
            </m:ctrlPr>
          </m:sSubPr>
          <m:e>
            <m:r>
              <w:rPr>
                <w:rFonts w:ascii="Cambria Math" w:hAnsi="Cambria Math"/>
              </w:rPr>
              <m:t>HARQ</m:t>
            </m:r>
          </m:e>
          <m:sub>
            <m:r>
              <w:rPr>
                <w:rFonts w:ascii="Cambria Math" w:hAnsi="Cambria Math"/>
              </w:rPr>
              <m:t>total_number</m:t>
            </m:r>
          </m:sub>
        </m:sSub>
        <m:r>
          <w:rPr>
            <w:rFonts w:ascii="Cambria Math" w:hAnsi="Cambria Math"/>
          </w:rPr>
          <m:t>=32</m:t>
        </m:r>
      </m:oMath>
      <w:r>
        <w:rPr>
          <w:rFonts w:hint="eastAsia"/>
          <w:iCs/>
          <w:lang w:eastAsia="zh-CN"/>
        </w:rPr>
        <w:t>,</w:t>
      </w:r>
      <w:r>
        <w:rPr>
          <w:iCs/>
          <w:lang w:eastAsia="zh-CN"/>
        </w:rPr>
        <w:t xml:space="preserve"> </w:t>
      </w:r>
      <m:oMath>
        <m:sSub>
          <m:sSubPr>
            <m:ctrlPr>
              <w:rPr>
                <w:rFonts w:ascii="Cambria Math" w:hAnsi="Cambria Math"/>
                <w:i/>
                <w:iCs/>
              </w:rPr>
            </m:ctrlPr>
          </m:sSubPr>
          <m:e>
            <m:r>
              <w:rPr>
                <w:rFonts w:ascii="Cambria Math" w:hAnsi="Cambria Math"/>
              </w:rPr>
              <m:t>HARQ</m:t>
            </m:r>
          </m:e>
          <m:sub>
            <m:r>
              <w:rPr>
                <w:rFonts w:ascii="Cambria Math" w:hAnsi="Cambria Math"/>
              </w:rPr>
              <m:t>DCI_ID</m:t>
            </m:r>
          </m:sub>
        </m:sSub>
        <m:r>
          <w:rPr>
            <w:rFonts w:ascii="Cambria Math" w:hAnsi="Cambria Math"/>
          </w:rPr>
          <m:t>=9</m:t>
        </m:r>
      </m:oMath>
      <w:r>
        <w:rPr>
          <w:iCs/>
          <w:lang w:eastAsia="zh-CN"/>
        </w:rPr>
        <w:t xml:space="preserve">. </w:t>
      </w:r>
    </w:p>
    <w:p w14:paraId="53A9BD81" w14:textId="77777777" w:rsidR="00173DE6" w:rsidRPr="005A06CD" w:rsidRDefault="00173DE6" w:rsidP="00173DE6">
      <w:pPr>
        <w:pStyle w:val="Eqn"/>
        <w:numPr>
          <w:ilvl w:val="0"/>
          <w:numId w:val="10"/>
        </w:numPr>
        <w:rPr>
          <w:lang w:eastAsia="zh-CN"/>
        </w:rPr>
      </w:pPr>
      <w:r>
        <w:rPr>
          <w:iCs/>
          <w:lang w:eastAsia="zh-CN"/>
        </w:rPr>
        <w:t xml:space="preserve">The </w:t>
      </w:r>
      <m:oMath>
        <m:sSub>
          <m:sSubPr>
            <m:ctrlPr>
              <w:rPr>
                <w:rFonts w:ascii="Cambria Math" w:hAnsi="Cambria Math"/>
                <w:i/>
                <w:iCs/>
              </w:rPr>
            </m:ctrlPr>
          </m:sSubPr>
          <m:e>
            <m:r>
              <w:rPr>
                <w:rFonts w:ascii="Cambria Math" w:hAnsi="Cambria Math"/>
              </w:rPr>
              <m:t>HARQ</m:t>
            </m:r>
          </m:e>
          <m:sub>
            <m:r>
              <w:rPr>
                <w:rFonts w:ascii="Cambria Math" w:hAnsi="Cambria Math"/>
              </w:rPr>
              <m:t>ID</m:t>
            </m:r>
          </m:sub>
        </m:sSub>
        <m:r>
          <w:rPr>
            <w:rFonts w:ascii="Cambria Math" w:hAnsi="Cambria Math"/>
          </w:rPr>
          <m:t xml:space="preserve"> is 9</m:t>
        </m:r>
      </m:oMath>
      <w:r>
        <w:rPr>
          <w:iCs/>
          <w:lang w:eastAsia="zh-CN"/>
        </w:rPr>
        <w:t xml:space="preserve"> when </w:t>
      </w:r>
      <m:oMath>
        <m:sSub>
          <m:sSubPr>
            <m:ctrlPr>
              <w:rPr>
                <w:rFonts w:ascii="Cambria Math" w:hAnsi="Cambria Math"/>
                <w:i/>
                <w:iCs/>
              </w:rPr>
            </m:ctrlPr>
          </m:sSubPr>
          <m:e>
            <m:r>
              <w:rPr>
                <w:rFonts w:ascii="Cambria Math" w:hAnsi="Cambria Math"/>
              </w:rPr>
              <m:t>slot</m:t>
            </m:r>
          </m:e>
          <m:sub>
            <m:r>
              <w:rPr>
                <w:rFonts w:ascii="Cambria Math" w:hAnsi="Cambria Math"/>
              </w:rPr>
              <m:t>system</m:t>
            </m:r>
          </m:sub>
        </m:sSub>
        <m:r>
          <w:rPr>
            <w:rFonts w:ascii="Cambria Math" w:hAnsi="Cambria Math"/>
          </w:rPr>
          <m:t>∈</m:t>
        </m:r>
        <m:d>
          <m:dPr>
            <m:begChr m:val="{"/>
            <m:endChr m:val="}"/>
            <m:ctrlPr>
              <w:rPr>
                <w:rFonts w:ascii="Cambria Math" w:hAnsi="Cambria Math"/>
                <w:i/>
                <w:iCs/>
              </w:rPr>
            </m:ctrlPr>
          </m:dPr>
          <m:e>
            <m:r>
              <w:rPr>
                <w:rFonts w:ascii="Cambria Math" w:hAnsi="Cambria Math"/>
              </w:rPr>
              <m:t>32*K,32*K+15</m:t>
            </m:r>
          </m:e>
        </m:d>
        <m:r>
          <w:rPr>
            <w:rFonts w:ascii="Cambria Math" w:hAnsi="Cambria Math"/>
          </w:rPr>
          <m:t>, K=0,1,2… ;</m:t>
        </m:r>
      </m:oMath>
      <w:r>
        <w:rPr>
          <w:rFonts w:hint="eastAsia"/>
          <w:iCs/>
          <w:lang w:eastAsia="zh-CN"/>
        </w:rPr>
        <w:t xml:space="preserve"> </w:t>
      </w:r>
    </w:p>
    <w:p w14:paraId="31D7EFE8" w14:textId="77777777" w:rsidR="00173DE6" w:rsidRPr="005A06CD" w:rsidRDefault="00173DE6" w:rsidP="00173DE6">
      <w:pPr>
        <w:pStyle w:val="Eqn"/>
        <w:numPr>
          <w:ilvl w:val="0"/>
          <w:numId w:val="10"/>
        </w:numPr>
        <w:rPr>
          <w:lang w:eastAsia="zh-CN"/>
        </w:rPr>
      </w:pPr>
      <w:r>
        <w:rPr>
          <w:iCs/>
          <w:lang w:eastAsia="zh-CN"/>
        </w:rPr>
        <w:t xml:space="preserve">The </w:t>
      </w:r>
      <m:oMath>
        <m:sSub>
          <m:sSubPr>
            <m:ctrlPr>
              <w:rPr>
                <w:rFonts w:ascii="Cambria Math" w:hAnsi="Cambria Math"/>
                <w:i/>
                <w:iCs/>
              </w:rPr>
            </m:ctrlPr>
          </m:sSubPr>
          <m:e>
            <m:r>
              <w:rPr>
                <w:rFonts w:ascii="Cambria Math" w:hAnsi="Cambria Math"/>
              </w:rPr>
              <m:t>HARQ</m:t>
            </m:r>
          </m:e>
          <m:sub>
            <m:r>
              <w:rPr>
                <w:rFonts w:ascii="Cambria Math" w:hAnsi="Cambria Math"/>
              </w:rPr>
              <m:t>ID</m:t>
            </m:r>
          </m:sub>
        </m:sSub>
        <m:r>
          <w:rPr>
            <w:rFonts w:ascii="Cambria Math" w:hAnsi="Cambria Math"/>
          </w:rPr>
          <m:t xml:space="preserve"> is 25</m:t>
        </m:r>
      </m:oMath>
      <w:r>
        <w:rPr>
          <w:iCs/>
          <w:lang w:eastAsia="zh-CN"/>
        </w:rPr>
        <w:t xml:space="preserve"> when </w:t>
      </w:r>
      <m:oMath>
        <m:sSub>
          <m:sSubPr>
            <m:ctrlPr>
              <w:rPr>
                <w:rFonts w:ascii="Cambria Math" w:hAnsi="Cambria Math"/>
                <w:i/>
                <w:iCs/>
              </w:rPr>
            </m:ctrlPr>
          </m:sSubPr>
          <m:e>
            <m:r>
              <w:rPr>
                <w:rFonts w:ascii="Cambria Math" w:hAnsi="Cambria Math"/>
              </w:rPr>
              <m:t>slot</m:t>
            </m:r>
          </m:e>
          <m:sub>
            <m:r>
              <w:rPr>
                <w:rFonts w:ascii="Cambria Math" w:hAnsi="Cambria Math"/>
              </w:rPr>
              <m:t>system</m:t>
            </m:r>
          </m:sub>
        </m:sSub>
        <m:r>
          <w:rPr>
            <w:rFonts w:ascii="Cambria Math" w:hAnsi="Cambria Math"/>
          </w:rPr>
          <m:t>∈</m:t>
        </m:r>
        <m:d>
          <m:dPr>
            <m:begChr m:val="{"/>
            <m:endChr m:val="}"/>
            <m:ctrlPr>
              <w:rPr>
                <w:rFonts w:ascii="Cambria Math" w:hAnsi="Cambria Math"/>
                <w:i/>
                <w:iCs/>
              </w:rPr>
            </m:ctrlPr>
          </m:dPr>
          <m:e>
            <m:r>
              <w:rPr>
                <w:rFonts w:ascii="Cambria Math" w:hAnsi="Cambria Math"/>
              </w:rPr>
              <m:t>32*K+16, 32*K+31,</m:t>
            </m:r>
          </m:e>
        </m:d>
        <m:r>
          <w:rPr>
            <w:rFonts w:ascii="Cambria Math" w:hAnsi="Cambria Math"/>
          </w:rPr>
          <m:t xml:space="preserve">, K=0,1,2… ; </m:t>
        </m:r>
      </m:oMath>
    </w:p>
    <w:p w14:paraId="441B5C4A" w14:textId="30DE0BD7" w:rsidR="00173DE6" w:rsidRDefault="00173DE6" w:rsidP="00173DE6">
      <w:pPr>
        <w:pStyle w:val="Eqn"/>
        <w:rPr>
          <w:lang w:eastAsia="zh-CN"/>
        </w:rPr>
      </w:pPr>
      <w:r w:rsidRPr="34632BFA">
        <w:rPr>
          <w:lang w:eastAsia="zh-CN"/>
        </w:rPr>
        <w:t xml:space="preserve">It should be noted that the HARQ retransmission across different BWPs is supported when a UE’s active BWP is switched. In </w:t>
      </w:r>
      <w:r>
        <w:rPr>
          <w:lang w:eastAsia="zh-CN"/>
        </w:rPr>
        <w:t xml:space="preserve">the </w:t>
      </w:r>
      <w:r w:rsidRPr="34632BFA">
        <w:rPr>
          <w:lang w:eastAsia="zh-CN"/>
        </w:rPr>
        <w:t xml:space="preserve">case </w:t>
      </w:r>
      <w:r>
        <w:rPr>
          <w:lang w:eastAsia="zh-CN"/>
        </w:rPr>
        <w:t xml:space="preserve">when </w:t>
      </w:r>
      <w:r w:rsidRPr="34632BFA">
        <w:rPr>
          <w:lang w:eastAsia="zh-CN"/>
        </w:rPr>
        <w:t xml:space="preserve">the SCS of </w:t>
      </w:r>
      <w:r w:rsidR="00513662">
        <w:rPr>
          <w:lang w:eastAsia="zh-CN"/>
        </w:rPr>
        <w:t xml:space="preserve">the </w:t>
      </w:r>
      <w:r w:rsidRPr="34632BFA">
        <w:rPr>
          <w:lang w:eastAsia="zh-CN"/>
        </w:rPr>
        <w:t xml:space="preserve">active BWP and previous BWP </w:t>
      </w:r>
      <w:r>
        <w:rPr>
          <w:lang w:eastAsia="zh-CN"/>
        </w:rPr>
        <w:t>are</w:t>
      </w:r>
      <w:r w:rsidRPr="34632BFA">
        <w:rPr>
          <w:lang w:eastAsia="zh-CN"/>
        </w:rPr>
        <w:t xml:space="preserve"> different, the HARQ process ID calculation for HARQ re-transmission should follow the SCS of </w:t>
      </w:r>
      <w:r w:rsidR="0048445A">
        <w:rPr>
          <w:lang w:eastAsia="zh-CN"/>
        </w:rPr>
        <w:t xml:space="preserve">the </w:t>
      </w:r>
      <w:r w:rsidRPr="34632BFA">
        <w:rPr>
          <w:lang w:eastAsia="zh-CN"/>
        </w:rPr>
        <w:t>active BWP.</w:t>
      </w:r>
    </w:p>
    <w:p w14:paraId="5C5B0560" w14:textId="273704ED" w:rsidR="00162012" w:rsidRPr="004F62EC" w:rsidRDefault="00162012" w:rsidP="001009BB">
      <w:pPr>
        <w:snapToGrid w:val="0"/>
        <w:spacing w:before="120" w:after="120"/>
        <w:jc w:val="both"/>
        <w:rPr>
          <w:b/>
          <w:noProof w:val="0"/>
          <w:kern w:val="2"/>
          <w:sz w:val="22"/>
          <w:szCs w:val="22"/>
        </w:rPr>
      </w:pPr>
      <w:r w:rsidRPr="004F62EC">
        <w:rPr>
          <w:b/>
          <w:noProof w:val="0"/>
          <w:kern w:val="2"/>
          <w:sz w:val="22"/>
          <w:szCs w:val="22"/>
        </w:rPr>
        <w:t>Proposal 1:</w:t>
      </w:r>
      <w:r w:rsidR="00150E4E" w:rsidRPr="004F62EC">
        <w:rPr>
          <w:b/>
          <w:noProof w:val="0"/>
          <w:kern w:val="2"/>
          <w:sz w:val="22"/>
          <w:szCs w:val="22"/>
        </w:rPr>
        <w:t xml:space="preserve"> Unif</w:t>
      </w:r>
      <w:r w:rsidR="00D21023" w:rsidRPr="004F62EC">
        <w:rPr>
          <w:b/>
          <w:noProof w:val="0"/>
          <w:kern w:val="2"/>
          <w:sz w:val="22"/>
          <w:szCs w:val="22"/>
        </w:rPr>
        <w:t>ied</w:t>
      </w:r>
      <w:r w:rsidR="00150E4E" w:rsidRPr="004F62EC">
        <w:rPr>
          <w:b/>
          <w:noProof w:val="0"/>
          <w:kern w:val="2"/>
          <w:sz w:val="22"/>
          <w:szCs w:val="22"/>
        </w:rPr>
        <w:t xml:space="preserve"> solution of HARQ process indication for all DCI formats</w:t>
      </w:r>
      <w:r w:rsidR="00D21023" w:rsidRPr="004F62EC">
        <w:rPr>
          <w:b/>
          <w:noProof w:val="0"/>
          <w:kern w:val="2"/>
          <w:sz w:val="22"/>
          <w:szCs w:val="22"/>
        </w:rPr>
        <w:t>, down select from following options:</w:t>
      </w:r>
    </w:p>
    <w:p w14:paraId="5E384F0A" w14:textId="53B5A234" w:rsidR="00D21023" w:rsidRPr="004F62EC" w:rsidRDefault="00D21023" w:rsidP="00D21023">
      <w:pPr>
        <w:pStyle w:val="ListParagraph"/>
        <w:numPr>
          <w:ilvl w:val="0"/>
          <w:numId w:val="24"/>
        </w:numPr>
        <w:snapToGrid w:val="0"/>
        <w:spacing w:before="120" w:after="120"/>
        <w:ind w:firstLineChars="0"/>
        <w:jc w:val="both"/>
        <w:rPr>
          <w:rFonts w:ascii="Times New Roman" w:eastAsia="MS Gothic" w:hAnsi="Times New Roman" w:cs="Times New Roman"/>
          <w:b/>
          <w:noProof w:val="0"/>
          <w:kern w:val="2"/>
          <w:sz w:val="22"/>
          <w:szCs w:val="22"/>
          <w:lang w:eastAsia="en-US"/>
        </w:rPr>
      </w:pPr>
      <w:r w:rsidRPr="004F62EC">
        <w:rPr>
          <w:rFonts w:ascii="Times New Roman" w:eastAsia="MS Gothic" w:hAnsi="Times New Roman" w:cs="Times New Roman"/>
          <w:b/>
          <w:noProof w:val="0"/>
          <w:kern w:val="2"/>
          <w:sz w:val="22"/>
          <w:szCs w:val="22"/>
          <w:lang w:eastAsia="en-US"/>
        </w:rPr>
        <w:t>Option 1: Slot index as the MSB</w:t>
      </w:r>
    </w:p>
    <w:p w14:paraId="313D1E9B" w14:textId="2699408A" w:rsidR="00D21023" w:rsidRPr="004F62EC" w:rsidRDefault="00D21023" w:rsidP="00D21023">
      <w:pPr>
        <w:pStyle w:val="ListParagraph"/>
        <w:numPr>
          <w:ilvl w:val="0"/>
          <w:numId w:val="24"/>
        </w:numPr>
        <w:snapToGrid w:val="0"/>
        <w:spacing w:before="120" w:after="120"/>
        <w:ind w:firstLineChars="0"/>
        <w:jc w:val="both"/>
        <w:rPr>
          <w:rFonts w:ascii="Times New Roman" w:eastAsia="MS Gothic" w:hAnsi="Times New Roman" w:cs="Times New Roman"/>
          <w:b/>
          <w:noProof w:val="0"/>
          <w:kern w:val="2"/>
          <w:sz w:val="22"/>
          <w:szCs w:val="22"/>
          <w:lang w:eastAsia="en-US"/>
        </w:rPr>
      </w:pPr>
      <w:r w:rsidRPr="004F62EC">
        <w:rPr>
          <w:rFonts w:ascii="Times New Roman" w:eastAsia="MS Gothic" w:hAnsi="Times New Roman" w:cs="Times New Roman"/>
          <w:b/>
          <w:noProof w:val="0"/>
          <w:kern w:val="2"/>
          <w:sz w:val="22"/>
          <w:szCs w:val="22"/>
          <w:lang w:eastAsia="en-US"/>
        </w:rPr>
        <w:t>Option 1-a:</w:t>
      </w:r>
      <w:r w:rsidR="003B1501" w:rsidRPr="004F62EC">
        <w:rPr>
          <w:rFonts w:ascii="Times New Roman" w:eastAsia="MS Gothic" w:hAnsi="Times New Roman" w:cs="Times New Roman"/>
          <w:b/>
          <w:noProof w:val="0"/>
          <w:kern w:val="2"/>
          <w:sz w:val="22"/>
          <w:szCs w:val="22"/>
          <w:lang w:eastAsia="en-US"/>
        </w:rPr>
        <w:t xml:space="preserve"> </w:t>
      </w:r>
      <w:r w:rsidRPr="004F62EC">
        <w:rPr>
          <w:rFonts w:ascii="Times New Roman" w:eastAsia="MS Gothic" w:hAnsi="Times New Roman" w:cs="Times New Roman"/>
          <w:b/>
          <w:noProof w:val="0"/>
          <w:kern w:val="2"/>
          <w:sz w:val="22"/>
          <w:szCs w:val="22"/>
          <w:lang w:eastAsia="en-US"/>
        </w:rPr>
        <w:t xml:space="preserve">Slot index as the LSB </w:t>
      </w:r>
    </w:p>
    <w:p w14:paraId="33218EE6" w14:textId="6DAC7200" w:rsidR="001C4B45" w:rsidRPr="004F62EC" w:rsidRDefault="001C4B45" w:rsidP="0036768F">
      <w:pPr>
        <w:pStyle w:val="Heading1"/>
        <w:numPr>
          <w:ilvl w:val="0"/>
          <w:numId w:val="12"/>
        </w:numPr>
      </w:pPr>
      <w:r w:rsidRPr="004F62EC">
        <w:t>Support of enabling / disabling of HARQ feedback</w:t>
      </w:r>
    </w:p>
    <w:p w14:paraId="7A5D1341" w14:textId="55116830" w:rsidR="006B3E50" w:rsidRPr="004F62EC" w:rsidRDefault="006B3E50" w:rsidP="1429F515">
      <w:pPr>
        <w:snapToGrid w:val="0"/>
        <w:spacing w:before="120" w:after="120"/>
        <w:jc w:val="both"/>
        <w:rPr>
          <w:rFonts w:eastAsia="宋体"/>
          <w:sz w:val="22"/>
          <w:szCs w:val="22"/>
          <w:lang w:eastAsia="zh-CN"/>
        </w:rPr>
      </w:pPr>
      <w:r w:rsidRPr="004F62EC">
        <w:rPr>
          <w:rFonts w:eastAsia="宋体"/>
          <w:sz w:val="22"/>
          <w:szCs w:val="22"/>
          <w:lang w:eastAsia="zh-CN"/>
        </w:rPr>
        <w:t>In RAN2#105 meeting[</w:t>
      </w:r>
      <w:r w:rsidR="00D674ED">
        <w:rPr>
          <w:rFonts w:eastAsia="宋体"/>
          <w:sz w:val="22"/>
          <w:szCs w:val="22"/>
          <w:lang w:eastAsia="zh-CN"/>
        </w:rPr>
        <w:t>4</w:t>
      </w:r>
      <w:r w:rsidRPr="004F62EC">
        <w:rPr>
          <w:rFonts w:eastAsia="宋体"/>
          <w:sz w:val="22"/>
          <w:szCs w:val="22"/>
          <w:lang w:eastAsia="zh-CN"/>
        </w:rPr>
        <w:t xml:space="preserve">], </w:t>
      </w:r>
      <w:r w:rsidR="00CE4D44" w:rsidRPr="004F62EC">
        <w:rPr>
          <w:rFonts w:eastAsia="宋体"/>
          <w:sz w:val="22"/>
          <w:szCs w:val="22"/>
          <w:lang w:eastAsia="zh-CN"/>
        </w:rPr>
        <w:t>the following agreements were achieved on definition of HARQ feedback disabling.</w:t>
      </w:r>
    </w:p>
    <w:tbl>
      <w:tblPr>
        <w:tblStyle w:val="TableGrid"/>
        <w:tblW w:w="0" w:type="auto"/>
        <w:tblLook w:val="04A0" w:firstRow="1" w:lastRow="0" w:firstColumn="1" w:lastColumn="0" w:noHBand="0" w:noVBand="1"/>
      </w:tblPr>
      <w:tblGrid>
        <w:gridCol w:w="9962"/>
      </w:tblGrid>
      <w:tr w:rsidR="004F62EC" w:rsidRPr="004F62EC" w14:paraId="4C62D8E3" w14:textId="77777777" w:rsidTr="00CE4D44">
        <w:tc>
          <w:tcPr>
            <w:tcW w:w="9962" w:type="dxa"/>
          </w:tcPr>
          <w:p w14:paraId="03663B57" w14:textId="77777777" w:rsidR="00CE4D44" w:rsidRPr="004F62EC" w:rsidRDefault="00CE4D44" w:rsidP="00CE4D44">
            <w:pPr>
              <w:snapToGrid w:val="0"/>
              <w:spacing w:before="120" w:after="120"/>
              <w:jc w:val="both"/>
              <w:rPr>
                <w:rFonts w:eastAsia="宋体"/>
                <w:b/>
                <w:bCs/>
                <w:sz w:val="22"/>
                <w:szCs w:val="22"/>
                <w:lang w:val="x-none" w:eastAsia="zh-CN"/>
              </w:rPr>
            </w:pPr>
            <w:r w:rsidRPr="004F62EC">
              <w:rPr>
                <w:rFonts w:eastAsia="宋体"/>
                <w:b/>
                <w:bCs/>
                <w:sz w:val="22"/>
                <w:szCs w:val="22"/>
                <w:lang w:val="x-none" w:eastAsia="zh-CN"/>
              </w:rPr>
              <w:t>Agreements:</w:t>
            </w:r>
          </w:p>
          <w:p w14:paraId="03FF1F46" w14:textId="7291DE05" w:rsidR="00CE4D44" w:rsidRPr="004F62EC" w:rsidRDefault="00CE4D44" w:rsidP="00CE4D44">
            <w:pPr>
              <w:pStyle w:val="ListParagraph"/>
              <w:numPr>
                <w:ilvl w:val="0"/>
                <w:numId w:val="25"/>
              </w:numPr>
              <w:snapToGrid w:val="0"/>
              <w:spacing w:before="120" w:after="120"/>
              <w:ind w:firstLineChars="0"/>
              <w:jc w:val="both"/>
              <w:rPr>
                <w:rFonts w:ascii="Times New Roman" w:eastAsia="MS Gothic" w:hAnsi="Times New Roman" w:cs="Times New Roman"/>
                <w:sz w:val="22"/>
                <w:szCs w:val="22"/>
                <w:lang w:eastAsia="x-none"/>
              </w:rPr>
            </w:pPr>
            <w:r w:rsidRPr="004F62EC">
              <w:rPr>
                <w:rFonts w:ascii="Times New Roman" w:eastAsia="MS Gothic" w:hAnsi="Times New Roman" w:cs="Times New Roman"/>
                <w:sz w:val="22"/>
                <w:szCs w:val="22"/>
                <w:lang w:eastAsia="x-none"/>
              </w:rPr>
              <w:t>Retransmissions at one or several layers shall be supported for NTN and configurable by the network.</w:t>
            </w:r>
          </w:p>
          <w:p w14:paraId="3887CA26" w14:textId="4FB9FBD1" w:rsidR="00CE4D44" w:rsidRPr="004F62EC" w:rsidRDefault="00CE4D44" w:rsidP="00CE4D44">
            <w:pPr>
              <w:pStyle w:val="ListParagraph"/>
              <w:numPr>
                <w:ilvl w:val="0"/>
                <w:numId w:val="25"/>
              </w:numPr>
              <w:snapToGrid w:val="0"/>
              <w:spacing w:before="120" w:after="120"/>
              <w:ind w:firstLineChars="0"/>
              <w:jc w:val="both"/>
              <w:rPr>
                <w:sz w:val="22"/>
                <w:szCs w:val="22"/>
                <w:lang w:val="x-none"/>
              </w:rPr>
            </w:pPr>
            <w:r w:rsidRPr="004F62EC">
              <w:rPr>
                <w:rFonts w:ascii="Times New Roman" w:eastAsia="MS Gothic" w:hAnsi="Times New Roman" w:cs="Times New Roman"/>
                <w:sz w:val="22"/>
                <w:szCs w:val="22"/>
                <w:lang w:eastAsia="x-none"/>
              </w:rPr>
              <w:t>The network should be able to configure the UE whether the HARQ is “turned off”.  There is no UL feedback for DL transmission in the if HARQ is turned off.  FFS the impact on other procedures and how to configure.</w:t>
            </w:r>
          </w:p>
        </w:tc>
      </w:tr>
    </w:tbl>
    <w:p w14:paraId="58F005ED" w14:textId="2720C038" w:rsidR="005844C7" w:rsidRPr="004F62EC" w:rsidRDefault="005844C7" w:rsidP="005844C7">
      <w:pPr>
        <w:spacing w:before="120" w:after="120"/>
        <w:jc w:val="both"/>
        <w:rPr>
          <w:rFonts w:eastAsia="宋体"/>
          <w:sz w:val="22"/>
          <w:szCs w:val="22"/>
          <w:lang w:eastAsia="zh-CN"/>
        </w:rPr>
      </w:pPr>
      <w:r w:rsidRPr="004F62EC">
        <w:rPr>
          <w:rFonts w:eastAsia="宋体"/>
          <w:sz w:val="22"/>
          <w:szCs w:val="22"/>
          <w:lang w:eastAsia="zh-CN"/>
        </w:rPr>
        <w:t>In RAN1#102e meeting [</w:t>
      </w:r>
      <w:r w:rsidR="00D674ED">
        <w:rPr>
          <w:rFonts w:eastAsia="宋体"/>
          <w:sz w:val="22"/>
          <w:szCs w:val="22"/>
          <w:lang w:eastAsia="zh-CN"/>
        </w:rPr>
        <w:t>5</w:t>
      </w:r>
      <w:r w:rsidRPr="004F62EC">
        <w:rPr>
          <w:rFonts w:eastAsia="宋体"/>
          <w:sz w:val="22"/>
          <w:szCs w:val="22"/>
          <w:lang w:eastAsia="zh-CN"/>
        </w:rPr>
        <w:t>], the following agreements were achieved on mechanism for disabling/enabling HARQ feeddback.</w:t>
      </w:r>
    </w:p>
    <w:tbl>
      <w:tblPr>
        <w:tblStyle w:val="TableGrid"/>
        <w:tblW w:w="0" w:type="auto"/>
        <w:tblLook w:val="04A0" w:firstRow="1" w:lastRow="0" w:firstColumn="1" w:lastColumn="0" w:noHBand="0" w:noVBand="1"/>
      </w:tblPr>
      <w:tblGrid>
        <w:gridCol w:w="9962"/>
      </w:tblGrid>
      <w:tr w:rsidR="004F62EC" w:rsidRPr="004F62EC" w14:paraId="38AD1BEA" w14:textId="77777777" w:rsidTr="00CD7768">
        <w:tc>
          <w:tcPr>
            <w:tcW w:w="9962" w:type="dxa"/>
          </w:tcPr>
          <w:p w14:paraId="0B203EFA" w14:textId="77777777" w:rsidR="005844C7" w:rsidRPr="004F62EC" w:rsidRDefault="005844C7" w:rsidP="00CD7768">
            <w:pPr>
              <w:rPr>
                <w:sz w:val="22"/>
                <w:szCs w:val="22"/>
                <w:lang w:eastAsia="x-none"/>
              </w:rPr>
            </w:pPr>
            <w:r w:rsidRPr="004F62EC">
              <w:rPr>
                <w:sz w:val="22"/>
                <w:szCs w:val="22"/>
                <w:highlight w:val="green"/>
                <w:lang w:eastAsia="x-none"/>
              </w:rPr>
              <w:t>Agreement:</w:t>
            </w:r>
          </w:p>
          <w:p w14:paraId="6F1CA32E" w14:textId="77777777" w:rsidR="005844C7" w:rsidRPr="004F62EC" w:rsidRDefault="005844C7" w:rsidP="00CD7768">
            <w:pPr>
              <w:rPr>
                <w:lang w:eastAsia="x-none"/>
              </w:rPr>
            </w:pPr>
            <w:r w:rsidRPr="004F62EC">
              <w:rPr>
                <w:sz w:val="22"/>
                <w:szCs w:val="22"/>
                <w:lang w:eastAsia="x-none"/>
              </w:rPr>
              <w:t>Enabling/disabling on HARQ feedback for downlink transmission should be at least configurable per HARQ process via UE specific RRC signaling</w:t>
            </w:r>
          </w:p>
        </w:tc>
      </w:tr>
    </w:tbl>
    <w:p w14:paraId="5B33DC63" w14:textId="1703EE8D" w:rsidR="001C4B45" w:rsidRPr="004F62EC" w:rsidRDefault="00C75EF3" w:rsidP="1429F515">
      <w:pPr>
        <w:snapToGrid w:val="0"/>
        <w:spacing w:before="120" w:after="120"/>
        <w:jc w:val="both"/>
        <w:rPr>
          <w:rFonts w:eastAsia="宋体"/>
          <w:sz w:val="22"/>
          <w:szCs w:val="22"/>
          <w:lang w:eastAsia="zh-CN"/>
        </w:rPr>
      </w:pPr>
      <w:r w:rsidRPr="004F62EC">
        <w:rPr>
          <w:rFonts w:eastAsia="宋体"/>
          <w:sz w:val="22"/>
          <w:szCs w:val="22"/>
          <w:lang w:eastAsia="zh-CN"/>
        </w:rPr>
        <w:t xml:space="preserve">As the agreements indicate, the HARQ disabling means </w:t>
      </w:r>
      <w:r w:rsidR="00124FD5">
        <w:rPr>
          <w:rFonts w:eastAsia="宋体"/>
          <w:sz w:val="22"/>
          <w:szCs w:val="22"/>
          <w:lang w:eastAsia="zh-CN"/>
        </w:rPr>
        <w:t xml:space="preserve">the </w:t>
      </w:r>
      <w:r w:rsidRPr="004F62EC">
        <w:rPr>
          <w:rFonts w:eastAsia="宋体"/>
          <w:sz w:val="22"/>
          <w:szCs w:val="22"/>
          <w:lang w:eastAsia="zh-CN"/>
        </w:rPr>
        <w:t xml:space="preserve">UE </w:t>
      </w:r>
      <w:r w:rsidR="004F45F8">
        <w:rPr>
          <w:rFonts w:eastAsia="宋体"/>
          <w:sz w:val="22"/>
          <w:szCs w:val="22"/>
          <w:lang w:eastAsia="zh-CN"/>
        </w:rPr>
        <w:t>does not</w:t>
      </w:r>
      <w:r w:rsidR="00124FD5">
        <w:rPr>
          <w:rFonts w:eastAsia="宋体"/>
          <w:sz w:val="22"/>
          <w:szCs w:val="22"/>
          <w:lang w:eastAsia="zh-CN"/>
        </w:rPr>
        <w:t xml:space="preserve"> </w:t>
      </w:r>
      <w:r w:rsidRPr="004F62EC">
        <w:rPr>
          <w:rFonts w:eastAsia="宋体"/>
          <w:sz w:val="22"/>
          <w:szCs w:val="22"/>
          <w:lang w:eastAsia="zh-CN"/>
        </w:rPr>
        <w:t xml:space="preserve">need to feedback ACK/NACK </w:t>
      </w:r>
      <w:r w:rsidR="00204CA7" w:rsidRPr="004F62EC">
        <w:rPr>
          <w:rFonts w:eastAsia="宋体"/>
          <w:sz w:val="22"/>
          <w:szCs w:val="22"/>
          <w:lang w:eastAsia="zh-CN"/>
        </w:rPr>
        <w:t>for</w:t>
      </w:r>
      <w:r w:rsidRPr="004F62EC">
        <w:rPr>
          <w:rFonts w:eastAsia="宋体"/>
          <w:sz w:val="22"/>
          <w:szCs w:val="22"/>
          <w:lang w:eastAsia="zh-CN"/>
        </w:rPr>
        <w:t xml:space="preserve"> </w:t>
      </w:r>
      <w:r w:rsidR="00782058">
        <w:rPr>
          <w:rFonts w:eastAsia="宋体"/>
          <w:sz w:val="22"/>
          <w:szCs w:val="22"/>
          <w:lang w:eastAsia="zh-CN"/>
        </w:rPr>
        <w:t>PDSCH</w:t>
      </w:r>
      <w:r w:rsidRPr="004F62EC">
        <w:rPr>
          <w:rFonts w:eastAsia="宋体"/>
          <w:sz w:val="22"/>
          <w:szCs w:val="22"/>
          <w:lang w:eastAsia="zh-CN"/>
        </w:rPr>
        <w:t xml:space="preserve">, while the re-transmission function of HARQ is still </w:t>
      </w:r>
      <w:r w:rsidR="00782058">
        <w:rPr>
          <w:rFonts w:eastAsia="宋体"/>
          <w:sz w:val="22"/>
          <w:szCs w:val="22"/>
          <w:lang w:eastAsia="zh-CN"/>
        </w:rPr>
        <w:t>allowed</w:t>
      </w:r>
      <w:r w:rsidRPr="004F62EC">
        <w:rPr>
          <w:rFonts w:eastAsia="宋体"/>
          <w:sz w:val="22"/>
          <w:szCs w:val="22"/>
          <w:lang w:eastAsia="zh-CN"/>
        </w:rPr>
        <w:t xml:space="preserve">. </w:t>
      </w:r>
      <w:r w:rsidR="001C4B45" w:rsidRPr="004F62EC">
        <w:rPr>
          <w:rFonts w:eastAsia="宋体"/>
          <w:sz w:val="22"/>
          <w:szCs w:val="22"/>
          <w:lang w:eastAsia="zh-CN"/>
        </w:rPr>
        <w:t xml:space="preserve">In this section, we discuss the impact of  </w:t>
      </w:r>
      <w:r w:rsidR="58710DA6" w:rsidRPr="004F62EC">
        <w:rPr>
          <w:rFonts w:eastAsia="宋体"/>
          <w:sz w:val="22"/>
          <w:szCs w:val="22"/>
          <w:lang w:eastAsia="zh-CN"/>
        </w:rPr>
        <w:t xml:space="preserve">disabling  </w:t>
      </w:r>
      <w:r w:rsidR="001C4B45" w:rsidRPr="004F62EC">
        <w:rPr>
          <w:rFonts w:eastAsia="宋体"/>
          <w:sz w:val="22"/>
          <w:szCs w:val="22"/>
          <w:lang w:eastAsia="zh-CN"/>
        </w:rPr>
        <w:t xml:space="preserve">HARQ </w:t>
      </w:r>
      <w:r w:rsidR="6A750D55" w:rsidRPr="004F62EC">
        <w:rPr>
          <w:rFonts w:eastAsia="宋体"/>
          <w:sz w:val="22"/>
          <w:szCs w:val="22"/>
          <w:lang w:eastAsia="zh-CN"/>
        </w:rPr>
        <w:t>feedback</w:t>
      </w:r>
      <w:r w:rsidR="001C4B45" w:rsidRPr="004F62EC">
        <w:rPr>
          <w:rFonts w:eastAsia="宋体"/>
          <w:sz w:val="22"/>
          <w:szCs w:val="22"/>
          <w:lang w:eastAsia="zh-CN"/>
        </w:rPr>
        <w:t>.</w:t>
      </w:r>
      <w:r w:rsidR="001C4B45" w:rsidRPr="004F62EC">
        <w:rPr>
          <w:rFonts w:eastAsia="宋体"/>
          <w:noProof w:val="0"/>
          <w:kern w:val="2"/>
          <w:sz w:val="22"/>
          <w:szCs w:val="22"/>
          <w:lang w:eastAsia="zh-CN"/>
        </w:rPr>
        <w:t xml:space="preserve"> </w:t>
      </w:r>
    </w:p>
    <w:p w14:paraId="6F9AA89D" w14:textId="66E56A08" w:rsidR="001C4B45" w:rsidRPr="004F62EC" w:rsidRDefault="00517AA4" w:rsidP="1429F515">
      <w:pPr>
        <w:pStyle w:val="Heading2"/>
        <w:rPr>
          <w:rFonts w:cs="Arial"/>
          <w:lang w:eastAsia="ja-JP"/>
        </w:rPr>
      </w:pPr>
      <w:bookmarkStart w:id="4" w:name="_Hlk15897265"/>
      <w:r w:rsidRPr="004F62EC">
        <w:rPr>
          <w:rFonts w:cs="Arial"/>
          <w:lang w:eastAsia="ja-JP"/>
        </w:rPr>
        <w:t>3</w:t>
      </w:r>
      <w:r w:rsidR="001C4B45" w:rsidRPr="004F62EC">
        <w:rPr>
          <w:rFonts w:cs="Arial"/>
          <w:lang w:eastAsia="ja-JP"/>
        </w:rPr>
        <w:t xml:space="preserve">.1 </w:t>
      </w:r>
      <w:r w:rsidR="009D2379" w:rsidRPr="004F62EC">
        <w:rPr>
          <w:rFonts w:cs="Arial"/>
          <w:lang w:eastAsia="ja-JP"/>
        </w:rPr>
        <w:t>Restriction on HARQ feedback disabling</w:t>
      </w:r>
      <w:r w:rsidR="001C4B45" w:rsidRPr="004F62EC">
        <w:rPr>
          <w:rFonts w:cs="Arial"/>
          <w:lang w:eastAsia="ja-JP"/>
        </w:rPr>
        <w:t xml:space="preserve"> </w:t>
      </w:r>
    </w:p>
    <w:p w14:paraId="26850705" w14:textId="04164C12" w:rsidR="007D5F77" w:rsidRPr="004F62EC" w:rsidRDefault="00C75EF3" w:rsidP="007D5F77">
      <w:pPr>
        <w:snapToGrid w:val="0"/>
        <w:spacing w:before="120" w:after="120"/>
        <w:jc w:val="both"/>
        <w:rPr>
          <w:rFonts w:eastAsia="宋体"/>
          <w:noProof w:val="0"/>
          <w:kern w:val="2"/>
          <w:sz w:val="22"/>
          <w:szCs w:val="22"/>
          <w:lang w:eastAsia="zh-CN"/>
        </w:rPr>
      </w:pPr>
      <w:r w:rsidRPr="004F62EC">
        <w:rPr>
          <w:rFonts w:eastAsia="宋体"/>
          <w:noProof w:val="0"/>
          <w:kern w:val="2"/>
          <w:sz w:val="22"/>
          <w:szCs w:val="22"/>
          <w:lang w:eastAsia="zh-CN"/>
        </w:rPr>
        <w:t xml:space="preserve">In NR, a 3ms delay after ACK feedback is </w:t>
      </w:r>
      <w:r w:rsidR="00724D57">
        <w:rPr>
          <w:rFonts w:eastAsia="宋体"/>
          <w:noProof w:val="0"/>
          <w:kern w:val="2"/>
          <w:sz w:val="22"/>
          <w:szCs w:val="22"/>
          <w:lang w:eastAsia="zh-CN"/>
        </w:rPr>
        <w:t>allowed</w:t>
      </w:r>
      <w:r w:rsidR="00724D57" w:rsidRPr="004F62EC">
        <w:rPr>
          <w:rFonts w:eastAsia="宋体"/>
          <w:noProof w:val="0"/>
          <w:kern w:val="2"/>
          <w:sz w:val="22"/>
          <w:szCs w:val="22"/>
          <w:lang w:eastAsia="zh-CN"/>
        </w:rPr>
        <w:t xml:space="preserve"> </w:t>
      </w:r>
      <w:r w:rsidRPr="004F62EC">
        <w:rPr>
          <w:rFonts w:eastAsia="宋体"/>
          <w:noProof w:val="0"/>
          <w:kern w:val="2"/>
          <w:sz w:val="22"/>
          <w:szCs w:val="22"/>
          <w:lang w:eastAsia="zh-CN"/>
        </w:rPr>
        <w:t xml:space="preserve">for MAC CE activation/deactivation timing </w:t>
      </w:r>
      <w:r w:rsidR="00724D57">
        <w:rPr>
          <w:rFonts w:eastAsia="宋体"/>
          <w:noProof w:val="0"/>
          <w:kern w:val="2"/>
          <w:sz w:val="22"/>
          <w:szCs w:val="22"/>
          <w:lang w:eastAsia="zh-CN"/>
        </w:rPr>
        <w:t>in order</w:t>
      </w:r>
      <w:r w:rsidR="00724D57" w:rsidRPr="004F62EC">
        <w:rPr>
          <w:rFonts w:eastAsia="宋体"/>
          <w:noProof w:val="0"/>
          <w:kern w:val="2"/>
          <w:sz w:val="22"/>
          <w:szCs w:val="22"/>
          <w:lang w:eastAsia="zh-CN"/>
        </w:rPr>
        <w:t xml:space="preserve"> </w:t>
      </w:r>
      <w:r w:rsidRPr="004F62EC">
        <w:rPr>
          <w:rFonts w:eastAsia="宋体"/>
          <w:noProof w:val="0"/>
          <w:kern w:val="2"/>
          <w:sz w:val="22"/>
          <w:szCs w:val="22"/>
          <w:lang w:eastAsia="zh-CN"/>
        </w:rPr>
        <w:t xml:space="preserve">to synchronize the action between gNB and UE. There is an issue that the gNB would not know whether the MAC </w:t>
      </w:r>
      <w:r w:rsidRPr="004F62EC">
        <w:rPr>
          <w:rFonts w:eastAsia="宋体"/>
          <w:noProof w:val="0"/>
          <w:kern w:val="2"/>
          <w:sz w:val="22"/>
          <w:szCs w:val="22"/>
          <w:lang w:eastAsia="zh-CN"/>
        </w:rPr>
        <w:lastRenderedPageBreak/>
        <w:t xml:space="preserve">CE is received correctly by UE when HARQ feedback is disabled. Important but not time-sensitive MAC CEs such as SP CSI reporting on PUCCH activation/deactivation by MAC CE, SP SRS activation/deactivation by MAC CE and SCell activation/deactivation by MAC CEs </w:t>
      </w:r>
      <w:r w:rsidR="00E202B6">
        <w:rPr>
          <w:rFonts w:eastAsia="宋体"/>
          <w:noProof w:val="0"/>
          <w:kern w:val="2"/>
          <w:sz w:val="22"/>
          <w:szCs w:val="22"/>
          <w:lang w:eastAsia="zh-CN"/>
        </w:rPr>
        <w:t>may</w:t>
      </w:r>
      <w:r w:rsidR="00E202B6" w:rsidRPr="004F62EC">
        <w:rPr>
          <w:rFonts w:eastAsia="宋体"/>
          <w:noProof w:val="0"/>
          <w:kern w:val="2"/>
          <w:sz w:val="22"/>
          <w:szCs w:val="22"/>
          <w:lang w:eastAsia="zh-CN"/>
        </w:rPr>
        <w:t xml:space="preserve"> </w:t>
      </w:r>
      <w:r w:rsidRPr="004F62EC">
        <w:rPr>
          <w:rFonts w:eastAsia="宋体"/>
          <w:noProof w:val="0"/>
          <w:kern w:val="2"/>
          <w:sz w:val="22"/>
          <w:szCs w:val="22"/>
          <w:lang w:eastAsia="zh-CN"/>
        </w:rPr>
        <w:t xml:space="preserve">cause continuous error if they are missing or decoded incorrectly. </w:t>
      </w:r>
    </w:p>
    <w:p w14:paraId="63575C5E" w14:textId="27720224" w:rsidR="00D83326" w:rsidRPr="004F62EC" w:rsidRDefault="00824788" w:rsidP="007D5F77">
      <w:pPr>
        <w:snapToGrid w:val="0"/>
        <w:spacing w:before="120" w:after="120"/>
        <w:jc w:val="both"/>
        <w:rPr>
          <w:rFonts w:eastAsia="宋体"/>
          <w:noProof w:val="0"/>
          <w:kern w:val="2"/>
          <w:sz w:val="22"/>
          <w:szCs w:val="22"/>
          <w:lang w:eastAsia="zh-CN"/>
        </w:rPr>
      </w:pPr>
      <w:r w:rsidRPr="004F62EC">
        <w:rPr>
          <w:rFonts w:eastAsia="宋体"/>
          <w:noProof w:val="0"/>
          <w:kern w:val="2"/>
          <w:sz w:val="22"/>
          <w:szCs w:val="22"/>
          <w:lang w:eastAsia="zh-CN"/>
        </w:rPr>
        <w:t xml:space="preserve">In that sense, it is beneficial to enable HARQ feedback for at least one HARQ process so that the reliability of </w:t>
      </w:r>
      <w:r w:rsidR="00BA747F">
        <w:rPr>
          <w:rFonts w:eastAsia="宋体"/>
          <w:noProof w:val="0"/>
          <w:kern w:val="2"/>
          <w:sz w:val="22"/>
          <w:szCs w:val="22"/>
          <w:lang w:eastAsia="zh-CN"/>
        </w:rPr>
        <w:t>MAC CEs</w:t>
      </w:r>
      <w:r w:rsidRPr="004F62EC">
        <w:rPr>
          <w:rFonts w:eastAsia="宋体"/>
          <w:noProof w:val="0"/>
          <w:kern w:val="2"/>
          <w:sz w:val="22"/>
          <w:szCs w:val="22"/>
          <w:lang w:eastAsia="zh-CN"/>
        </w:rPr>
        <w:t xml:space="preserve"> can be ensured by transmitting them using the HARQ process whose HARQ feedback is enabled.  </w:t>
      </w:r>
    </w:p>
    <w:p w14:paraId="3C5385E5" w14:textId="32B9C3C5" w:rsidR="00BA747F" w:rsidRPr="004E53AE" w:rsidRDefault="00BA747F" w:rsidP="00755D5B">
      <w:pPr>
        <w:snapToGrid w:val="0"/>
        <w:spacing w:before="120" w:after="120"/>
        <w:jc w:val="both"/>
        <w:rPr>
          <w:rFonts w:eastAsia="宋体"/>
          <w:b/>
          <w:noProof w:val="0"/>
          <w:kern w:val="2"/>
          <w:sz w:val="22"/>
          <w:szCs w:val="22"/>
          <w:lang w:eastAsia="zh-CN"/>
        </w:rPr>
      </w:pPr>
      <w:r>
        <w:rPr>
          <w:rFonts w:eastAsia="宋体" w:hint="eastAsia"/>
          <w:b/>
          <w:noProof w:val="0"/>
          <w:kern w:val="2"/>
          <w:sz w:val="22"/>
          <w:szCs w:val="22"/>
          <w:lang w:eastAsia="zh-CN"/>
        </w:rPr>
        <w:t>P</w:t>
      </w:r>
      <w:r>
        <w:rPr>
          <w:rFonts w:eastAsia="宋体"/>
          <w:b/>
          <w:noProof w:val="0"/>
          <w:kern w:val="2"/>
          <w:sz w:val="22"/>
          <w:szCs w:val="22"/>
          <w:lang w:eastAsia="zh-CN"/>
        </w:rPr>
        <w:t xml:space="preserve">roposal 2: </w:t>
      </w:r>
      <w:r w:rsidRPr="00BA747F">
        <w:rPr>
          <w:rFonts w:eastAsia="宋体"/>
          <w:b/>
          <w:noProof w:val="0"/>
          <w:kern w:val="2"/>
          <w:sz w:val="22"/>
          <w:szCs w:val="22"/>
          <w:lang w:eastAsia="zh-CN"/>
        </w:rPr>
        <w:t>UE expects that any PDSCH carrying a MAC CE command, whose activation/deactivation time is coupled to the transmission time of the associated HARQ-ACK, is scheduled via a HARQ process with HARQ feedback enabled.</w:t>
      </w:r>
    </w:p>
    <w:p w14:paraId="28F29AE3" w14:textId="20C3D735" w:rsidR="001C4B45" w:rsidRPr="004F62EC" w:rsidRDefault="00517AA4" w:rsidP="001C4B45">
      <w:pPr>
        <w:pStyle w:val="Heading2"/>
        <w:rPr>
          <w:rFonts w:cs="Arial"/>
          <w:iCs/>
          <w:lang w:val="x-none" w:eastAsia="ja-JP"/>
        </w:rPr>
      </w:pPr>
      <w:r w:rsidRPr="004F62EC">
        <w:rPr>
          <w:rFonts w:cs="Arial"/>
          <w:iCs/>
          <w:lang w:val="x-none" w:eastAsia="ja-JP"/>
        </w:rPr>
        <w:t>3</w:t>
      </w:r>
      <w:r w:rsidR="001C4B45" w:rsidRPr="004F62EC">
        <w:rPr>
          <w:rFonts w:cs="Arial"/>
          <w:iCs/>
          <w:lang w:val="x-none" w:eastAsia="ja-JP"/>
        </w:rPr>
        <w:t xml:space="preserve">.2 Impact </w:t>
      </w:r>
      <w:r w:rsidR="0091366C" w:rsidRPr="004F62EC">
        <w:rPr>
          <w:rFonts w:cs="Arial"/>
          <w:iCs/>
          <w:lang w:val="x-none" w:eastAsia="ja-JP"/>
        </w:rPr>
        <w:t xml:space="preserve">on </w:t>
      </w:r>
      <w:r w:rsidR="001C4B45" w:rsidRPr="004F62EC">
        <w:rPr>
          <w:rFonts w:cs="Arial"/>
          <w:iCs/>
          <w:lang w:val="x-none" w:eastAsia="ja-JP"/>
        </w:rPr>
        <w:t>HARQ codebook</w:t>
      </w:r>
    </w:p>
    <w:p w14:paraId="710A2E31" w14:textId="20121D73" w:rsidR="00E27D90" w:rsidRPr="004F62EC" w:rsidRDefault="0091366C" w:rsidP="001C4B45">
      <w:pPr>
        <w:snapToGrid w:val="0"/>
        <w:spacing w:before="120" w:after="120"/>
        <w:jc w:val="both"/>
        <w:rPr>
          <w:rFonts w:eastAsia="宋体"/>
          <w:noProof w:val="0"/>
          <w:kern w:val="2"/>
          <w:sz w:val="22"/>
          <w:szCs w:val="22"/>
          <w:lang w:eastAsia="zh-CN"/>
        </w:rPr>
      </w:pPr>
      <w:r w:rsidRPr="004F62EC">
        <w:rPr>
          <w:rFonts w:eastAsia="宋体"/>
          <w:noProof w:val="0"/>
          <w:kern w:val="2"/>
          <w:sz w:val="22"/>
          <w:szCs w:val="22"/>
          <w:lang w:eastAsia="zh-CN"/>
        </w:rPr>
        <w:t xml:space="preserve">For </w:t>
      </w:r>
      <w:r w:rsidR="001C4B45" w:rsidRPr="004F62EC">
        <w:rPr>
          <w:rFonts w:eastAsia="宋体"/>
          <w:noProof w:val="0"/>
          <w:kern w:val="2"/>
          <w:sz w:val="22"/>
          <w:szCs w:val="22"/>
          <w:lang w:eastAsia="zh-CN"/>
        </w:rPr>
        <w:t xml:space="preserve">dynamic scheduling, the HARQ process ID is included in the DCI, for </w:t>
      </w:r>
      <w:r w:rsidR="0015070B" w:rsidRPr="004F62EC">
        <w:rPr>
          <w:rFonts w:eastAsia="宋体"/>
          <w:noProof w:val="0"/>
          <w:kern w:val="2"/>
          <w:sz w:val="22"/>
          <w:szCs w:val="22"/>
          <w:lang w:eastAsia="zh-CN"/>
        </w:rPr>
        <w:t xml:space="preserve">DL </w:t>
      </w:r>
      <w:r w:rsidR="001C4B45" w:rsidRPr="004F62EC">
        <w:rPr>
          <w:rFonts w:eastAsia="宋体"/>
          <w:noProof w:val="0"/>
          <w:kern w:val="2"/>
          <w:sz w:val="22"/>
          <w:szCs w:val="22"/>
          <w:lang w:eastAsia="zh-CN"/>
        </w:rPr>
        <w:t xml:space="preserve">semi-persistent scheduling the HARQ process ID is derived </w:t>
      </w:r>
      <w:r w:rsidR="001C4B45" w:rsidRPr="004F62EC">
        <w:rPr>
          <w:noProof w:val="0"/>
          <w:kern w:val="2"/>
          <w:sz w:val="22"/>
          <w:szCs w:val="22"/>
        </w:rPr>
        <w:t>by the DCI scrambled by CS-RNTI</w:t>
      </w:r>
      <w:r w:rsidR="00343B2C" w:rsidRPr="004F62EC">
        <w:rPr>
          <w:noProof w:val="0"/>
          <w:kern w:val="2"/>
          <w:sz w:val="22"/>
          <w:szCs w:val="22"/>
        </w:rPr>
        <w:t xml:space="preserve">. In that sense, the UE does not know whether the HARQ feedback is enabled or disabled for a given PDSCH until its </w:t>
      </w:r>
      <w:r w:rsidR="00343B2C" w:rsidRPr="004F62EC">
        <w:rPr>
          <w:noProof w:val="0"/>
          <w:sz w:val="22"/>
          <w:szCs w:val="22"/>
        </w:rPr>
        <w:t>scheduling</w:t>
      </w:r>
      <w:r w:rsidR="004B1BCD">
        <w:rPr>
          <w:noProof w:val="0"/>
          <w:sz w:val="22"/>
          <w:szCs w:val="22"/>
        </w:rPr>
        <w:t xml:space="preserve"> or activation</w:t>
      </w:r>
      <w:r w:rsidR="00343B2C" w:rsidRPr="004F62EC">
        <w:rPr>
          <w:noProof w:val="0"/>
          <w:sz w:val="22"/>
          <w:szCs w:val="22"/>
        </w:rPr>
        <w:t xml:space="preserve"> </w:t>
      </w:r>
      <w:r w:rsidR="00343B2C" w:rsidRPr="004F62EC">
        <w:rPr>
          <w:noProof w:val="0"/>
          <w:kern w:val="2"/>
          <w:sz w:val="22"/>
          <w:szCs w:val="22"/>
        </w:rPr>
        <w:t xml:space="preserve">DCI is received </w:t>
      </w:r>
      <w:r w:rsidR="00025777" w:rsidRPr="004F62EC">
        <w:rPr>
          <w:noProof w:val="0"/>
          <w:kern w:val="2"/>
          <w:sz w:val="22"/>
          <w:szCs w:val="22"/>
        </w:rPr>
        <w:t>for</w:t>
      </w:r>
      <w:r w:rsidR="001C4B45" w:rsidRPr="004F62EC">
        <w:rPr>
          <w:noProof w:val="0"/>
          <w:kern w:val="2"/>
          <w:sz w:val="22"/>
          <w:szCs w:val="22"/>
        </w:rPr>
        <w:t xml:space="preserve"> </w:t>
      </w:r>
      <w:r w:rsidR="48AEB0BB" w:rsidRPr="004F62EC">
        <w:rPr>
          <w:noProof w:val="0"/>
          <w:kern w:val="2"/>
          <w:sz w:val="22"/>
          <w:szCs w:val="22"/>
        </w:rPr>
        <w:t xml:space="preserve">either </w:t>
      </w:r>
      <w:r w:rsidR="001C4B45" w:rsidRPr="004F62EC">
        <w:rPr>
          <w:noProof w:val="0"/>
          <w:kern w:val="2"/>
          <w:sz w:val="22"/>
          <w:szCs w:val="22"/>
        </w:rPr>
        <w:t xml:space="preserve">dynamic PDSCH or SPS PDSCH. </w:t>
      </w:r>
      <w:r w:rsidRPr="004F62EC">
        <w:rPr>
          <w:noProof w:val="0"/>
          <w:kern w:val="2"/>
          <w:sz w:val="22"/>
          <w:szCs w:val="22"/>
        </w:rPr>
        <w:t xml:space="preserve">As </w:t>
      </w:r>
      <w:r w:rsidRPr="004F62EC">
        <w:rPr>
          <w:rFonts w:eastAsia="宋体"/>
          <w:noProof w:val="0"/>
          <w:kern w:val="2"/>
          <w:sz w:val="22"/>
          <w:szCs w:val="22"/>
          <w:lang w:val="x-none" w:eastAsia="zh-CN"/>
        </w:rPr>
        <w:t>t</w:t>
      </w:r>
      <w:r w:rsidRPr="004F62EC">
        <w:rPr>
          <w:rFonts w:eastAsia="宋体"/>
          <w:noProof w:val="0"/>
          <w:kern w:val="2"/>
          <w:sz w:val="22"/>
          <w:szCs w:val="22"/>
          <w:lang w:eastAsia="zh-CN"/>
        </w:rPr>
        <w:t xml:space="preserve">he enabling / disabling of HARQ feedback for downlink transmission is configured </w:t>
      </w:r>
      <w:r w:rsidR="00063943" w:rsidRPr="004F62EC">
        <w:rPr>
          <w:rFonts w:eastAsia="宋体"/>
          <w:noProof w:val="0"/>
          <w:kern w:val="2"/>
          <w:sz w:val="22"/>
          <w:szCs w:val="22"/>
          <w:lang w:eastAsia="zh-CN"/>
        </w:rPr>
        <w:t>on a per HARQ process</w:t>
      </w:r>
      <w:r w:rsidR="0015070B" w:rsidRPr="004F62EC">
        <w:rPr>
          <w:rFonts w:eastAsia="宋体"/>
          <w:noProof w:val="0"/>
          <w:kern w:val="2"/>
          <w:sz w:val="22"/>
          <w:szCs w:val="22"/>
          <w:lang w:eastAsia="zh-CN"/>
        </w:rPr>
        <w:t xml:space="preserve"> basis</w:t>
      </w:r>
      <w:r w:rsidR="00063943" w:rsidRPr="004F62EC">
        <w:rPr>
          <w:rFonts w:eastAsia="宋体"/>
          <w:noProof w:val="0"/>
          <w:kern w:val="2"/>
          <w:sz w:val="22"/>
          <w:szCs w:val="22"/>
          <w:lang w:eastAsia="zh-CN"/>
        </w:rPr>
        <w:t xml:space="preserve"> </w:t>
      </w:r>
      <w:r w:rsidRPr="004F62EC">
        <w:rPr>
          <w:rFonts w:eastAsia="宋体"/>
          <w:noProof w:val="0"/>
          <w:kern w:val="2"/>
          <w:sz w:val="22"/>
          <w:szCs w:val="22"/>
          <w:lang w:eastAsia="zh-CN"/>
        </w:rPr>
        <w:t xml:space="preserve">via RRC signaling and </w:t>
      </w:r>
      <w:r w:rsidR="00C9245E" w:rsidRPr="004F62EC">
        <w:rPr>
          <w:rFonts w:eastAsia="宋体"/>
          <w:noProof w:val="0"/>
          <w:kern w:val="2"/>
          <w:sz w:val="22"/>
          <w:szCs w:val="22"/>
          <w:lang w:eastAsia="zh-CN"/>
        </w:rPr>
        <w:t>the existing</w:t>
      </w:r>
      <w:r w:rsidRPr="004F62EC">
        <w:rPr>
          <w:rFonts w:eastAsia="宋体"/>
          <w:noProof w:val="0"/>
          <w:kern w:val="2"/>
          <w:sz w:val="22"/>
          <w:szCs w:val="22"/>
          <w:lang w:eastAsia="zh-CN"/>
        </w:rPr>
        <w:t xml:space="preserve"> HARQ codebook</w:t>
      </w:r>
      <w:r w:rsidR="00A274E9" w:rsidRPr="004F62EC">
        <w:rPr>
          <w:rFonts w:eastAsia="宋体"/>
          <w:noProof w:val="0"/>
          <w:kern w:val="2"/>
          <w:sz w:val="22"/>
          <w:szCs w:val="22"/>
          <w:lang w:eastAsia="zh-CN"/>
        </w:rPr>
        <w:t>s</w:t>
      </w:r>
      <w:r w:rsidRPr="004F62EC">
        <w:rPr>
          <w:rFonts w:eastAsia="宋体"/>
          <w:noProof w:val="0"/>
          <w:kern w:val="2"/>
          <w:sz w:val="22"/>
          <w:szCs w:val="22"/>
          <w:lang w:eastAsia="zh-CN"/>
        </w:rPr>
        <w:t xml:space="preserve"> are designed </w:t>
      </w:r>
      <w:r w:rsidR="00DD3F00">
        <w:rPr>
          <w:rFonts w:eastAsia="宋体"/>
          <w:noProof w:val="0"/>
          <w:kern w:val="2"/>
          <w:sz w:val="22"/>
          <w:szCs w:val="22"/>
          <w:lang w:eastAsia="zh-CN"/>
        </w:rPr>
        <w:t>based on the</w:t>
      </w:r>
      <w:r w:rsidR="00DD3F00" w:rsidRPr="004F62EC">
        <w:rPr>
          <w:rFonts w:eastAsia="宋体"/>
          <w:noProof w:val="0"/>
          <w:kern w:val="2"/>
          <w:sz w:val="22"/>
          <w:szCs w:val="22"/>
          <w:lang w:eastAsia="zh-CN"/>
        </w:rPr>
        <w:t xml:space="preserve"> </w:t>
      </w:r>
      <w:r w:rsidRPr="004F62EC">
        <w:rPr>
          <w:rFonts w:eastAsia="宋体"/>
          <w:noProof w:val="0"/>
          <w:kern w:val="2"/>
          <w:sz w:val="22"/>
          <w:szCs w:val="22"/>
          <w:lang w:eastAsia="zh-CN"/>
        </w:rPr>
        <w:t xml:space="preserve">principle </w:t>
      </w:r>
      <w:r w:rsidR="002E3E3A" w:rsidRPr="004F62EC">
        <w:rPr>
          <w:rFonts w:eastAsia="宋体"/>
          <w:noProof w:val="0"/>
          <w:kern w:val="2"/>
          <w:sz w:val="22"/>
          <w:szCs w:val="22"/>
          <w:lang w:eastAsia="zh-CN"/>
        </w:rPr>
        <w:t xml:space="preserve">that </w:t>
      </w:r>
      <w:r w:rsidRPr="004F62EC">
        <w:rPr>
          <w:rFonts w:eastAsia="宋体"/>
          <w:noProof w:val="0"/>
          <w:kern w:val="2"/>
          <w:sz w:val="22"/>
          <w:szCs w:val="22"/>
          <w:lang w:eastAsia="zh-CN"/>
        </w:rPr>
        <w:t>all PDSCH</w:t>
      </w:r>
      <w:r w:rsidR="00C9245E" w:rsidRPr="004F62EC">
        <w:rPr>
          <w:rFonts w:eastAsia="宋体"/>
          <w:noProof w:val="0"/>
          <w:kern w:val="2"/>
          <w:sz w:val="22"/>
          <w:szCs w:val="22"/>
          <w:lang w:eastAsia="zh-CN"/>
        </w:rPr>
        <w:t>s</w:t>
      </w:r>
      <w:r w:rsidRPr="004F62EC">
        <w:rPr>
          <w:rFonts w:eastAsia="宋体"/>
          <w:noProof w:val="0"/>
          <w:kern w:val="2"/>
          <w:sz w:val="22"/>
          <w:szCs w:val="22"/>
          <w:lang w:eastAsia="zh-CN"/>
        </w:rPr>
        <w:t xml:space="preserve"> need HARQ-ACK feedback</w:t>
      </w:r>
      <w:r w:rsidR="002E3E3A" w:rsidRPr="004F62EC">
        <w:rPr>
          <w:rFonts w:eastAsia="宋体"/>
          <w:noProof w:val="0"/>
          <w:kern w:val="2"/>
          <w:sz w:val="22"/>
          <w:szCs w:val="22"/>
          <w:lang w:eastAsia="zh-CN"/>
        </w:rPr>
        <w:t>,</w:t>
      </w:r>
      <w:r w:rsidRPr="004F62EC">
        <w:rPr>
          <w:rFonts w:eastAsia="宋体"/>
          <w:noProof w:val="0"/>
          <w:kern w:val="2"/>
          <w:sz w:val="22"/>
          <w:szCs w:val="22"/>
          <w:lang w:eastAsia="zh-CN"/>
        </w:rPr>
        <w:t xml:space="preserve"> </w:t>
      </w:r>
      <w:r w:rsidR="002E3E3A" w:rsidRPr="004F62EC">
        <w:rPr>
          <w:rFonts w:eastAsia="宋体"/>
          <w:noProof w:val="0"/>
          <w:kern w:val="2"/>
          <w:sz w:val="22"/>
          <w:szCs w:val="22"/>
          <w:lang w:eastAsia="zh-CN"/>
        </w:rPr>
        <w:t xml:space="preserve">it </w:t>
      </w:r>
      <w:r w:rsidRPr="004F62EC">
        <w:rPr>
          <w:rFonts w:eastAsia="宋体"/>
          <w:noProof w:val="0"/>
          <w:kern w:val="2"/>
          <w:sz w:val="22"/>
          <w:szCs w:val="22"/>
          <w:lang w:eastAsia="zh-CN"/>
        </w:rPr>
        <w:t>is necessary to identify enhancement</w:t>
      </w:r>
      <w:r w:rsidR="00DD3F00">
        <w:rPr>
          <w:rFonts w:eastAsia="宋体"/>
          <w:noProof w:val="0"/>
          <w:kern w:val="2"/>
          <w:sz w:val="22"/>
          <w:szCs w:val="22"/>
          <w:lang w:eastAsia="zh-CN"/>
        </w:rPr>
        <w:t>s</w:t>
      </w:r>
      <w:r w:rsidRPr="004F62EC">
        <w:rPr>
          <w:rFonts w:eastAsia="宋体"/>
          <w:noProof w:val="0"/>
          <w:kern w:val="2"/>
          <w:sz w:val="22"/>
          <w:szCs w:val="22"/>
          <w:lang w:eastAsia="zh-CN"/>
        </w:rPr>
        <w:t xml:space="preserve"> for HARQ-ACK codebook construction</w:t>
      </w:r>
      <w:r w:rsidR="00BB6649" w:rsidRPr="004F62EC">
        <w:rPr>
          <w:rFonts w:eastAsia="宋体"/>
          <w:noProof w:val="0"/>
          <w:kern w:val="2"/>
          <w:sz w:val="22"/>
          <w:szCs w:val="22"/>
          <w:lang w:eastAsia="zh-CN"/>
        </w:rPr>
        <w:t xml:space="preserve"> when feedback for some HARQ processes is disabled</w:t>
      </w:r>
      <w:r w:rsidRPr="004F62EC">
        <w:rPr>
          <w:rFonts w:eastAsia="宋体"/>
          <w:noProof w:val="0"/>
          <w:kern w:val="2"/>
          <w:sz w:val="22"/>
          <w:szCs w:val="22"/>
          <w:lang w:eastAsia="zh-CN"/>
        </w:rPr>
        <w:t xml:space="preserve">. </w:t>
      </w:r>
      <w:r w:rsidR="00E27D90" w:rsidRPr="004F62EC">
        <w:rPr>
          <w:rFonts w:eastAsia="宋体"/>
          <w:noProof w:val="0"/>
          <w:kern w:val="2"/>
          <w:sz w:val="22"/>
          <w:szCs w:val="22"/>
          <w:lang w:eastAsia="zh-CN"/>
        </w:rPr>
        <w:t>In RAN</w:t>
      </w:r>
      <w:r w:rsidR="00667E88" w:rsidRPr="004F62EC">
        <w:rPr>
          <w:rFonts w:eastAsia="宋体" w:hint="eastAsia"/>
          <w:noProof w:val="0"/>
          <w:kern w:val="2"/>
          <w:sz w:val="22"/>
          <w:szCs w:val="22"/>
          <w:lang w:eastAsia="zh-CN"/>
        </w:rPr>
        <w:t>1</w:t>
      </w:r>
      <w:r w:rsidR="00E27D90" w:rsidRPr="004F62EC">
        <w:rPr>
          <w:rFonts w:eastAsia="宋体"/>
          <w:noProof w:val="0"/>
          <w:kern w:val="2"/>
          <w:sz w:val="22"/>
          <w:szCs w:val="22"/>
          <w:lang w:eastAsia="zh-CN"/>
        </w:rPr>
        <w:t>#10</w:t>
      </w:r>
      <w:r w:rsidR="00667E88" w:rsidRPr="004F62EC">
        <w:rPr>
          <w:rFonts w:eastAsia="宋体" w:hint="eastAsia"/>
          <w:noProof w:val="0"/>
          <w:kern w:val="2"/>
          <w:sz w:val="22"/>
          <w:szCs w:val="22"/>
          <w:lang w:eastAsia="zh-CN"/>
        </w:rPr>
        <w:t>3e</w:t>
      </w:r>
      <w:r w:rsidR="00E27D90" w:rsidRPr="004F62EC">
        <w:rPr>
          <w:rFonts w:eastAsia="宋体"/>
          <w:noProof w:val="0"/>
          <w:kern w:val="2"/>
          <w:sz w:val="22"/>
          <w:szCs w:val="22"/>
          <w:lang w:eastAsia="zh-CN"/>
        </w:rPr>
        <w:t xml:space="preserve"> meeting</w:t>
      </w:r>
      <w:r w:rsidR="00815DFB" w:rsidRPr="004F62EC">
        <w:rPr>
          <w:rFonts w:eastAsia="宋体"/>
          <w:noProof w:val="0"/>
          <w:kern w:val="2"/>
          <w:sz w:val="22"/>
          <w:szCs w:val="22"/>
          <w:lang w:eastAsia="zh-CN"/>
        </w:rPr>
        <w:t xml:space="preserve"> </w:t>
      </w:r>
      <w:r w:rsidR="00E27D90" w:rsidRPr="004F62EC">
        <w:rPr>
          <w:rFonts w:eastAsia="宋体"/>
          <w:noProof w:val="0"/>
          <w:kern w:val="2"/>
          <w:sz w:val="22"/>
          <w:szCs w:val="22"/>
          <w:lang w:eastAsia="zh-CN"/>
        </w:rPr>
        <w:t>[</w:t>
      </w:r>
      <w:r w:rsidR="00343B2C" w:rsidRPr="004F62EC">
        <w:rPr>
          <w:rFonts w:eastAsia="宋体"/>
          <w:noProof w:val="0"/>
          <w:kern w:val="2"/>
          <w:sz w:val="22"/>
          <w:szCs w:val="22"/>
          <w:lang w:eastAsia="zh-CN"/>
        </w:rPr>
        <w:t>2</w:t>
      </w:r>
      <w:r w:rsidR="00E27D90" w:rsidRPr="004F62EC">
        <w:rPr>
          <w:rFonts w:eastAsia="宋体"/>
          <w:noProof w:val="0"/>
          <w:kern w:val="2"/>
          <w:sz w:val="22"/>
          <w:szCs w:val="22"/>
          <w:lang w:eastAsia="zh-CN"/>
        </w:rPr>
        <w:t>]</w:t>
      </w:r>
      <w:r w:rsidR="008878D3">
        <w:rPr>
          <w:rFonts w:eastAsia="宋体"/>
          <w:noProof w:val="0"/>
          <w:kern w:val="2"/>
          <w:sz w:val="22"/>
          <w:szCs w:val="22"/>
          <w:lang w:eastAsia="zh-CN"/>
        </w:rPr>
        <w:t xml:space="preserve"> and RAN1#104e meeting [</w:t>
      </w:r>
      <w:r w:rsidR="00D674ED">
        <w:rPr>
          <w:rFonts w:eastAsia="宋体"/>
          <w:noProof w:val="0"/>
          <w:kern w:val="2"/>
          <w:sz w:val="22"/>
          <w:szCs w:val="22"/>
          <w:lang w:eastAsia="zh-CN"/>
        </w:rPr>
        <w:t>6</w:t>
      </w:r>
      <w:r w:rsidR="008878D3">
        <w:rPr>
          <w:rFonts w:eastAsia="宋体"/>
          <w:noProof w:val="0"/>
          <w:kern w:val="2"/>
          <w:sz w:val="22"/>
          <w:szCs w:val="22"/>
          <w:lang w:eastAsia="zh-CN"/>
        </w:rPr>
        <w:t>]</w:t>
      </w:r>
      <w:r w:rsidR="00E27D90" w:rsidRPr="004F62EC">
        <w:rPr>
          <w:rFonts w:eastAsia="宋体"/>
          <w:noProof w:val="0"/>
          <w:kern w:val="2"/>
          <w:sz w:val="22"/>
          <w:szCs w:val="22"/>
          <w:lang w:eastAsia="zh-CN"/>
        </w:rPr>
        <w:t>, the following agreements were achieved</w:t>
      </w:r>
      <w:r w:rsidR="00667E88" w:rsidRPr="004F62EC">
        <w:rPr>
          <w:rFonts w:eastAsia="宋体"/>
          <w:noProof w:val="0"/>
          <w:kern w:val="2"/>
          <w:sz w:val="22"/>
          <w:szCs w:val="22"/>
          <w:lang w:eastAsia="zh-CN"/>
        </w:rPr>
        <w:t xml:space="preserve"> for HARQ codebook enhancement</w:t>
      </w:r>
      <w:r w:rsidR="00E27D90" w:rsidRPr="004F62EC">
        <w:rPr>
          <w:rFonts w:eastAsia="宋体"/>
          <w:noProof w:val="0"/>
          <w:kern w:val="2"/>
          <w:sz w:val="22"/>
          <w:szCs w:val="22"/>
          <w:lang w:eastAsia="zh-CN"/>
        </w:rPr>
        <w:t>,</w:t>
      </w:r>
    </w:p>
    <w:tbl>
      <w:tblPr>
        <w:tblStyle w:val="TableGrid"/>
        <w:tblW w:w="0" w:type="auto"/>
        <w:tblLook w:val="04A0" w:firstRow="1" w:lastRow="0" w:firstColumn="1" w:lastColumn="0" w:noHBand="0" w:noVBand="1"/>
      </w:tblPr>
      <w:tblGrid>
        <w:gridCol w:w="9962"/>
      </w:tblGrid>
      <w:tr w:rsidR="004F62EC" w:rsidRPr="004F62EC" w14:paraId="0972EBF5" w14:textId="77777777" w:rsidTr="00E27D90">
        <w:tc>
          <w:tcPr>
            <w:tcW w:w="9962" w:type="dxa"/>
          </w:tcPr>
          <w:p w14:paraId="1C1E4E28" w14:textId="77777777" w:rsidR="008878D3" w:rsidRPr="004E53AE" w:rsidRDefault="008878D3" w:rsidP="008878D3">
            <w:pPr>
              <w:rPr>
                <w:sz w:val="22"/>
                <w:szCs w:val="22"/>
                <w:lang w:eastAsia="x-none"/>
              </w:rPr>
            </w:pPr>
            <w:r w:rsidRPr="004E53AE">
              <w:rPr>
                <w:sz w:val="22"/>
                <w:szCs w:val="22"/>
                <w:highlight w:val="green"/>
                <w:lang w:eastAsia="x-none"/>
              </w:rPr>
              <w:t>Agreement:</w:t>
            </w:r>
          </w:p>
          <w:p w14:paraId="51A91B7D" w14:textId="77777777" w:rsidR="008878D3" w:rsidRPr="004E53AE" w:rsidRDefault="008878D3" w:rsidP="008878D3">
            <w:pPr>
              <w:rPr>
                <w:sz w:val="22"/>
                <w:szCs w:val="22"/>
                <w:lang w:eastAsia="x-none"/>
              </w:rPr>
            </w:pPr>
            <w:r w:rsidRPr="004E53AE">
              <w:rPr>
                <w:sz w:val="22"/>
                <w:szCs w:val="22"/>
                <w:lang w:eastAsia="x-none"/>
              </w:rPr>
              <w:t>For Type-2 HARQ codebook in NTN: Reduce codebook size with HARQ-ACK codebook only including HARQ-ACK of PDSCH with feedback-enabled HARQ processes</w:t>
            </w:r>
          </w:p>
          <w:p w14:paraId="5F9064C6" w14:textId="77777777" w:rsidR="008878D3" w:rsidRPr="004E53AE" w:rsidRDefault="008878D3" w:rsidP="008878D3">
            <w:pPr>
              <w:numPr>
                <w:ilvl w:val="0"/>
                <w:numId w:val="33"/>
              </w:numPr>
              <w:rPr>
                <w:sz w:val="22"/>
                <w:szCs w:val="22"/>
                <w:lang w:eastAsia="x-none"/>
              </w:rPr>
            </w:pPr>
            <w:r w:rsidRPr="004E53AE">
              <w:rPr>
                <w:sz w:val="22"/>
                <w:szCs w:val="22"/>
                <w:lang w:eastAsia="x-none"/>
              </w:rPr>
              <w:t>FFS: The details of C-DAI and T-DAI counting for DCI of PDSCH with feedback-enable/disabled HARQ processes</w:t>
            </w:r>
          </w:p>
          <w:p w14:paraId="70E1A906" w14:textId="77777777" w:rsidR="008878D3" w:rsidRPr="008878D3" w:rsidRDefault="008878D3" w:rsidP="00667E88">
            <w:pPr>
              <w:rPr>
                <w:sz w:val="22"/>
                <w:szCs w:val="22"/>
                <w:highlight w:val="green"/>
                <w:lang w:eastAsia="x-none"/>
              </w:rPr>
            </w:pPr>
          </w:p>
          <w:p w14:paraId="7F2252E8" w14:textId="12A2213C" w:rsidR="00667E88" w:rsidRPr="004F62EC" w:rsidRDefault="00667E88" w:rsidP="00667E88">
            <w:pPr>
              <w:rPr>
                <w:sz w:val="22"/>
                <w:szCs w:val="22"/>
                <w:lang w:eastAsia="x-none"/>
              </w:rPr>
            </w:pPr>
            <w:r w:rsidRPr="004F62EC">
              <w:rPr>
                <w:sz w:val="22"/>
                <w:szCs w:val="22"/>
                <w:highlight w:val="green"/>
                <w:lang w:eastAsia="x-none"/>
              </w:rPr>
              <w:t>Agreement:</w:t>
            </w:r>
          </w:p>
          <w:p w14:paraId="62D38B2F" w14:textId="77777777" w:rsidR="00667E88" w:rsidRPr="004F62EC" w:rsidRDefault="00667E88" w:rsidP="00667E88">
            <w:pPr>
              <w:rPr>
                <w:sz w:val="22"/>
                <w:szCs w:val="22"/>
                <w:lang w:eastAsia="x-none"/>
              </w:rPr>
            </w:pPr>
            <w:r w:rsidRPr="004F62EC">
              <w:rPr>
                <w:sz w:val="22"/>
                <w:szCs w:val="22"/>
                <w:lang w:eastAsia="x-none"/>
              </w:rPr>
              <w:t>HARQ codebook enhancement is supported as:</w:t>
            </w:r>
          </w:p>
          <w:p w14:paraId="688F827B" w14:textId="77777777" w:rsidR="00667E88" w:rsidRPr="004F62EC" w:rsidRDefault="00667E88" w:rsidP="00667E88">
            <w:pPr>
              <w:numPr>
                <w:ilvl w:val="0"/>
                <w:numId w:val="20"/>
              </w:numPr>
              <w:rPr>
                <w:sz w:val="22"/>
                <w:szCs w:val="22"/>
                <w:lang w:eastAsia="x-none"/>
              </w:rPr>
            </w:pPr>
            <w:r w:rsidRPr="004F62EC">
              <w:rPr>
                <w:sz w:val="22"/>
                <w:szCs w:val="22"/>
                <w:lang w:eastAsia="x-none"/>
              </w:rPr>
              <w:t>For Type-2 HARQ codebook:</w:t>
            </w:r>
          </w:p>
          <w:p w14:paraId="648DA4EA" w14:textId="77777777" w:rsidR="00667E88" w:rsidRPr="004F62EC" w:rsidRDefault="00667E88" w:rsidP="00667E88">
            <w:pPr>
              <w:numPr>
                <w:ilvl w:val="1"/>
                <w:numId w:val="20"/>
              </w:numPr>
              <w:rPr>
                <w:sz w:val="22"/>
                <w:szCs w:val="22"/>
                <w:lang w:eastAsia="x-none"/>
              </w:rPr>
            </w:pPr>
            <w:r w:rsidRPr="004F62EC">
              <w:rPr>
                <w:sz w:val="22"/>
                <w:szCs w:val="22"/>
                <w:lang w:eastAsia="x-none"/>
              </w:rPr>
              <w:t>Option-1: Reduce codebook size with:</w:t>
            </w:r>
          </w:p>
          <w:p w14:paraId="28FC84FE" w14:textId="77777777" w:rsidR="00667E88" w:rsidRPr="004F62EC" w:rsidRDefault="00667E88" w:rsidP="00667E88">
            <w:pPr>
              <w:numPr>
                <w:ilvl w:val="2"/>
                <w:numId w:val="20"/>
              </w:numPr>
              <w:rPr>
                <w:sz w:val="22"/>
                <w:szCs w:val="22"/>
                <w:lang w:eastAsia="x-none"/>
              </w:rPr>
            </w:pPr>
            <w:r w:rsidRPr="004F62EC">
              <w:rPr>
                <w:sz w:val="22"/>
                <w:szCs w:val="22"/>
                <w:lang w:eastAsia="x-none"/>
              </w:rPr>
              <w:t>HARQ-ACK codebook only includes HARQ-ACK of PDSCH with feedback-enabled HARQ processes</w:t>
            </w:r>
          </w:p>
          <w:p w14:paraId="7A86D1E5" w14:textId="77777777" w:rsidR="00667E88" w:rsidRPr="004F62EC" w:rsidRDefault="00667E88" w:rsidP="00667E88">
            <w:pPr>
              <w:numPr>
                <w:ilvl w:val="3"/>
                <w:numId w:val="20"/>
              </w:numPr>
              <w:rPr>
                <w:sz w:val="22"/>
                <w:szCs w:val="22"/>
                <w:lang w:eastAsia="x-none"/>
              </w:rPr>
            </w:pPr>
            <w:r w:rsidRPr="004F62EC">
              <w:rPr>
                <w:sz w:val="22"/>
                <w:szCs w:val="22"/>
                <w:lang w:eastAsia="x-none"/>
              </w:rPr>
              <w:t>FFS: the details of C-DAI and T-DAI counting for DCI of PDSCH with feedback-enable/disabled HARQ processes</w:t>
            </w:r>
          </w:p>
          <w:p w14:paraId="212F454A" w14:textId="77777777" w:rsidR="00667E88" w:rsidRPr="004F62EC" w:rsidRDefault="00667E88" w:rsidP="00667E88">
            <w:pPr>
              <w:numPr>
                <w:ilvl w:val="2"/>
                <w:numId w:val="20"/>
              </w:numPr>
              <w:rPr>
                <w:sz w:val="22"/>
                <w:szCs w:val="22"/>
                <w:lang w:eastAsia="x-none"/>
              </w:rPr>
            </w:pPr>
            <w:r w:rsidRPr="004F62EC">
              <w:rPr>
                <w:sz w:val="22"/>
                <w:szCs w:val="22"/>
                <w:lang w:eastAsia="x-none"/>
              </w:rPr>
              <w:t>FFS: at least DCI for SPS release/SPS PDSCH</w:t>
            </w:r>
          </w:p>
          <w:p w14:paraId="2D81EE8B" w14:textId="77777777" w:rsidR="00667E88" w:rsidRPr="004F62EC" w:rsidRDefault="00667E88" w:rsidP="00667E88">
            <w:pPr>
              <w:numPr>
                <w:ilvl w:val="1"/>
                <w:numId w:val="20"/>
              </w:numPr>
              <w:rPr>
                <w:sz w:val="22"/>
                <w:szCs w:val="22"/>
                <w:lang w:eastAsia="x-none"/>
              </w:rPr>
            </w:pPr>
            <w:r w:rsidRPr="004F62EC">
              <w:rPr>
                <w:sz w:val="22"/>
                <w:szCs w:val="22"/>
                <w:lang w:eastAsia="x-none"/>
              </w:rPr>
              <w:t>Option-2: No enhancement</w:t>
            </w:r>
          </w:p>
          <w:p w14:paraId="6CA908FC" w14:textId="77777777" w:rsidR="00667E88" w:rsidRPr="004F62EC" w:rsidRDefault="00667E88" w:rsidP="00667E88">
            <w:pPr>
              <w:numPr>
                <w:ilvl w:val="1"/>
                <w:numId w:val="20"/>
              </w:numPr>
              <w:rPr>
                <w:sz w:val="22"/>
                <w:szCs w:val="22"/>
                <w:lang w:eastAsia="x-none"/>
              </w:rPr>
            </w:pPr>
            <w:r w:rsidRPr="004F62EC">
              <w:rPr>
                <w:sz w:val="22"/>
                <w:szCs w:val="22"/>
                <w:lang w:eastAsia="x-none"/>
              </w:rPr>
              <w:t>Other options are not precluded.</w:t>
            </w:r>
          </w:p>
          <w:p w14:paraId="2BCA981F" w14:textId="77777777" w:rsidR="00667E88" w:rsidRPr="004F62EC" w:rsidRDefault="00667E88" w:rsidP="00667E88">
            <w:pPr>
              <w:numPr>
                <w:ilvl w:val="0"/>
                <w:numId w:val="20"/>
              </w:numPr>
              <w:rPr>
                <w:sz w:val="22"/>
                <w:szCs w:val="22"/>
                <w:lang w:eastAsia="x-none"/>
              </w:rPr>
            </w:pPr>
            <w:r w:rsidRPr="004F62EC">
              <w:rPr>
                <w:sz w:val="22"/>
                <w:szCs w:val="22"/>
                <w:lang w:eastAsia="x-none"/>
              </w:rPr>
              <w:t>For Type-1 HARQ codebook, further discuss is needed with down selection among following options:</w:t>
            </w:r>
          </w:p>
          <w:p w14:paraId="163A9862" w14:textId="77777777" w:rsidR="00667E88" w:rsidRPr="004F62EC" w:rsidRDefault="00667E88" w:rsidP="00667E88">
            <w:pPr>
              <w:numPr>
                <w:ilvl w:val="1"/>
                <w:numId w:val="20"/>
              </w:numPr>
              <w:rPr>
                <w:sz w:val="22"/>
                <w:szCs w:val="22"/>
                <w:lang w:eastAsia="x-none"/>
              </w:rPr>
            </w:pPr>
            <w:r w:rsidRPr="004F62EC">
              <w:rPr>
                <w:sz w:val="22"/>
                <w:szCs w:val="22"/>
                <w:lang w:eastAsia="x-none"/>
              </w:rPr>
              <w:t>Option-1: No enhancement;</w:t>
            </w:r>
          </w:p>
          <w:p w14:paraId="60F4A724" w14:textId="77777777" w:rsidR="00667E88" w:rsidRPr="004F62EC" w:rsidRDefault="00667E88" w:rsidP="00667E88">
            <w:pPr>
              <w:numPr>
                <w:ilvl w:val="1"/>
                <w:numId w:val="20"/>
              </w:numPr>
              <w:rPr>
                <w:sz w:val="22"/>
                <w:szCs w:val="22"/>
                <w:lang w:eastAsia="x-none"/>
              </w:rPr>
            </w:pPr>
            <w:r w:rsidRPr="004F62EC">
              <w:rPr>
                <w:sz w:val="22"/>
                <w:szCs w:val="22"/>
                <w:lang w:eastAsia="x-none"/>
              </w:rPr>
              <w:t>Option-2: Report NACK on disabled process</w:t>
            </w:r>
          </w:p>
          <w:p w14:paraId="24BCEB1E" w14:textId="77777777" w:rsidR="00667E88" w:rsidRPr="004F62EC" w:rsidRDefault="00667E88" w:rsidP="00667E88">
            <w:pPr>
              <w:numPr>
                <w:ilvl w:val="1"/>
                <w:numId w:val="20"/>
              </w:numPr>
              <w:rPr>
                <w:sz w:val="22"/>
                <w:szCs w:val="22"/>
                <w:lang w:eastAsia="x-none"/>
              </w:rPr>
            </w:pPr>
            <w:r w:rsidRPr="004F62EC">
              <w:rPr>
                <w:sz w:val="22"/>
                <w:szCs w:val="22"/>
                <w:lang w:eastAsia="x-none"/>
              </w:rPr>
              <w:t>Option-3: Reduce codebook size with criteria </w:t>
            </w:r>
          </w:p>
          <w:p w14:paraId="68150523" w14:textId="178AB2F8" w:rsidR="00E27D90" w:rsidRPr="004F62EC" w:rsidRDefault="00667E88" w:rsidP="00667E88">
            <w:pPr>
              <w:numPr>
                <w:ilvl w:val="0"/>
                <w:numId w:val="20"/>
              </w:numPr>
              <w:rPr>
                <w:sz w:val="22"/>
                <w:szCs w:val="22"/>
                <w:lang w:eastAsia="x-none"/>
              </w:rPr>
            </w:pPr>
            <w:r w:rsidRPr="004F62EC">
              <w:rPr>
                <w:sz w:val="22"/>
                <w:szCs w:val="22"/>
                <w:lang w:eastAsia="x-none"/>
              </w:rPr>
              <w:t>FFS: Enhancements for Type-3 HARQ codebook</w:t>
            </w:r>
          </w:p>
        </w:tc>
      </w:tr>
    </w:tbl>
    <w:p w14:paraId="6CEE7887" w14:textId="7967BBAA" w:rsidR="00E27D90" w:rsidRPr="004F62EC" w:rsidRDefault="00A27563" w:rsidP="001C4B45">
      <w:pPr>
        <w:snapToGrid w:val="0"/>
        <w:spacing w:before="120" w:after="120"/>
        <w:jc w:val="both"/>
        <w:rPr>
          <w:rFonts w:eastAsia="宋体"/>
          <w:noProof w:val="0"/>
          <w:kern w:val="2"/>
          <w:sz w:val="22"/>
          <w:szCs w:val="22"/>
          <w:lang w:eastAsia="zh-CN"/>
        </w:rPr>
      </w:pPr>
      <w:r w:rsidRPr="004F62EC">
        <w:rPr>
          <w:rFonts w:eastAsia="宋体"/>
          <w:noProof w:val="0"/>
          <w:kern w:val="2"/>
          <w:sz w:val="22"/>
          <w:szCs w:val="22"/>
          <w:lang w:eastAsia="zh-CN"/>
        </w:rPr>
        <w:t xml:space="preserve">In </w:t>
      </w:r>
      <w:r w:rsidR="00343B2C" w:rsidRPr="004F62EC">
        <w:rPr>
          <w:rFonts w:eastAsia="宋体"/>
          <w:noProof w:val="0"/>
          <w:kern w:val="2"/>
          <w:sz w:val="22"/>
          <w:szCs w:val="22"/>
          <w:lang w:eastAsia="zh-CN"/>
        </w:rPr>
        <w:t>the following part</w:t>
      </w:r>
      <w:r w:rsidRPr="004F62EC">
        <w:rPr>
          <w:rFonts w:eastAsia="宋体"/>
          <w:noProof w:val="0"/>
          <w:kern w:val="2"/>
          <w:sz w:val="22"/>
          <w:szCs w:val="22"/>
          <w:lang w:eastAsia="zh-CN"/>
        </w:rPr>
        <w:t xml:space="preserve">, we will discuss each solution for </w:t>
      </w:r>
      <w:r w:rsidR="0091366C" w:rsidRPr="004F62EC">
        <w:rPr>
          <w:rFonts w:eastAsia="宋体"/>
          <w:noProof w:val="0"/>
          <w:kern w:val="2"/>
          <w:sz w:val="22"/>
          <w:szCs w:val="22"/>
          <w:lang w:eastAsia="zh-CN"/>
        </w:rPr>
        <w:t xml:space="preserve">necessary </w:t>
      </w:r>
      <w:r w:rsidRPr="004F62EC">
        <w:rPr>
          <w:rFonts w:eastAsia="宋体"/>
          <w:noProof w:val="0"/>
          <w:kern w:val="2"/>
          <w:sz w:val="22"/>
          <w:szCs w:val="22"/>
          <w:lang w:eastAsia="zh-CN"/>
        </w:rPr>
        <w:t>enhancement</w:t>
      </w:r>
      <w:r w:rsidR="00C9245E" w:rsidRPr="004F62EC">
        <w:rPr>
          <w:rFonts w:eastAsia="宋体"/>
          <w:noProof w:val="0"/>
          <w:kern w:val="2"/>
          <w:sz w:val="22"/>
          <w:szCs w:val="22"/>
          <w:lang w:eastAsia="zh-CN"/>
        </w:rPr>
        <w:t xml:space="preserve"> for HARQ-ACK codebook construction</w:t>
      </w:r>
      <w:r w:rsidRPr="004F62EC">
        <w:rPr>
          <w:rFonts w:eastAsia="宋体"/>
          <w:noProof w:val="0"/>
          <w:kern w:val="2"/>
          <w:sz w:val="22"/>
          <w:szCs w:val="22"/>
          <w:lang w:eastAsia="zh-CN"/>
        </w:rPr>
        <w:t>.</w:t>
      </w:r>
      <w:r w:rsidR="002111F6" w:rsidRPr="004F62EC">
        <w:rPr>
          <w:rFonts w:eastAsia="宋体"/>
          <w:noProof w:val="0"/>
          <w:kern w:val="2"/>
          <w:sz w:val="22"/>
          <w:szCs w:val="22"/>
          <w:lang w:eastAsia="zh-CN"/>
        </w:rPr>
        <w:t xml:space="preserve"> </w:t>
      </w:r>
    </w:p>
    <w:p w14:paraId="389A960D" w14:textId="1F7AB5E2" w:rsidR="00E27D90" w:rsidRPr="004F62EC" w:rsidRDefault="00E27D90" w:rsidP="001C4B45">
      <w:pPr>
        <w:snapToGrid w:val="0"/>
        <w:spacing w:before="120" w:after="120"/>
        <w:jc w:val="both"/>
        <w:rPr>
          <w:rFonts w:eastAsia="宋体"/>
          <w:i/>
          <w:iCs/>
          <w:noProof w:val="0"/>
          <w:kern w:val="2"/>
          <w:sz w:val="22"/>
          <w:szCs w:val="22"/>
          <w:u w:val="single"/>
          <w:lang w:eastAsia="zh-CN"/>
        </w:rPr>
      </w:pPr>
      <w:r w:rsidRPr="004F62EC">
        <w:rPr>
          <w:rFonts w:eastAsia="宋体" w:hint="eastAsia"/>
          <w:i/>
          <w:iCs/>
          <w:noProof w:val="0"/>
          <w:kern w:val="2"/>
          <w:sz w:val="22"/>
          <w:szCs w:val="22"/>
          <w:u w:val="single"/>
          <w:lang w:eastAsia="zh-CN"/>
        </w:rPr>
        <w:t>T</w:t>
      </w:r>
      <w:r w:rsidRPr="004F62EC">
        <w:rPr>
          <w:rFonts w:eastAsia="宋体"/>
          <w:i/>
          <w:iCs/>
          <w:noProof w:val="0"/>
          <w:kern w:val="2"/>
          <w:sz w:val="22"/>
          <w:szCs w:val="22"/>
          <w:u w:val="single"/>
          <w:lang w:eastAsia="zh-CN"/>
        </w:rPr>
        <w:t>ype 1 HARQ codebook</w:t>
      </w:r>
    </w:p>
    <w:p w14:paraId="30001565" w14:textId="43DF7D51" w:rsidR="0039174E" w:rsidRPr="004F62EC" w:rsidRDefault="001C4B45" w:rsidP="001C4B45">
      <w:pPr>
        <w:snapToGrid w:val="0"/>
        <w:spacing w:before="120" w:after="120"/>
        <w:jc w:val="both"/>
        <w:rPr>
          <w:noProof w:val="0"/>
          <w:kern w:val="2"/>
          <w:sz w:val="22"/>
          <w:szCs w:val="22"/>
          <w:lang w:val="en-GB"/>
        </w:rPr>
      </w:pPr>
      <w:r w:rsidRPr="004F62EC">
        <w:rPr>
          <w:rFonts w:eastAsia="宋体"/>
          <w:noProof w:val="0"/>
          <w:kern w:val="2"/>
          <w:sz w:val="22"/>
          <w:szCs w:val="22"/>
          <w:lang w:eastAsia="zh-CN"/>
        </w:rPr>
        <w:t>Type-1 HARQ-ACK codebook</w:t>
      </w:r>
      <w:r w:rsidR="00E87DA7" w:rsidRPr="004F62EC">
        <w:rPr>
          <w:rFonts w:eastAsia="宋体"/>
          <w:noProof w:val="0"/>
          <w:kern w:val="2"/>
          <w:sz w:val="22"/>
          <w:szCs w:val="22"/>
          <w:lang w:eastAsia="zh-CN"/>
        </w:rPr>
        <w:t>/</w:t>
      </w:r>
      <w:r w:rsidR="00A27563" w:rsidRPr="004F62EC">
        <w:rPr>
          <w:rFonts w:eastAsia="宋体"/>
          <w:noProof w:val="0"/>
          <w:kern w:val="2"/>
          <w:sz w:val="22"/>
          <w:szCs w:val="22"/>
          <w:lang w:eastAsia="zh-CN"/>
        </w:rPr>
        <w:t xml:space="preserve">semi-static </w:t>
      </w:r>
      <w:r w:rsidRPr="004F62EC">
        <w:rPr>
          <w:rFonts w:eastAsia="宋体"/>
          <w:noProof w:val="0"/>
          <w:kern w:val="2"/>
          <w:sz w:val="22"/>
          <w:szCs w:val="22"/>
          <w:lang w:eastAsia="zh-CN"/>
        </w:rPr>
        <w:t xml:space="preserve">HARQ-ACK codebook can provide robustness against missed DCI transmissions, whose length depends on the </w:t>
      </w:r>
      <w:r w:rsidR="00C62230" w:rsidRPr="004F62EC">
        <w:rPr>
          <w:rFonts w:eastAsia="宋体"/>
          <w:noProof w:val="0"/>
          <w:kern w:val="2"/>
          <w:sz w:val="22"/>
          <w:szCs w:val="22"/>
          <w:lang w:eastAsia="zh-CN"/>
        </w:rPr>
        <w:t>RRC configured</w:t>
      </w:r>
      <w:r w:rsidR="007C3898" w:rsidRPr="004F62EC">
        <w:rPr>
          <w:rFonts w:eastAsia="宋体"/>
          <w:noProof w:val="0"/>
          <w:kern w:val="2"/>
          <w:sz w:val="22"/>
          <w:szCs w:val="22"/>
          <w:lang w:eastAsia="zh-CN"/>
        </w:rPr>
        <w:t xml:space="preserve"> parameters such as</w:t>
      </w:r>
      <w:r w:rsidR="00C62230" w:rsidRPr="004F62EC">
        <w:rPr>
          <w:rFonts w:eastAsia="宋体"/>
          <w:noProof w:val="0"/>
          <w:kern w:val="2"/>
          <w:sz w:val="22"/>
          <w:szCs w:val="22"/>
          <w:lang w:eastAsia="zh-CN"/>
        </w:rPr>
        <w:t xml:space="preserve"> </w:t>
      </w:r>
      <w:r w:rsidRPr="004F62EC">
        <w:rPr>
          <w:rFonts w:eastAsia="宋体"/>
          <w:noProof w:val="0"/>
          <w:kern w:val="2"/>
          <w:sz w:val="22"/>
          <w:szCs w:val="22"/>
          <w:lang w:eastAsia="zh-CN"/>
        </w:rPr>
        <w:t xml:space="preserve">TDRA table, serving cell number and </w:t>
      </w:r>
      <w:r w:rsidR="00063943" w:rsidRPr="004F62EC">
        <w:rPr>
          <w:rFonts w:eastAsia="宋体"/>
          <w:noProof w:val="0"/>
          <w:kern w:val="2"/>
          <w:sz w:val="22"/>
          <w:szCs w:val="22"/>
          <w:lang w:eastAsia="zh-CN"/>
        </w:rPr>
        <w:t>K1 value/</w:t>
      </w:r>
      <w:r w:rsidRPr="004F62EC">
        <w:rPr>
          <w:rFonts w:eastAsia="宋体"/>
          <w:noProof w:val="0"/>
          <w:kern w:val="2"/>
          <w:sz w:val="22"/>
          <w:szCs w:val="22"/>
          <w:lang w:eastAsia="zh-CN"/>
        </w:rPr>
        <w:t xml:space="preserve">dl_DataToUL-ACK. </w:t>
      </w:r>
      <w:r w:rsidR="00DF1667" w:rsidRPr="004F62EC">
        <w:rPr>
          <w:rFonts w:eastAsia="宋体"/>
          <w:noProof w:val="0"/>
          <w:kern w:val="2"/>
          <w:sz w:val="22"/>
          <w:szCs w:val="22"/>
          <w:lang w:eastAsia="zh-CN"/>
        </w:rPr>
        <w:t xml:space="preserve">On current codebook design rules, </w:t>
      </w:r>
      <w:r w:rsidR="003A05C2" w:rsidRPr="004F62EC">
        <w:rPr>
          <w:rFonts w:eastAsia="宋体"/>
          <w:noProof w:val="0"/>
          <w:kern w:val="2"/>
          <w:sz w:val="22"/>
          <w:szCs w:val="22"/>
          <w:lang w:eastAsia="zh-CN"/>
        </w:rPr>
        <w:t xml:space="preserve">the </w:t>
      </w:r>
      <w:r w:rsidR="00DF1667" w:rsidRPr="004F62EC">
        <w:rPr>
          <w:rFonts w:eastAsia="宋体"/>
          <w:noProof w:val="0"/>
          <w:kern w:val="2"/>
          <w:sz w:val="22"/>
          <w:szCs w:val="22"/>
          <w:lang w:eastAsia="zh-CN"/>
        </w:rPr>
        <w:t xml:space="preserve">number of </w:t>
      </w:r>
      <w:r w:rsidRPr="004F62EC">
        <w:rPr>
          <w:rFonts w:eastAsia="宋体"/>
          <w:noProof w:val="0"/>
          <w:kern w:val="2"/>
          <w:sz w:val="22"/>
          <w:szCs w:val="22"/>
          <w:lang w:eastAsia="zh-CN"/>
        </w:rPr>
        <w:t xml:space="preserve">redundant feedback </w:t>
      </w:r>
      <w:r w:rsidR="00506E57" w:rsidRPr="004F62EC">
        <w:rPr>
          <w:rFonts w:eastAsia="宋体"/>
          <w:noProof w:val="0"/>
          <w:kern w:val="2"/>
          <w:sz w:val="22"/>
          <w:szCs w:val="22"/>
          <w:lang w:eastAsia="zh-CN"/>
        </w:rPr>
        <w:t xml:space="preserve">bits </w:t>
      </w:r>
      <w:r w:rsidRPr="004F62EC">
        <w:rPr>
          <w:rFonts w:eastAsia="宋体"/>
          <w:noProof w:val="0"/>
          <w:kern w:val="2"/>
          <w:sz w:val="22"/>
          <w:szCs w:val="22"/>
          <w:lang w:eastAsia="zh-CN"/>
        </w:rPr>
        <w:t>of the</w:t>
      </w:r>
      <w:r w:rsidR="00C9245E" w:rsidRPr="004F62EC">
        <w:rPr>
          <w:rFonts w:eastAsia="宋体"/>
          <w:noProof w:val="0"/>
          <w:kern w:val="2"/>
          <w:sz w:val="22"/>
          <w:szCs w:val="22"/>
          <w:lang w:eastAsia="zh-CN"/>
        </w:rPr>
        <w:t xml:space="preserve"> semi-static HARQ-ACK</w:t>
      </w:r>
      <w:r w:rsidRPr="004F62EC">
        <w:rPr>
          <w:rFonts w:eastAsia="宋体"/>
          <w:noProof w:val="0"/>
          <w:kern w:val="2"/>
          <w:sz w:val="22"/>
          <w:szCs w:val="22"/>
          <w:lang w:eastAsia="zh-CN"/>
        </w:rPr>
        <w:t xml:space="preserve"> codebook would be too large when </w:t>
      </w:r>
      <w:r w:rsidR="57DED980" w:rsidRPr="004F62EC">
        <w:rPr>
          <w:rFonts w:eastAsia="宋体"/>
          <w:noProof w:val="0"/>
          <w:kern w:val="2"/>
          <w:sz w:val="22"/>
          <w:szCs w:val="22"/>
          <w:lang w:eastAsia="zh-CN"/>
        </w:rPr>
        <w:t>some</w:t>
      </w:r>
      <w:r w:rsidRPr="004F62EC">
        <w:rPr>
          <w:rFonts w:eastAsia="宋体"/>
          <w:noProof w:val="0"/>
          <w:kern w:val="2"/>
          <w:sz w:val="22"/>
          <w:szCs w:val="22"/>
          <w:lang w:eastAsia="zh-CN"/>
        </w:rPr>
        <w:t xml:space="preserve"> of the HARQ process</w:t>
      </w:r>
      <w:r w:rsidR="54D136BB" w:rsidRPr="004F62EC">
        <w:rPr>
          <w:rFonts w:eastAsia="宋体"/>
          <w:noProof w:val="0"/>
          <w:kern w:val="2"/>
          <w:sz w:val="22"/>
          <w:szCs w:val="22"/>
          <w:lang w:eastAsia="zh-CN"/>
        </w:rPr>
        <w:t>es</w:t>
      </w:r>
      <w:r w:rsidRPr="004F62EC">
        <w:rPr>
          <w:rFonts w:eastAsia="宋体"/>
          <w:noProof w:val="0"/>
          <w:kern w:val="2"/>
          <w:sz w:val="22"/>
          <w:szCs w:val="22"/>
          <w:lang w:eastAsia="zh-CN"/>
        </w:rPr>
        <w:t xml:space="preserve"> are feedback disabled. </w:t>
      </w:r>
      <w:r w:rsidR="5F12E13C" w:rsidRPr="004F62EC">
        <w:rPr>
          <w:rFonts w:eastAsia="宋体"/>
          <w:noProof w:val="0"/>
          <w:kern w:val="2"/>
          <w:sz w:val="22"/>
          <w:szCs w:val="22"/>
          <w:lang w:eastAsia="zh-CN"/>
        </w:rPr>
        <w:t xml:space="preserve">This is </w:t>
      </w:r>
      <w:r w:rsidR="4358F9B4" w:rsidRPr="004F62EC">
        <w:rPr>
          <w:rFonts w:eastAsia="宋体"/>
          <w:noProof w:val="0"/>
          <w:kern w:val="2"/>
          <w:sz w:val="22"/>
          <w:szCs w:val="22"/>
          <w:lang w:eastAsia="zh-CN"/>
        </w:rPr>
        <w:t>b</w:t>
      </w:r>
      <w:r w:rsidRPr="004F62EC">
        <w:rPr>
          <w:rFonts w:eastAsia="宋体"/>
          <w:noProof w:val="0"/>
          <w:kern w:val="2"/>
          <w:sz w:val="22"/>
          <w:szCs w:val="22"/>
          <w:lang w:eastAsia="zh-CN"/>
        </w:rPr>
        <w:t xml:space="preserve">ecause the UE assumes </w:t>
      </w:r>
      <w:r w:rsidR="003A05C2" w:rsidRPr="004F62EC">
        <w:rPr>
          <w:rFonts w:eastAsia="宋体"/>
          <w:noProof w:val="0"/>
          <w:kern w:val="2"/>
          <w:sz w:val="22"/>
          <w:szCs w:val="22"/>
          <w:lang w:eastAsia="zh-CN"/>
        </w:rPr>
        <w:t xml:space="preserve">that </w:t>
      </w:r>
      <w:r w:rsidRPr="004F62EC">
        <w:rPr>
          <w:rFonts w:eastAsia="宋体"/>
          <w:noProof w:val="0"/>
          <w:kern w:val="2"/>
          <w:sz w:val="22"/>
          <w:szCs w:val="22"/>
          <w:lang w:eastAsia="zh-CN"/>
        </w:rPr>
        <w:t xml:space="preserve">all PDSCH occasions, i.e., all HARQ processes need HARQ feedback and </w:t>
      </w:r>
      <w:r w:rsidR="003A05C2" w:rsidRPr="004F62EC">
        <w:rPr>
          <w:rFonts w:eastAsia="宋体"/>
          <w:noProof w:val="0"/>
          <w:kern w:val="2"/>
          <w:sz w:val="22"/>
          <w:szCs w:val="22"/>
          <w:lang w:eastAsia="zh-CN"/>
        </w:rPr>
        <w:t xml:space="preserve">so </w:t>
      </w:r>
      <w:r w:rsidRPr="004F62EC">
        <w:rPr>
          <w:rFonts w:eastAsia="宋体"/>
          <w:noProof w:val="0"/>
          <w:kern w:val="2"/>
          <w:sz w:val="22"/>
          <w:szCs w:val="22"/>
          <w:lang w:eastAsia="zh-CN"/>
        </w:rPr>
        <w:t>constructs the codebook based on pre-configured parameters via RRC</w:t>
      </w:r>
      <w:r w:rsidR="003A05C2" w:rsidRPr="004F62EC">
        <w:rPr>
          <w:rFonts w:eastAsia="宋体"/>
          <w:noProof w:val="0"/>
          <w:kern w:val="2"/>
          <w:sz w:val="22"/>
          <w:szCs w:val="22"/>
          <w:lang w:eastAsia="zh-CN"/>
        </w:rPr>
        <w:t xml:space="preserve"> signalling</w:t>
      </w:r>
      <w:r w:rsidRPr="004F62EC">
        <w:rPr>
          <w:rFonts w:eastAsia="宋体"/>
          <w:noProof w:val="0"/>
          <w:kern w:val="2"/>
          <w:sz w:val="22"/>
          <w:szCs w:val="22"/>
          <w:lang w:eastAsia="zh-CN"/>
        </w:rPr>
        <w:t xml:space="preserve">. </w:t>
      </w:r>
      <w:r w:rsidRPr="004F62EC">
        <w:rPr>
          <w:noProof w:val="0"/>
          <w:kern w:val="2"/>
          <w:sz w:val="22"/>
          <w:szCs w:val="22"/>
          <w:lang w:val="en-GB"/>
        </w:rPr>
        <w:t xml:space="preserve">For example, if </w:t>
      </w:r>
      <w:r w:rsidRPr="004F62EC">
        <w:rPr>
          <w:noProof w:val="0"/>
          <w:kern w:val="2"/>
          <w:sz w:val="22"/>
          <w:szCs w:val="22"/>
          <w:lang w:val="en-GB"/>
        </w:rPr>
        <w:lastRenderedPageBreak/>
        <w:t xml:space="preserve">a UE is configured with </w:t>
      </w:r>
      <w:r w:rsidR="006805F6">
        <w:rPr>
          <w:noProof w:val="0"/>
          <w:kern w:val="2"/>
          <w:sz w:val="22"/>
          <w:szCs w:val="22"/>
          <w:lang w:val="en-GB"/>
        </w:rPr>
        <w:t>32</w:t>
      </w:r>
      <w:r w:rsidRPr="004F62EC">
        <w:rPr>
          <w:noProof w:val="0"/>
          <w:kern w:val="2"/>
          <w:sz w:val="22"/>
          <w:szCs w:val="22"/>
          <w:lang w:val="en-GB"/>
        </w:rPr>
        <w:t xml:space="preserve"> HARQ process</w:t>
      </w:r>
      <w:r w:rsidR="77A3E099" w:rsidRPr="004F62EC">
        <w:rPr>
          <w:noProof w:val="0"/>
          <w:kern w:val="2"/>
          <w:sz w:val="22"/>
          <w:szCs w:val="22"/>
          <w:lang w:val="en-GB"/>
        </w:rPr>
        <w:t>es</w:t>
      </w:r>
      <w:r w:rsidRPr="004F62EC">
        <w:rPr>
          <w:noProof w:val="0"/>
          <w:kern w:val="2"/>
          <w:sz w:val="22"/>
          <w:szCs w:val="22"/>
          <w:lang w:val="en-GB"/>
        </w:rPr>
        <w:t xml:space="preserve"> in the serving cell, </w:t>
      </w:r>
      <w:r w:rsidR="491F6BC8" w:rsidRPr="004F62EC">
        <w:rPr>
          <w:noProof w:val="0"/>
          <w:kern w:val="2"/>
          <w:sz w:val="22"/>
          <w:szCs w:val="22"/>
          <w:lang w:val="en-GB"/>
        </w:rPr>
        <w:t xml:space="preserve">then </w:t>
      </w:r>
      <w:r w:rsidR="1B015B89" w:rsidRPr="004F62EC">
        <w:rPr>
          <w:noProof w:val="0"/>
          <w:kern w:val="2"/>
          <w:sz w:val="22"/>
          <w:szCs w:val="22"/>
          <w:lang w:val="en-GB"/>
        </w:rPr>
        <w:t xml:space="preserve">assuming </w:t>
      </w:r>
      <w:r w:rsidRPr="004F62EC">
        <w:rPr>
          <w:noProof w:val="0"/>
          <w:kern w:val="2"/>
          <w:sz w:val="22"/>
          <w:szCs w:val="22"/>
          <w:lang w:val="en-GB"/>
        </w:rPr>
        <w:t xml:space="preserve">HARQ process ID#1 is configured for </w:t>
      </w:r>
      <w:r w:rsidR="00DF395C" w:rsidRPr="004F62EC">
        <w:rPr>
          <w:noProof w:val="0"/>
          <w:kern w:val="2"/>
          <w:sz w:val="22"/>
          <w:szCs w:val="22"/>
          <w:lang w:val="en-GB"/>
        </w:rPr>
        <w:t>HARQ</w:t>
      </w:r>
      <w:r w:rsidRPr="004F62EC">
        <w:rPr>
          <w:noProof w:val="0"/>
          <w:kern w:val="2"/>
          <w:sz w:val="22"/>
          <w:szCs w:val="22"/>
          <w:lang w:val="en-GB"/>
        </w:rPr>
        <w:t xml:space="preserve"> feedback enabled</w:t>
      </w:r>
      <w:r w:rsidR="568F9C11" w:rsidRPr="004F62EC">
        <w:rPr>
          <w:noProof w:val="0"/>
          <w:kern w:val="2"/>
          <w:sz w:val="22"/>
          <w:szCs w:val="22"/>
          <w:lang w:val="en-GB"/>
        </w:rPr>
        <w:t xml:space="preserve"> and</w:t>
      </w:r>
      <w:r w:rsidRPr="004F62EC">
        <w:rPr>
          <w:noProof w:val="0"/>
          <w:kern w:val="2"/>
          <w:sz w:val="22"/>
          <w:szCs w:val="22"/>
          <w:lang w:val="en-GB"/>
        </w:rPr>
        <w:t xml:space="preserve"> the other HARQ process IDs are configured for </w:t>
      </w:r>
      <w:r w:rsidR="00DF395C" w:rsidRPr="004F62EC">
        <w:rPr>
          <w:noProof w:val="0"/>
          <w:kern w:val="2"/>
          <w:sz w:val="22"/>
          <w:szCs w:val="22"/>
          <w:lang w:val="en-GB"/>
        </w:rPr>
        <w:t>HARQ</w:t>
      </w:r>
      <w:r w:rsidRPr="004F62EC">
        <w:rPr>
          <w:noProof w:val="0"/>
          <w:kern w:val="2"/>
          <w:sz w:val="22"/>
          <w:szCs w:val="22"/>
          <w:lang w:val="en-GB"/>
        </w:rPr>
        <w:t xml:space="preserve"> feedback disabled, the UE </w:t>
      </w:r>
      <w:r w:rsidR="0FB85CA0" w:rsidRPr="004F62EC">
        <w:rPr>
          <w:noProof w:val="0"/>
          <w:kern w:val="2"/>
          <w:sz w:val="22"/>
          <w:szCs w:val="22"/>
          <w:lang w:val="en-GB"/>
        </w:rPr>
        <w:t xml:space="preserve">still </w:t>
      </w:r>
      <w:r w:rsidRPr="004F62EC">
        <w:rPr>
          <w:noProof w:val="0"/>
          <w:kern w:val="2"/>
          <w:sz w:val="22"/>
          <w:szCs w:val="22"/>
          <w:lang w:val="en-GB"/>
        </w:rPr>
        <w:t xml:space="preserve">has to reserve the ACK/NACK bits for all </w:t>
      </w:r>
      <w:r w:rsidR="007A0929">
        <w:rPr>
          <w:noProof w:val="0"/>
          <w:kern w:val="2"/>
          <w:sz w:val="22"/>
          <w:szCs w:val="22"/>
          <w:lang w:val="en-GB"/>
        </w:rPr>
        <w:t>32</w:t>
      </w:r>
      <w:r w:rsidRPr="004F62EC">
        <w:rPr>
          <w:noProof w:val="0"/>
          <w:kern w:val="2"/>
          <w:sz w:val="22"/>
          <w:szCs w:val="22"/>
          <w:lang w:val="en-GB"/>
        </w:rPr>
        <w:t xml:space="preserve">HARQ processes in the feedback occasion. </w:t>
      </w:r>
      <w:r w:rsidR="0039174E">
        <w:rPr>
          <w:rFonts w:eastAsia="宋体"/>
          <w:noProof w:val="0"/>
          <w:kern w:val="2"/>
          <w:sz w:val="22"/>
          <w:szCs w:val="22"/>
          <w:lang w:val="en-GB" w:eastAsia="zh-CN"/>
        </w:rPr>
        <w:t>W</w:t>
      </w:r>
      <w:r w:rsidR="00EB718A">
        <w:rPr>
          <w:rFonts w:eastAsia="宋体"/>
          <w:noProof w:val="0"/>
          <w:kern w:val="2"/>
          <w:sz w:val="22"/>
          <w:szCs w:val="22"/>
          <w:lang w:val="en-GB" w:eastAsia="zh-CN"/>
        </w:rPr>
        <w:t xml:space="preserve">hen </w:t>
      </w:r>
      <w:r w:rsidR="00302B3D">
        <w:rPr>
          <w:rFonts w:eastAsia="宋体"/>
          <w:noProof w:val="0"/>
          <w:kern w:val="2"/>
          <w:sz w:val="22"/>
          <w:szCs w:val="22"/>
          <w:lang w:val="en-GB" w:eastAsia="zh-CN"/>
        </w:rPr>
        <w:t>multiple serving cells are</w:t>
      </w:r>
      <w:r w:rsidR="00EB718A">
        <w:rPr>
          <w:rFonts w:eastAsia="宋体"/>
          <w:noProof w:val="0"/>
          <w:kern w:val="2"/>
          <w:sz w:val="22"/>
          <w:szCs w:val="22"/>
          <w:lang w:val="en-GB" w:eastAsia="zh-CN"/>
        </w:rPr>
        <w:t xml:space="preserve"> configured</w:t>
      </w:r>
      <w:r w:rsidR="006805F6">
        <w:rPr>
          <w:rFonts w:eastAsia="宋体"/>
          <w:noProof w:val="0"/>
          <w:kern w:val="2"/>
          <w:sz w:val="22"/>
          <w:szCs w:val="22"/>
          <w:lang w:val="en-GB" w:eastAsia="zh-CN"/>
        </w:rPr>
        <w:t xml:space="preserve">, the </w:t>
      </w:r>
      <w:r w:rsidR="00302B3D">
        <w:rPr>
          <w:rFonts w:eastAsia="宋体"/>
          <w:noProof w:val="0"/>
          <w:kern w:val="2"/>
          <w:sz w:val="22"/>
          <w:szCs w:val="22"/>
          <w:lang w:val="en-GB" w:eastAsia="zh-CN"/>
        </w:rPr>
        <w:t>UE</w:t>
      </w:r>
      <w:r w:rsidR="006805F6">
        <w:rPr>
          <w:rFonts w:eastAsia="宋体"/>
          <w:noProof w:val="0"/>
          <w:kern w:val="2"/>
          <w:sz w:val="22"/>
          <w:szCs w:val="22"/>
          <w:lang w:val="en-GB" w:eastAsia="zh-CN"/>
        </w:rPr>
        <w:t xml:space="preserve"> needs to reserve the ACK/NACK bits even though</w:t>
      </w:r>
      <w:r w:rsidR="00EB718A">
        <w:rPr>
          <w:rFonts w:eastAsia="宋体"/>
          <w:noProof w:val="0"/>
          <w:kern w:val="2"/>
          <w:sz w:val="22"/>
          <w:szCs w:val="22"/>
          <w:lang w:val="en-GB" w:eastAsia="zh-CN"/>
        </w:rPr>
        <w:t xml:space="preserve"> all HARQ processes are feedback disabled</w:t>
      </w:r>
      <w:r w:rsidR="006805F6">
        <w:rPr>
          <w:rFonts w:eastAsia="宋体"/>
          <w:noProof w:val="0"/>
          <w:kern w:val="2"/>
          <w:sz w:val="22"/>
          <w:szCs w:val="22"/>
          <w:lang w:val="en-GB" w:eastAsia="zh-CN"/>
        </w:rPr>
        <w:t xml:space="preserve"> in </w:t>
      </w:r>
      <w:r w:rsidR="0039174E">
        <w:rPr>
          <w:rFonts w:eastAsia="宋体"/>
          <w:noProof w:val="0"/>
          <w:kern w:val="2"/>
          <w:sz w:val="22"/>
          <w:szCs w:val="22"/>
          <w:lang w:val="en-GB" w:eastAsia="zh-CN"/>
        </w:rPr>
        <w:t>one</w:t>
      </w:r>
      <w:r w:rsidR="006805F6">
        <w:rPr>
          <w:rFonts w:eastAsia="宋体"/>
          <w:noProof w:val="0"/>
          <w:kern w:val="2"/>
          <w:sz w:val="22"/>
          <w:szCs w:val="22"/>
          <w:lang w:val="en-GB" w:eastAsia="zh-CN"/>
        </w:rPr>
        <w:t xml:space="preserve"> serving cell. The reserved redundancy</w:t>
      </w:r>
      <w:r w:rsidR="00C20D19">
        <w:rPr>
          <w:rFonts w:eastAsia="宋体"/>
          <w:noProof w:val="0"/>
          <w:kern w:val="2"/>
          <w:sz w:val="22"/>
          <w:szCs w:val="22"/>
          <w:lang w:val="en-GB" w:eastAsia="zh-CN"/>
        </w:rPr>
        <w:t xml:space="preserve"> bits</w:t>
      </w:r>
      <w:r w:rsidR="006805F6">
        <w:rPr>
          <w:rFonts w:eastAsia="宋体"/>
          <w:noProof w:val="0"/>
          <w:kern w:val="2"/>
          <w:sz w:val="22"/>
          <w:szCs w:val="22"/>
          <w:lang w:val="en-GB" w:eastAsia="zh-CN"/>
        </w:rPr>
        <w:t xml:space="preserve"> </w:t>
      </w:r>
      <w:r w:rsidR="00C20D19">
        <w:rPr>
          <w:rFonts w:eastAsia="宋体"/>
          <w:noProof w:val="0"/>
          <w:kern w:val="2"/>
          <w:sz w:val="22"/>
          <w:szCs w:val="22"/>
          <w:lang w:val="en-GB" w:eastAsia="zh-CN"/>
        </w:rPr>
        <w:t>r</w:t>
      </w:r>
      <w:r w:rsidR="00AB2FD5">
        <w:rPr>
          <w:rFonts w:eastAsia="宋体"/>
          <w:noProof w:val="0"/>
          <w:kern w:val="2"/>
          <w:sz w:val="22"/>
          <w:szCs w:val="22"/>
          <w:lang w:val="en-GB" w:eastAsia="zh-CN"/>
        </w:rPr>
        <w:t>epresent a</w:t>
      </w:r>
      <w:r w:rsidR="006805F6">
        <w:rPr>
          <w:rFonts w:eastAsia="宋体"/>
          <w:noProof w:val="0"/>
          <w:kern w:val="2"/>
          <w:sz w:val="22"/>
          <w:szCs w:val="22"/>
          <w:lang w:val="en-GB" w:eastAsia="zh-CN"/>
        </w:rPr>
        <w:t xml:space="preserve"> large overhead.</w:t>
      </w:r>
      <w:r w:rsidR="0039174E">
        <w:rPr>
          <w:rFonts w:eastAsia="宋体" w:hint="eastAsia"/>
          <w:noProof w:val="0"/>
          <w:kern w:val="2"/>
          <w:sz w:val="22"/>
          <w:szCs w:val="22"/>
          <w:lang w:val="en-GB" w:eastAsia="zh-CN"/>
        </w:rPr>
        <w:t xml:space="preserve"> </w:t>
      </w:r>
      <w:r w:rsidR="00667E88" w:rsidRPr="004F62EC">
        <w:rPr>
          <w:noProof w:val="0"/>
          <w:kern w:val="2"/>
          <w:sz w:val="22"/>
          <w:szCs w:val="22"/>
          <w:lang w:val="en-GB"/>
        </w:rPr>
        <w:t>To keep the semi-static feature of Type-1 HARQ codebook</w:t>
      </w:r>
      <w:r w:rsidR="00ED0127" w:rsidRPr="004F62EC">
        <w:rPr>
          <w:noProof w:val="0"/>
          <w:kern w:val="2"/>
          <w:sz w:val="22"/>
          <w:szCs w:val="22"/>
          <w:lang w:val="en-GB"/>
        </w:rPr>
        <w:t xml:space="preserve"> and reduce the codebook overhead</w:t>
      </w:r>
      <w:r w:rsidR="00667E88" w:rsidRPr="004F62EC">
        <w:rPr>
          <w:noProof w:val="0"/>
          <w:kern w:val="2"/>
          <w:sz w:val="22"/>
          <w:szCs w:val="22"/>
          <w:lang w:val="en-GB"/>
        </w:rPr>
        <w:t>, o</w:t>
      </w:r>
      <w:r w:rsidR="00C87C6F" w:rsidRPr="004F62EC">
        <w:rPr>
          <w:noProof w:val="0"/>
          <w:kern w:val="2"/>
          <w:sz w:val="22"/>
          <w:szCs w:val="22"/>
          <w:lang w:val="en-GB"/>
        </w:rPr>
        <w:t xml:space="preserve">ne possible solution is </w:t>
      </w:r>
      <w:r w:rsidR="00311863" w:rsidRPr="004F62EC">
        <w:rPr>
          <w:noProof w:val="0"/>
          <w:kern w:val="2"/>
          <w:sz w:val="22"/>
          <w:szCs w:val="22"/>
          <w:lang w:val="en-GB"/>
        </w:rPr>
        <w:t>using different RRC configured TDRA table</w:t>
      </w:r>
      <w:r w:rsidR="00063943" w:rsidRPr="004F62EC">
        <w:rPr>
          <w:noProof w:val="0"/>
          <w:kern w:val="2"/>
          <w:sz w:val="22"/>
          <w:szCs w:val="22"/>
          <w:lang w:val="en-GB"/>
        </w:rPr>
        <w:t>s</w:t>
      </w:r>
      <w:r w:rsidR="00311863" w:rsidRPr="004F62EC">
        <w:rPr>
          <w:noProof w:val="0"/>
          <w:kern w:val="2"/>
          <w:sz w:val="22"/>
          <w:szCs w:val="22"/>
          <w:lang w:val="en-GB"/>
        </w:rPr>
        <w:t xml:space="preserve"> for HARQ process</w:t>
      </w:r>
      <w:r w:rsidR="00965E93" w:rsidRPr="004F62EC">
        <w:rPr>
          <w:noProof w:val="0"/>
          <w:kern w:val="2"/>
          <w:sz w:val="22"/>
          <w:szCs w:val="22"/>
          <w:lang w:val="en-GB"/>
        </w:rPr>
        <w:t>es</w:t>
      </w:r>
      <w:r w:rsidR="00311863" w:rsidRPr="004F62EC">
        <w:rPr>
          <w:noProof w:val="0"/>
          <w:kern w:val="2"/>
          <w:sz w:val="22"/>
          <w:szCs w:val="22"/>
          <w:lang w:val="en-GB"/>
        </w:rPr>
        <w:t xml:space="preserve"> with HARQ-ACK </w:t>
      </w:r>
      <w:r w:rsidR="00AF3CD0">
        <w:rPr>
          <w:noProof w:val="0"/>
          <w:kern w:val="2"/>
          <w:sz w:val="22"/>
          <w:szCs w:val="22"/>
          <w:lang w:val="en-GB"/>
        </w:rPr>
        <w:t xml:space="preserve">feedback </w:t>
      </w:r>
      <w:r w:rsidR="00311863" w:rsidRPr="004F62EC">
        <w:rPr>
          <w:noProof w:val="0"/>
          <w:kern w:val="2"/>
          <w:sz w:val="22"/>
          <w:szCs w:val="22"/>
          <w:lang w:val="en-GB"/>
        </w:rPr>
        <w:t xml:space="preserve">disabling and enabling. </w:t>
      </w:r>
      <w:r w:rsidR="00063943" w:rsidRPr="004F62EC">
        <w:rPr>
          <w:noProof w:val="0"/>
          <w:kern w:val="2"/>
          <w:sz w:val="22"/>
          <w:szCs w:val="22"/>
          <w:lang w:val="en-GB"/>
        </w:rPr>
        <w:t xml:space="preserve">When </w:t>
      </w:r>
      <w:r w:rsidR="0041431F" w:rsidRPr="004F62EC">
        <w:rPr>
          <w:noProof w:val="0"/>
          <w:kern w:val="2"/>
          <w:sz w:val="22"/>
          <w:szCs w:val="22"/>
          <w:lang w:val="en-GB"/>
        </w:rPr>
        <w:t>more than 1 PDSCH can be scheduled in one slot, the UE need</w:t>
      </w:r>
      <w:r w:rsidR="00014F06" w:rsidRPr="004F62EC">
        <w:rPr>
          <w:noProof w:val="0"/>
          <w:kern w:val="2"/>
          <w:sz w:val="22"/>
          <w:szCs w:val="22"/>
          <w:lang w:val="en-GB"/>
        </w:rPr>
        <w:t>s</w:t>
      </w:r>
      <w:r w:rsidR="0041431F" w:rsidRPr="004F62EC">
        <w:rPr>
          <w:noProof w:val="0"/>
          <w:kern w:val="2"/>
          <w:sz w:val="22"/>
          <w:szCs w:val="22"/>
          <w:lang w:val="en-GB"/>
        </w:rPr>
        <w:t xml:space="preserve"> to reserve the </w:t>
      </w:r>
      <w:r w:rsidR="00063943" w:rsidRPr="004F62EC">
        <w:rPr>
          <w:noProof w:val="0"/>
          <w:kern w:val="2"/>
          <w:sz w:val="22"/>
          <w:szCs w:val="22"/>
          <w:lang w:val="en-GB"/>
        </w:rPr>
        <w:t xml:space="preserve">HARQ ACK/NACK bits for </w:t>
      </w:r>
      <w:r w:rsidR="0041431F" w:rsidRPr="004F62EC">
        <w:rPr>
          <w:noProof w:val="0"/>
          <w:kern w:val="2"/>
          <w:sz w:val="22"/>
          <w:szCs w:val="22"/>
          <w:lang w:val="en-GB"/>
        </w:rPr>
        <w:t>maximum possible P</w:t>
      </w:r>
      <w:r w:rsidR="003454C9" w:rsidRPr="004F62EC">
        <w:rPr>
          <w:noProof w:val="0"/>
          <w:kern w:val="2"/>
          <w:sz w:val="22"/>
          <w:szCs w:val="22"/>
          <w:lang w:val="en-GB"/>
        </w:rPr>
        <w:t xml:space="preserve">DSCH transmission </w:t>
      </w:r>
      <w:r w:rsidR="00063943" w:rsidRPr="004F62EC">
        <w:rPr>
          <w:noProof w:val="0"/>
          <w:kern w:val="2"/>
          <w:sz w:val="22"/>
          <w:szCs w:val="22"/>
          <w:lang w:val="en-GB"/>
        </w:rPr>
        <w:t>occasions</w:t>
      </w:r>
      <w:r w:rsidR="003454C9" w:rsidRPr="004F62EC">
        <w:rPr>
          <w:noProof w:val="0"/>
          <w:kern w:val="2"/>
          <w:sz w:val="22"/>
          <w:szCs w:val="22"/>
          <w:lang w:val="en-GB"/>
        </w:rPr>
        <w:t xml:space="preserve">. </w:t>
      </w:r>
      <w:r w:rsidR="00824C59" w:rsidRPr="004F62EC">
        <w:rPr>
          <w:noProof w:val="0"/>
          <w:kern w:val="2"/>
          <w:sz w:val="22"/>
          <w:szCs w:val="22"/>
          <w:lang w:val="en-GB"/>
        </w:rPr>
        <w:t>As Fig.</w:t>
      </w:r>
      <w:r w:rsidR="00A86A76" w:rsidRPr="00A86A76">
        <w:rPr>
          <w:rFonts w:hint="eastAsia"/>
          <w:noProof w:val="0"/>
          <w:kern w:val="2"/>
          <w:sz w:val="22"/>
          <w:szCs w:val="22"/>
          <w:lang w:val="en-GB"/>
        </w:rPr>
        <w:t>1</w:t>
      </w:r>
      <w:r w:rsidR="00824C59" w:rsidRPr="004F62EC">
        <w:rPr>
          <w:noProof w:val="0"/>
          <w:kern w:val="2"/>
          <w:sz w:val="22"/>
          <w:szCs w:val="22"/>
          <w:lang w:val="en-GB"/>
        </w:rPr>
        <w:t xml:space="preserve"> shows, the length of TDRA 1 is 4 symbols and the starting symbol </w:t>
      </w:r>
      <w:r w:rsidR="002F54B8" w:rsidRPr="004F62EC">
        <w:rPr>
          <w:noProof w:val="0"/>
          <w:kern w:val="2"/>
          <w:sz w:val="22"/>
          <w:szCs w:val="22"/>
          <w:lang w:val="en-GB"/>
        </w:rPr>
        <w:t xml:space="preserve">is 3, and </w:t>
      </w:r>
      <w:r w:rsidR="00E10F86" w:rsidRPr="004F62EC">
        <w:rPr>
          <w:noProof w:val="0"/>
          <w:kern w:val="2"/>
          <w:sz w:val="22"/>
          <w:szCs w:val="22"/>
          <w:lang w:val="en-GB"/>
        </w:rPr>
        <w:t xml:space="preserve">so on </w:t>
      </w:r>
      <w:r w:rsidR="002F54B8" w:rsidRPr="004F62EC">
        <w:rPr>
          <w:noProof w:val="0"/>
          <w:kern w:val="2"/>
          <w:sz w:val="22"/>
          <w:szCs w:val="22"/>
          <w:lang w:val="en-GB"/>
        </w:rPr>
        <w:t xml:space="preserve">to TDRA 2, TDRA 3 and TDRA 4. UE needs to reserve 3 HARQ ACK/NACK bits for each K1 value when </w:t>
      </w:r>
      <w:r w:rsidR="00285B2F" w:rsidRPr="004F62EC">
        <w:rPr>
          <w:noProof w:val="0"/>
          <w:kern w:val="2"/>
          <w:sz w:val="22"/>
          <w:szCs w:val="22"/>
          <w:lang w:val="en-GB"/>
        </w:rPr>
        <w:t xml:space="preserve">it configures </w:t>
      </w:r>
      <w:r w:rsidR="002F54B8" w:rsidRPr="004F62EC">
        <w:rPr>
          <w:noProof w:val="0"/>
          <w:kern w:val="2"/>
          <w:sz w:val="22"/>
          <w:szCs w:val="22"/>
          <w:lang w:val="en-GB"/>
        </w:rPr>
        <w:t>SLIV table in Fig.</w:t>
      </w:r>
      <w:r w:rsidR="00A86A76" w:rsidRPr="00A86A76">
        <w:rPr>
          <w:rFonts w:hint="eastAsia"/>
          <w:noProof w:val="0"/>
          <w:kern w:val="2"/>
          <w:sz w:val="22"/>
          <w:szCs w:val="22"/>
          <w:lang w:val="en-GB"/>
        </w:rPr>
        <w:t>1</w:t>
      </w:r>
      <w:r w:rsidR="002F54B8" w:rsidRPr="004F62EC">
        <w:rPr>
          <w:noProof w:val="0"/>
          <w:kern w:val="2"/>
          <w:sz w:val="22"/>
          <w:szCs w:val="22"/>
          <w:lang w:val="en-GB"/>
        </w:rPr>
        <w:t xml:space="preserve">. </w:t>
      </w:r>
      <w:r w:rsidR="00063943" w:rsidRPr="004F62EC">
        <w:rPr>
          <w:noProof w:val="0"/>
          <w:kern w:val="2"/>
          <w:sz w:val="22"/>
          <w:szCs w:val="22"/>
          <w:lang w:val="en-GB"/>
        </w:rPr>
        <w:t xml:space="preserve">If </w:t>
      </w:r>
      <w:r w:rsidR="00AC182C" w:rsidRPr="004F62EC">
        <w:rPr>
          <w:noProof w:val="0"/>
          <w:kern w:val="2"/>
          <w:sz w:val="22"/>
          <w:szCs w:val="22"/>
          <w:lang w:val="en-GB"/>
        </w:rPr>
        <w:t xml:space="preserve">only </w:t>
      </w:r>
      <w:r w:rsidR="003454C9" w:rsidRPr="004F62EC">
        <w:rPr>
          <w:noProof w:val="0"/>
          <w:kern w:val="2"/>
          <w:sz w:val="22"/>
          <w:szCs w:val="22"/>
          <w:lang w:val="en-GB"/>
        </w:rPr>
        <w:t>HARQ process</w:t>
      </w:r>
      <w:r w:rsidR="00063943" w:rsidRPr="004F62EC">
        <w:rPr>
          <w:noProof w:val="0"/>
          <w:kern w:val="2"/>
          <w:sz w:val="22"/>
          <w:szCs w:val="22"/>
          <w:lang w:val="en-GB"/>
        </w:rPr>
        <w:t>es</w:t>
      </w:r>
      <w:r w:rsidR="003454C9" w:rsidRPr="004F62EC">
        <w:rPr>
          <w:noProof w:val="0"/>
          <w:kern w:val="2"/>
          <w:sz w:val="22"/>
          <w:szCs w:val="22"/>
          <w:lang w:val="en-GB"/>
        </w:rPr>
        <w:t xml:space="preserve"> with HARQ-ACK </w:t>
      </w:r>
      <w:r w:rsidR="00285B2F" w:rsidRPr="004F62EC">
        <w:rPr>
          <w:noProof w:val="0"/>
          <w:kern w:val="2"/>
          <w:sz w:val="22"/>
          <w:szCs w:val="22"/>
          <w:lang w:val="en-GB"/>
        </w:rPr>
        <w:t xml:space="preserve">feedback enabled </w:t>
      </w:r>
      <w:r w:rsidR="00063943" w:rsidRPr="004F62EC">
        <w:rPr>
          <w:noProof w:val="0"/>
          <w:kern w:val="2"/>
          <w:sz w:val="22"/>
          <w:szCs w:val="22"/>
          <w:lang w:val="en-GB"/>
        </w:rPr>
        <w:t xml:space="preserve">are </w:t>
      </w:r>
      <w:r w:rsidR="003454C9" w:rsidRPr="004F62EC">
        <w:rPr>
          <w:noProof w:val="0"/>
          <w:kern w:val="2"/>
          <w:sz w:val="22"/>
          <w:szCs w:val="22"/>
          <w:lang w:val="en-GB"/>
        </w:rPr>
        <w:t>configure</w:t>
      </w:r>
      <w:r w:rsidR="00063943" w:rsidRPr="004F62EC">
        <w:rPr>
          <w:noProof w:val="0"/>
          <w:kern w:val="2"/>
          <w:sz w:val="22"/>
          <w:szCs w:val="22"/>
          <w:lang w:val="en-GB"/>
        </w:rPr>
        <w:t>d</w:t>
      </w:r>
      <w:r w:rsidR="003454C9" w:rsidRPr="004F62EC">
        <w:rPr>
          <w:noProof w:val="0"/>
          <w:kern w:val="2"/>
          <w:sz w:val="22"/>
          <w:szCs w:val="22"/>
          <w:lang w:val="en-GB"/>
        </w:rPr>
        <w:t xml:space="preserve"> </w:t>
      </w:r>
      <w:r w:rsidR="009A0C7C" w:rsidRPr="004F62EC">
        <w:rPr>
          <w:noProof w:val="0"/>
          <w:kern w:val="2"/>
          <w:sz w:val="22"/>
          <w:szCs w:val="22"/>
          <w:lang w:val="en-GB"/>
        </w:rPr>
        <w:t xml:space="preserve">with </w:t>
      </w:r>
      <w:r w:rsidR="003454C9" w:rsidRPr="004F62EC">
        <w:rPr>
          <w:noProof w:val="0"/>
          <w:kern w:val="2"/>
          <w:sz w:val="22"/>
          <w:szCs w:val="22"/>
          <w:lang w:val="en-GB"/>
        </w:rPr>
        <w:t xml:space="preserve">the </w:t>
      </w:r>
      <w:r w:rsidR="002F54B8" w:rsidRPr="004F62EC">
        <w:rPr>
          <w:noProof w:val="0"/>
          <w:kern w:val="2"/>
          <w:sz w:val="22"/>
          <w:szCs w:val="22"/>
          <w:lang w:val="en-GB"/>
        </w:rPr>
        <w:t>TDRA 1</w:t>
      </w:r>
      <w:r w:rsidR="003454C9" w:rsidRPr="004F62EC">
        <w:rPr>
          <w:noProof w:val="0"/>
          <w:kern w:val="2"/>
          <w:sz w:val="22"/>
          <w:szCs w:val="22"/>
          <w:lang w:val="en-GB"/>
        </w:rPr>
        <w:t xml:space="preserve"> and the maximum possible PDSCH transmission number is 1</w:t>
      </w:r>
      <w:r w:rsidR="000F637C" w:rsidRPr="004F62EC">
        <w:rPr>
          <w:noProof w:val="0"/>
          <w:kern w:val="2"/>
          <w:sz w:val="22"/>
          <w:szCs w:val="22"/>
          <w:lang w:val="en-GB"/>
        </w:rPr>
        <w:t>,</w:t>
      </w:r>
      <w:r w:rsidR="003454C9" w:rsidRPr="004F62EC">
        <w:rPr>
          <w:noProof w:val="0"/>
          <w:kern w:val="2"/>
          <w:sz w:val="22"/>
          <w:szCs w:val="22"/>
          <w:lang w:val="en-GB"/>
        </w:rPr>
        <w:t xml:space="preserve"> </w:t>
      </w:r>
      <w:r w:rsidR="000F637C" w:rsidRPr="004F62EC">
        <w:rPr>
          <w:noProof w:val="0"/>
          <w:kern w:val="2"/>
          <w:sz w:val="22"/>
          <w:szCs w:val="22"/>
          <w:lang w:val="en-GB"/>
        </w:rPr>
        <w:t>then the</w:t>
      </w:r>
      <w:r w:rsidR="003454C9" w:rsidRPr="004F62EC">
        <w:rPr>
          <w:noProof w:val="0"/>
          <w:kern w:val="2"/>
          <w:sz w:val="22"/>
          <w:szCs w:val="22"/>
          <w:lang w:val="en-GB"/>
        </w:rPr>
        <w:t xml:space="preserve"> UE only need</w:t>
      </w:r>
      <w:r w:rsidR="00824C59" w:rsidRPr="004F62EC">
        <w:rPr>
          <w:noProof w:val="0"/>
          <w:kern w:val="2"/>
          <w:sz w:val="22"/>
          <w:szCs w:val="22"/>
          <w:lang w:val="en-GB"/>
        </w:rPr>
        <w:t>s</w:t>
      </w:r>
      <w:r w:rsidR="003454C9" w:rsidRPr="004F62EC">
        <w:rPr>
          <w:noProof w:val="0"/>
          <w:kern w:val="2"/>
          <w:sz w:val="22"/>
          <w:szCs w:val="22"/>
          <w:lang w:val="en-GB"/>
        </w:rPr>
        <w:t xml:space="preserve"> to reserve 1</w:t>
      </w:r>
      <w:r w:rsidR="00063943" w:rsidRPr="004F62EC">
        <w:rPr>
          <w:noProof w:val="0"/>
          <w:kern w:val="2"/>
          <w:sz w:val="22"/>
          <w:szCs w:val="22"/>
          <w:lang w:val="en-GB"/>
        </w:rPr>
        <w:t xml:space="preserve"> HARQ ACK/NACK</w:t>
      </w:r>
      <w:r w:rsidR="003454C9" w:rsidRPr="004F62EC">
        <w:rPr>
          <w:noProof w:val="0"/>
          <w:kern w:val="2"/>
          <w:sz w:val="22"/>
          <w:szCs w:val="22"/>
          <w:lang w:val="en-GB"/>
        </w:rPr>
        <w:t xml:space="preserve"> bit for each </w:t>
      </w:r>
      <w:r w:rsidR="00063943" w:rsidRPr="004F62EC">
        <w:rPr>
          <w:noProof w:val="0"/>
          <w:kern w:val="2"/>
          <w:sz w:val="22"/>
          <w:szCs w:val="22"/>
          <w:lang w:val="en-GB"/>
        </w:rPr>
        <w:t>K1 value</w:t>
      </w:r>
      <w:r w:rsidR="003454C9" w:rsidRPr="004F62EC">
        <w:rPr>
          <w:noProof w:val="0"/>
          <w:kern w:val="2"/>
          <w:sz w:val="22"/>
          <w:szCs w:val="22"/>
          <w:lang w:val="en-GB"/>
        </w:rPr>
        <w:t xml:space="preserve">. </w:t>
      </w:r>
      <w:r w:rsidR="0039174E">
        <w:rPr>
          <w:noProof w:val="0"/>
          <w:kern w:val="2"/>
          <w:sz w:val="22"/>
          <w:szCs w:val="22"/>
          <w:lang w:val="en-GB"/>
        </w:rPr>
        <w:t xml:space="preserve">And in case of all the HARQ processes are feedback disabled in one serving cell, </w:t>
      </w:r>
      <w:r w:rsidR="0039174E">
        <w:rPr>
          <w:rFonts w:eastAsia="宋体"/>
          <w:noProof w:val="0"/>
          <w:kern w:val="2"/>
          <w:sz w:val="22"/>
          <w:szCs w:val="22"/>
          <w:lang w:val="en-GB" w:eastAsia="zh-CN"/>
        </w:rPr>
        <w:t xml:space="preserve">the UE doesn’t need to reserve ACK/NACK bits for that serving cell. Note that it does not conflict with </w:t>
      </w:r>
      <w:r w:rsidR="00422D65">
        <w:rPr>
          <w:rFonts w:eastAsia="宋体"/>
          <w:noProof w:val="0"/>
          <w:kern w:val="2"/>
          <w:sz w:val="22"/>
          <w:szCs w:val="22"/>
          <w:lang w:val="en-GB" w:eastAsia="zh-CN"/>
        </w:rPr>
        <w:t>P</w:t>
      </w:r>
      <w:r w:rsidR="0039174E">
        <w:rPr>
          <w:rFonts w:eastAsia="宋体"/>
          <w:noProof w:val="0"/>
          <w:kern w:val="2"/>
          <w:sz w:val="22"/>
          <w:szCs w:val="22"/>
          <w:lang w:val="en-GB" w:eastAsia="zh-CN"/>
        </w:rPr>
        <w:t>roposal 2 that MAC CE</w:t>
      </w:r>
      <w:r w:rsidR="0039174E" w:rsidRPr="0039174E">
        <w:t xml:space="preserve"> </w:t>
      </w:r>
      <w:r w:rsidR="0039174E" w:rsidRPr="0039174E">
        <w:rPr>
          <w:rFonts w:eastAsia="宋体"/>
          <w:noProof w:val="0"/>
          <w:kern w:val="2"/>
          <w:sz w:val="22"/>
          <w:szCs w:val="22"/>
          <w:lang w:val="en-GB" w:eastAsia="zh-CN"/>
        </w:rPr>
        <w:t>whose activation/deactivation time is coupled to the transmission time of the associated HARQ-ACK</w:t>
      </w:r>
      <w:r w:rsidR="0039174E">
        <w:rPr>
          <w:rFonts w:eastAsia="宋体"/>
          <w:noProof w:val="0"/>
          <w:kern w:val="2"/>
          <w:sz w:val="22"/>
          <w:szCs w:val="22"/>
          <w:lang w:val="en-GB" w:eastAsia="zh-CN"/>
        </w:rPr>
        <w:t xml:space="preserve"> must be scheduled with feedback enabled HARQ process, because the</w:t>
      </w:r>
      <w:r w:rsidR="00422D65">
        <w:rPr>
          <w:rFonts w:eastAsia="宋体"/>
          <w:noProof w:val="0"/>
          <w:kern w:val="2"/>
          <w:sz w:val="22"/>
          <w:szCs w:val="22"/>
          <w:lang w:val="en-GB" w:eastAsia="zh-CN"/>
        </w:rPr>
        <w:t>se</w:t>
      </w:r>
      <w:r w:rsidR="0039174E">
        <w:rPr>
          <w:rFonts w:eastAsia="宋体"/>
          <w:noProof w:val="0"/>
          <w:kern w:val="2"/>
          <w:sz w:val="22"/>
          <w:szCs w:val="22"/>
          <w:lang w:val="en-GB" w:eastAsia="zh-CN"/>
        </w:rPr>
        <w:t xml:space="preserve"> MAC </w:t>
      </w:r>
      <w:r w:rsidR="0039174E">
        <w:rPr>
          <w:rFonts w:eastAsia="宋体" w:hint="eastAsia"/>
          <w:noProof w:val="0"/>
          <w:kern w:val="2"/>
          <w:sz w:val="22"/>
          <w:szCs w:val="22"/>
          <w:lang w:val="en-GB" w:eastAsia="zh-CN"/>
        </w:rPr>
        <w:t>CE</w:t>
      </w:r>
      <w:r w:rsidR="00422D65">
        <w:rPr>
          <w:rFonts w:eastAsia="宋体"/>
          <w:noProof w:val="0"/>
          <w:kern w:val="2"/>
          <w:sz w:val="22"/>
          <w:szCs w:val="22"/>
          <w:lang w:val="en-GB" w:eastAsia="zh-CN"/>
        </w:rPr>
        <w:t>s</w:t>
      </w:r>
      <w:r w:rsidR="0039174E">
        <w:rPr>
          <w:rFonts w:eastAsia="宋体"/>
          <w:noProof w:val="0"/>
          <w:kern w:val="2"/>
          <w:sz w:val="22"/>
          <w:szCs w:val="22"/>
          <w:lang w:val="en-GB" w:eastAsia="zh-CN"/>
        </w:rPr>
        <w:t xml:space="preserve"> can be </w:t>
      </w:r>
      <w:r w:rsidR="00422D65">
        <w:rPr>
          <w:rFonts w:eastAsia="宋体"/>
          <w:noProof w:val="0"/>
          <w:kern w:val="2"/>
          <w:sz w:val="22"/>
          <w:szCs w:val="22"/>
          <w:lang w:val="en-GB" w:eastAsia="zh-CN"/>
        </w:rPr>
        <w:t>scheduled</w:t>
      </w:r>
      <w:r w:rsidR="0039174E">
        <w:rPr>
          <w:rFonts w:eastAsia="宋体"/>
          <w:noProof w:val="0"/>
          <w:kern w:val="2"/>
          <w:sz w:val="22"/>
          <w:szCs w:val="22"/>
          <w:lang w:val="en-GB" w:eastAsia="zh-CN"/>
        </w:rPr>
        <w:t xml:space="preserve"> </w:t>
      </w:r>
      <w:r w:rsidR="00422D65">
        <w:rPr>
          <w:rFonts w:eastAsia="宋体"/>
          <w:noProof w:val="0"/>
          <w:kern w:val="2"/>
          <w:sz w:val="22"/>
          <w:szCs w:val="22"/>
          <w:lang w:val="en-GB" w:eastAsia="zh-CN"/>
        </w:rPr>
        <w:t xml:space="preserve">with feedback enabled HARQ process in the </w:t>
      </w:r>
      <w:r w:rsidR="0039174E">
        <w:rPr>
          <w:rFonts w:eastAsia="宋体"/>
          <w:noProof w:val="0"/>
          <w:kern w:val="2"/>
          <w:sz w:val="22"/>
          <w:szCs w:val="22"/>
          <w:lang w:val="en-GB" w:eastAsia="zh-CN"/>
        </w:rPr>
        <w:t xml:space="preserve">primary cell. </w:t>
      </w:r>
    </w:p>
    <w:p w14:paraId="07D7BFE9" w14:textId="4946CA2C" w:rsidR="00517AA4" w:rsidRPr="004F62EC" w:rsidRDefault="00517AA4" w:rsidP="00DC5577">
      <w:pPr>
        <w:snapToGrid w:val="0"/>
        <w:spacing w:before="120" w:after="120"/>
        <w:jc w:val="center"/>
        <w:rPr>
          <w:rFonts w:eastAsia="宋体"/>
          <w:noProof w:val="0"/>
          <w:kern w:val="2"/>
          <w:sz w:val="22"/>
          <w:szCs w:val="22"/>
          <w:lang w:val="en-GB" w:eastAsia="zh-CN"/>
        </w:rPr>
      </w:pPr>
      <w:r w:rsidRPr="004F62EC">
        <w:rPr>
          <w:rFonts w:eastAsia="宋体"/>
          <w:kern w:val="2"/>
          <w:sz w:val="22"/>
          <w:szCs w:val="22"/>
          <w:lang w:val="en-GB" w:eastAsia="zh-CN"/>
        </w:rPr>
        <w:drawing>
          <wp:inline distT="0" distB="0" distL="0" distR="0" wp14:anchorId="7F5946FF" wp14:editId="59B9FA54">
            <wp:extent cx="6200718" cy="1371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17167" cy="1375238"/>
                    </a:xfrm>
                    <a:prstGeom prst="rect">
                      <a:avLst/>
                    </a:prstGeom>
                    <a:noFill/>
                  </pic:spPr>
                </pic:pic>
              </a:graphicData>
            </a:graphic>
          </wp:inline>
        </w:drawing>
      </w:r>
    </w:p>
    <w:p w14:paraId="45CA7DA8" w14:textId="1CD76546" w:rsidR="00DC5577" w:rsidRPr="004F62EC" w:rsidRDefault="00DC5577" w:rsidP="00DC5577">
      <w:pPr>
        <w:snapToGrid w:val="0"/>
        <w:spacing w:before="120" w:after="120"/>
        <w:jc w:val="center"/>
        <w:rPr>
          <w:rFonts w:eastAsia="宋体"/>
          <w:noProof w:val="0"/>
          <w:kern w:val="2"/>
          <w:sz w:val="22"/>
          <w:szCs w:val="22"/>
          <w:lang w:val="en-GB" w:eastAsia="zh-CN"/>
        </w:rPr>
      </w:pPr>
      <w:r w:rsidRPr="004F62EC">
        <w:rPr>
          <w:rFonts w:eastAsia="宋体"/>
          <w:noProof w:val="0"/>
          <w:kern w:val="2"/>
          <w:sz w:val="22"/>
          <w:szCs w:val="22"/>
          <w:lang w:val="en-GB" w:eastAsia="zh-CN"/>
        </w:rPr>
        <w:t>Fig.</w:t>
      </w:r>
      <w:r w:rsidR="00A86A76">
        <w:rPr>
          <w:rFonts w:eastAsia="宋体" w:hint="eastAsia"/>
          <w:noProof w:val="0"/>
          <w:kern w:val="2"/>
          <w:sz w:val="22"/>
          <w:szCs w:val="22"/>
          <w:lang w:val="en-GB" w:eastAsia="zh-CN"/>
        </w:rPr>
        <w:t>1</w:t>
      </w:r>
      <w:r w:rsidRPr="004F62EC">
        <w:rPr>
          <w:rFonts w:eastAsia="宋体"/>
          <w:noProof w:val="0"/>
          <w:kern w:val="2"/>
          <w:sz w:val="22"/>
          <w:szCs w:val="22"/>
          <w:lang w:val="en-GB" w:eastAsia="zh-CN"/>
        </w:rPr>
        <w:t xml:space="preserve"> Example of SLIV table</w:t>
      </w:r>
    </w:p>
    <w:p w14:paraId="6E0F9685" w14:textId="3009D49E" w:rsidR="00683C28" w:rsidRPr="004F62EC" w:rsidRDefault="00683C28" w:rsidP="00683C28">
      <w:pPr>
        <w:snapToGrid w:val="0"/>
        <w:spacing w:before="120" w:after="120"/>
        <w:jc w:val="both"/>
        <w:rPr>
          <w:rFonts w:eastAsia="宋体"/>
          <w:i/>
          <w:iCs/>
          <w:noProof w:val="0"/>
          <w:kern w:val="2"/>
          <w:sz w:val="22"/>
          <w:szCs w:val="22"/>
          <w:u w:val="single"/>
          <w:lang w:eastAsia="zh-CN"/>
        </w:rPr>
      </w:pPr>
      <w:r w:rsidRPr="004F62EC">
        <w:rPr>
          <w:rFonts w:eastAsia="宋体" w:hint="eastAsia"/>
          <w:i/>
          <w:iCs/>
          <w:noProof w:val="0"/>
          <w:kern w:val="2"/>
          <w:sz w:val="22"/>
          <w:szCs w:val="22"/>
          <w:u w:val="single"/>
          <w:lang w:eastAsia="zh-CN"/>
        </w:rPr>
        <w:t>T</w:t>
      </w:r>
      <w:r w:rsidRPr="004F62EC">
        <w:rPr>
          <w:rFonts w:eastAsia="宋体"/>
          <w:i/>
          <w:iCs/>
          <w:noProof w:val="0"/>
          <w:kern w:val="2"/>
          <w:sz w:val="22"/>
          <w:szCs w:val="22"/>
          <w:u w:val="single"/>
          <w:lang w:eastAsia="zh-CN"/>
        </w:rPr>
        <w:t>ype 2 HARQ codebook</w:t>
      </w:r>
    </w:p>
    <w:p w14:paraId="5F730D42" w14:textId="7569A311" w:rsidR="000C3423" w:rsidRDefault="003454C9" w:rsidP="001C4B45">
      <w:pPr>
        <w:snapToGrid w:val="0"/>
        <w:spacing w:before="120" w:after="120"/>
        <w:jc w:val="both"/>
        <w:rPr>
          <w:rFonts w:eastAsia="宋体"/>
          <w:noProof w:val="0"/>
          <w:kern w:val="2"/>
          <w:sz w:val="22"/>
          <w:szCs w:val="22"/>
          <w:lang w:val="en-GB" w:eastAsia="zh-CN"/>
        </w:rPr>
      </w:pPr>
      <w:r w:rsidRPr="004F62EC">
        <w:rPr>
          <w:rFonts w:eastAsia="宋体"/>
          <w:noProof w:val="0"/>
          <w:kern w:val="2"/>
          <w:sz w:val="22"/>
          <w:szCs w:val="22"/>
          <w:lang w:eastAsia="zh-CN"/>
        </w:rPr>
        <w:t>For dynamic HARQ-ACK codebook, the UE feeds back ACK/NACK based on the actual schedule condition without redundant HARQ feedback bits reservation.</w:t>
      </w:r>
      <w:r w:rsidR="004408D5">
        <w:rPr>
          <w:rFonts w:eastAsia="宋体"/>
          <w:noProof w:val="0"/>
          <w:kern w:val="2"/>
          <w:sz w:val="22"/>
          <w:szCs w:val="22"/>
          <w:lang w:eastAsia="zh-CN"/>
        </w:rPr>
        <w:t xml:space="preserve"> </w:t>
      </w:r>
      <w:r w:rsidR="00AC3A08" w:rsidRPr="004F62EC">
        <w:rPr>
          <w:rFonts w:eastAsia="宋体"/>
          <w:noProof w:val="0"/>
          <w:kern w:val="2"/>
          <w:sz w:val="22"/>
          <w:szCs w:val="22"/>
          <w:lang w:eastAsia="zh-CN"/>
        </w:rPr>
        <w:t>In DCI f</w:t>
      </w:r>
      <w:r w:rsidR="00C812CF" w:rsidRPr="004F62EC">
        <w:rPr>
          <w:rFonts w:eastAsia="宋体"/>
          <w:noProof w:val="0"/>
          <w:kern w:val="2"/>
          <w:sz w:val="22"/>
          <w:szCs w:val="22"/>
          <w:lang w:val="en-GB" w:eastAsia="zh-CN"/>
        </w:rPr>
        <w:t xml:space="preserve">or DL scheduling, </w:t>
      </w:r>
      <w:r w:rsidR="00AC3A08" w:rsidRPr="004F62EC">
        <w:rPr>
          <w:rFonts w:eastAsia="宋体"/>
          <w:noProof w:val="0"/>
          <w:kern w:val="2"/>
          <w:sz w:val="22"/>
          <w:szCs w:val="22"/>
          <w:lang w:val="en-GB" w:eastAsia="zh-CN"/>
        </w:rPr>
        <w:t xml:space="preserve">a value of the counter </w:t>
      </w:r>
      <w:r w:rsidR="00C812CF" w:rsidRPr="004F62EC">
        <w:rPr>
          <w:rFonts w:eastAsia="宋体"/>
          <w:noProof w:val="0"/>
          <w:kern w:val="2"/>
          <w:sz w:val="22"/>
          <w:szCs w:val="22"/>
          <w:lang w:val="en-GB" w:eastAsia="zh-CN"/>
        </w:rPr>
        <w:t xml:space="preserve">DAI </w:t>
      </w:r>
      <w:r w:rsidR="00AC3A08" w:rsidRPr="004F62EC">
        <w:rPr>
          <w:rFonts w:eastAsia="宋体"/>
          <w:noProof w:val="0"/>
          <w:kern w:val="2"/>
          <w:sz w:val="22"/>
          <w:szCs w:val="22"/>
          <w:lang w:val="en-GB" w:eastAsia="zh-CN"/>
        </w:rPr>
        <w:t>field denotes the accumulative number of {serving cell, PDCCH monitoring occasion}-pair(s) and a value of the total DAI field denotes the total number of {serving cell, PDCCH monitoring occasion}-pair(s) are</w:t>
      </w:r>
      <w:r w:rsidR="00C812CF" w:rsidRPr="004F62EC">
        <w:rPr>
          <w:rFonts w:eastAsia="宋体"/>
          <w:noProof w:val="0"/>
          <w:kern w:val="2"/>
          <w:sz w:val="22"/>
          <w:szCs w:val="22"/>
          <w:lang w:val="en-GB" w:eastAsia="zh-CN"/>
        </w:rPr>
        <w:t xml:space="preserve"> used to avoid </w:t>
      </w:r>
      <w:r w:rsidR="00AC3A08" w:rsidRPr="004F62EC">
        <w:rPr>
          <w:rFonts w:eastAsia="宋体"/>
          <w:noProof w:val="0"/>
          <w:kern w:val="2"/>
          <w:sz w:val="22"/>
          <w:szCs w:val="22"/>
          <w:lang w:val="en-GB" w:eastAsia="zh-CN"/>
        </w:rPr>
        <w:t xml:space="preserve">DCI </w:t>
      </w:r>
      <w:r w:rsidR="00C812CF" w:rsidRPr="004F62EC">
        <w:rPr>
          <w:rFonts w:eastAsia="宋体"/>
          <w:noProof w:val="0"/>
          <w:kern w:val="2"/>
          <w:sz w:val="22"/>
          <w:szCs w:val="22"/>
          <w:lang w:val="en-GB" w:eastAsia="zh-CN"/>
        </w:rPr>
        <w:t xml:space="preserve">miss detection of dynamic scheduling and SPS release. In DCI for UL scheduling, </w:t>
      </w:r>
      <w:r w:rsidR="00AC3A08" w:rsidRPr="004F62EC">
        <w:rPr>
          <w:rFonts w:eastAsia="宋体"/>
          <w:noProof w:val="0"/>
          <w:kern w:val="2"/>
          <w:sz w:val="22"/>
          <w:szCs w:val="22"/>
          <w:lang w:val="en-GB" w:eastAsia="zh-CN"/>
        </w:rPr>
        <w:t xml:space="preserve">the value of </w:t>
      </w:r>
      <w:r w:rsidR="00C812CF" w:rsidRPr="004F62EC">
        <w:rPr>
          <w:rFonts w:eastAsia="宋体"/>
          <w:noProof w:val="0"/>
          <w:kern w:val="2"/>
          <w:sz w:val="22"/>
          <w:szCs w:val="22"/>
          <w:lang w:val="en-GB" w:eastAsia="zh-CN"/>
        </w:rPr>
        <w:t xml:space="preserve">DAI </w:t>
      </w:r>
      <w:r w:rsidR="00AC3A08" w:rsidRPr="004F62EC">
        <w:rPr>
          <w:rFonts w:eastAsia="宋体"/>
          <w:noProof w:val="0"/>
          <w:kern w:val="2"/>
          <w:sz w:val="22"/>
          <w:szCs w:val="22"/>
          <w:lang w:val="en-GB" w:eastAsia="zh-CN"/>
        </w:rPr>
        <w:t xml:space="preserve">in DCI format 0_1 denotes total number of {serving cell, PDCCH monitoring occasion}-pair(s) in which PDSCH transmission(s) associated with PDCCH or PDCCH indicating SPS PDSCH release or DCI format 1_1 indicating SCell dormancy </w:t>
      </w:r>
      <w:r w:rsidR="00C812CF" w:rsidRPr="004F62EC">
        <w:rPr>
          <w:rFonts w:eastAsia="宋体"/>
          <w:noProof w:val="0"/>
          <w:kern w:val="2"/>
          <w:sz w:val="22"/>
          <w:szCs w:val="22"/>
          <w:lang w:val="en-GB" w:eastAsia="zh-CN"/>
        </w:rPr>
        <w:t>is used for rate matching when HARQ</w:t>
      </w:r>
      <w:r w:rsidR="00DA055C" w:rsidRPr="004F62EC">
        <w:rPr>
          <w:rFonts w:eastAsia="宋体"/>
          <w:noProof w:val="0"/>
          <w:kern w:val="2"/>
          <w:sz w:val="22"/>
          <w:szCs w:val="22"/>
          <w:lang w:val="en-GB" w:eastAsia="zh-CN"/>
        </w:rPr>
        <w:t xml:space="preserve">-ACK information </w:t>
      </w:r>
      <w:r w:rsidR="00C812CF" w:rsidRPr="004F62EC">
        <w:rPr>
          <w:rFonts w:eastAsia="宋体"/>
          <w:noProof w:val="0"/>
          <w:kern w:val="2"/>
          <w:sz w:val="22"/>
          <w:szCs w:val="22"/>
          <w:lang w:val="en-GB" w:eastAsia="zh-CN"/>
        </w:rPr>
        <w:t xml:space="preserve">is multiplexed in </w:t>
      </w:r>
      <w:r w:rsidR="00DA055C" w:rsidRPr="004F62EC">
        <w:rPr>
          <w:rFonts w:eastAsia="宋体"/>
          <w:noProof w:val="0"/>
          <w:kern w:val="2"/>
          <w:sz w:val="22"/>
          <w:szCs w:val="22"/>
          <w:lang w:val="en-GB" w:eastAsia="zh-CN"/>
        </w:rPr>
        <w:t xml:space="preserve">the </w:t>
      </w:r>
      <w:r w:rsidR="00C812CF" w:rsidRPr="004F62EC">
        <w:rPr>
          <w:rFonts w:eastAsia="宋体"/>
          <w:noProof w:val="0"/>
          <w:kern w:val="2"/>
          <w:sz w:val="22"/>
          <w:szCs w:val="22"/>
          <w:lang w:val="en-GB" w:eastAsia="zh-CN"/>
        </w:rPr>
        <w:t>PUSCH</w:t>
      </w:r>
      <w:r w:rsidR="00DA055C" w:rsidRPr="004F62EC">
        <w:rPr>
          <w:rFonts w:eastAsia="宋体"/>
          <w:noProof w:val="0"/>
          <w:kern w:val="2"/>
          <w:sz w:val="22"/>
          <w:szCs w:val="22"/>
          <w:lang w:val="en-GB" w:eastAsia="zh-CN"/>
        </w:rPr>
        <w:t xml:space="preserve"> transmission</w:t>
      </w:r>
      <w:r w:rsidR="00C812CF" w:rsidRPr="004F62EC">
        <w:rPr>
          <w:rFonts w:eastAsia="宋体"/>
          <w:noProof w:val="0"/>
          <w:kern w:val="2"/>
          <w:sz w:val="22"/>
          <w:szCs w:val="22"/>
          <w:lang w:val="en-GB" w:eastAsia="zh-CN"/>
        </w:rPr>
        <w:t xml:space="preserve">. </w:t>
      </w:r>
    </w:p>
    <w:p w14:paraId="040898B3" w14:textId="70A1BE35" w:rsidR="002F54B8" w:rsidRPr="004F62EC" w:rsidRDefault="00F07FB3" w:rsidP="001C4B45">
      <w:pPr>
        <w:snapToGrid w:val="0"/>
        <w:spacing w:before="120" w:after="120"/>
        <w:jc w:val="both"/>
        <w:rPr>
          <w:rFonts w:eastAsia="宋体"/>
          <w:noProof w:val="0"/>
          <w:kern w:val="2"/>
          <w:sz w:val="22"/>
          <w:szCs w:val="22"/>
          <w:lang w:val="en-GB" w:eastAsia="zh-CN"/>
        </w:rPr>
      </w:pPr>
      <w:r w:rsidRPr="004F62EC">
        <w:rPr>
          <w:rFonts w:eastAsia="宋体"/>
          <w:noProof w:val="0"/>
          <w:kern w:val="2"/>
          <w:sz w:val="22"/>
          <w:szCs w:val="22"/>
          <w:lang w:eastAsia="zh-CN"/>
        </w:rPr>
        <w:t xml:space="preserve">When </w:t>
      </w:r>
      <w:r w:rsidR="000C3423">
        <w:rPr>
          <w:rFonts w:eastAsia="宋体"/>
          <w:noProof w:val="0"/>
          <w:kern w:val="2"/>
          <w:sz w:val="22"/>
          <w:szCs w:val="22"/>
          <w:lang w:eastAsia="zh-CN"/>
        </w:rPr>
        <w:t xml:space="preserve">part of </w:t>
      </w:r>
      <w:r w:rsidRPr="004F62EC">
        <w:rPr>
          <w:rFonts w:eastAsia="宋体"/>
          <w:noProof w:val="0"/>
          <w:kern w:val="2"/>
          <w:sz w:val="22"/>
          <w:szCs w:val="22"/>
          <w:lang w:eastAsia="zh-CN"/>
        </w:rPr>
        <w:t xml:space="preserve">HARQ </w:t>
      </w:r>
      <w:r w:rsidR="000C3423">
        <w:rPr>
          <w:rFonts w:eastAsia="宋体"/>
          <w:noProof w:val="0"/>
          <w:kern w:val="2"/>
          <w:sz w:val="22"/>
          <w:szCs w:val="22"/>
          <w:lang w:eastAsia="zh-CN"/>
        </w:rPr>
        <w:t xml:space="preserve">processes are </w:t>
      </w:r>
      <w:r w:rsidRPr="004F62EC">
        <w:rPr>
          <w:rFonts w:eastAsia="宋体"/>
          <w:noProof w:val="0"/>
          <w:kern w:val="2"/>
          <w:sz w:val="22"/>
          <w:szCs w:val="22"/>
          <w:lang w:eastAsia="zh-CN"/>
        </w:rPr>
        <w:t xml:space="preserve">feedback disabled, </w:t>
      </w:r>
      <w:r w:rsidRPr="004F62EC">
        <w:rPr>
          <w:rFonts w:eastAsia="宋体"/>
          <w:noProof w:val="0"/>
          <w:kern w:val="2"/>
          <w:sz w:val="22"/>
          <w:szCs w:val="22"/>
          <w:lang w:val="en-GB" w:eastAsia="zh-CN"/>
        </w:rPr>
        <w:t xml:space="preserve">enhancement on DAI increment is necessary. </w:t>
      </w:r>
      <w:r w:rsidR="00AC3A08" w:rsidRPr="004F62EC">
        <w:rPr>
          <w:rFonts w:eastAsia="宋体"/>
          <w:noProof w:val="0"/>
          <w:kern w:val="2"/>
          <w:sz w:val="22"/>
          <w:szCs w:val="22"/>
          <w:lang w:val="en-GB" w:eastAsia="zh-CN"/>
        </w:rPr>
        <w:t>To reduce the</w:t>
      </w:r>
      <w:r w:rsidR="00DC3C86" w:rsidRPr="004F62EC">
        <w:rPr>
          <w:rFonts w:eastAsia="宋体"/>
          <w:noProof w:val="0"/>
          <w:kern w:val="2"/>
          <w:sz w:val="22"/>
          <w:szCs w:val="22"/>
          <w:lang w:val="en-GB" w:eastAsia="zh-CN"/>
        </w:rPr>
        <w:t xml:space="preserve"> UE complexity, it is preferred that UE assume</w:t>
      </w:r>
      <w:r w:rsidR="00AC3A08" w:rsidRPr="004F62EC">
        <w:rPr>
          <w:rFonts w:eastAsia="宋体"/>
          <w:noProof w:val="0"/>
          <w:kern w:val="2"/>
          <w:sz w:val="22"/>
          <w:szCs w:val="22"/>
          <w:lang w:val="en-GB" w:eastAsia="zh-CN"/>
        </w:rPr>
        <w:t>s</w:t>
      </w:r>
      <w:r w:rsidR="00DC3C86" w:rsidRPr="004F62EC">
        <w:rPr>
          <w:rFonts w:eastAsia="宋体"/>
          <w:noProof w:val="0"/>
          <w:kern w:val="2"/>
          <w:sz w:val="22"/>
          <w:szCs w:val="22"/>
          <w:lang w:val="en-GB" w:eastAsia="zh-CN"/>
        </w:rPr>
        <w:t xml:space="preserve"> a same value of </w:t>
      </w:r>
      <w:r w:rsidR="00AC3A08" w:rsidRPr="004F62EC">
        <w:rPr>
          <w:rFonts w:eastAsia="宋体"/>
          <w:noProof w:val="0"/>
          <w:kern w:val="2"/>
          <w:sz w:val="22"/>
          <w:szCs w:val="22"/>
          <w:lang w:val="en-GB" w:eastAsia="zh-CN"/>
        </w:rPr>
        <w:t xml:space="preserve">counter </w:t>
      </w:r>
      <w:r w:rsidR="00DC3C86" w:rsidRPr="004F62EC">
        <w:rPr>
          <w:rFonts w:eastAsia="宋体"/>
          <w:noProof w:val="0"/>
          <w:kern w:val="2"/>
          <w:sz w:val="22"/>
          <w:szCs w:val="22"/>
          <w:lang w:val="en-GB" w:eastAsia="zh-CN"/>
        </w:rPr>
        <w:t xml:space="preserve">DAI </w:t>
      </w:r>
      <w:r w:rsidR="00AC3A08" w:rsidRPr="004F62EC">
        <w:rPr>
          <w:rFonts w:eastAsia="宋体"/>
          <w:noProof w:val="0"/>
          <w:kern w:val="2"/>
          <w:sz w:val="22"/>
          <w:szCs w:val="22"/>
          <w:lang w:val="en-GB" w:eastAsia="zh-CN"/>
        </w:rPr>
        <w:t xml:space="preserve">and total DAI </w:t>
      </w:r>
      <w:r w:rsidR="00DC3C86" w:rsidRPr="004F62EC">
        <w:rPr>
          <w:rFonts w:eastAsia="宋体"/>
          <w:noProof w:val="0"/>
          <w:kern w:val="2"/>
          <w:sz w:val="22"/>
          <w:szCs w:val="22"/>
          <w:lang w:val="en-GB" w:eastAsia="zh-CN"/>
        </w:rPr>
        <w:t xml:space="preserve">in </w:t>
      </w:r>
      <w:r w:rsidR="00DC3C86" w:rsidRPr="004F62EC">
        <w:rPr>
          <w:rFonts w:eastAsia="宋体" w:hint="eastAsia"/>
          <w:noProof w:val="0"/>
          <w:kern w:val="2"/>
          <w:sz w:val="22"/>
          <w:szCs w:val="22"/>
          <w:lang w:val="en-GB" w:eastAsia="zh-CN"/>
        </w:rPr>
        <w:t>DCI</w:t>
      </w:r>
      <w:r w:rsidR="00DC3C86" w:rsidRPr="004F62EC">
        <w:rPr>
          <w:rFonts w:eastAsia="宋体"/>
          <w:noProof w:val="0"/>
          <w:kern w:val="2"/>
          <w:sz w:val="22"/>
          <w:szCs w:val="22"/>
          <w:lang w:val="en-GB" w:eastAsia="zh-CN"/>
        </w:rPr>
        <w:t xml:space="preserve"> formats including DCI of PDSCH with feedback-enabled HARQ process and DCI of PDSCH with feedback-disabled HARQ process.</w:t>
      </w:r>
      <w:r w:rsidR="00EE2477" w:rsidRPr="004F62EC">
        <w:rPr>
          <w:rFonts w:eastAsia="宋体"/>
          <w:noProof w:val="0"/>
          <w:kern w:val="2"/>
          <w:sz w:val="22"/>
          <w:szCs w:val="22"/>
          <w:lang w:val="en-GB" w:eastAsia="zh-CN"/>
        </w:rPr>
        <w:t xml:space="preserve"> </w:t>
      </w:r>
      <w:r w:rsidR="00AC3A08" w:rsidRPr="004F62EC">
        <w:rPr>
          <w:rFonts w:eastAsia="宋体"/>
          <w:noProof w:val="0"/>
          <w:kern w:val="2"/>
          <w:sz w:val="22"/>
          <w:szCs w:val="22"/>
          <w:lang w:val="en-GB" w:eastAsia="zh-CN"/>
        </w:rPr>
        <w:t xml:space="preserve">Therefore, </w:t>
      </w:r>
      <w:r w:rsidR="0050338A" w:rsidRPr="004F62EC">
        <w:rPr>
          <w:rFonts w:eastAsia="宋体"/>
          <w:noProof w:val="0"/>
          <w:kern w:val="2"/>
          <w:sz w:val="22"/>
          <w:szCs w:val="22"/>
          <w:lang w:val="en-GB" w:eastAsia="zh-CN"/>
        </w:rPr>
        <w:t xml:space="preserve">for dynamic scheduling PDSCH, </w:t>
      </w:r>
      <w:r w:rsidR="00AC3A08" w:rsidRPr="004F62EC">
        <w:rPr>
          <w:rFonts w:eastAsia="宋体"/>
          <w:noProof w:val="0"/>
          <w:kern w:val="2"/>
          <w:sz w:val="22"/>
          <w:szCs w:val="22"/>
          <w:lang w:val="en-GB" w:eastAsia="zh-CN"/>
        </w:rPr>
        <w:t>w</w:t>
      </w:r>
      <w:r w:rsidR="00DA4647" w:rsidRPr="004F62EC">
        <w:rPr>
          <w:rFonts w:eastAsia="宋体"/>
          <w:noProof w:val="0"/>
          <w:kern w:val="2"/>
          <w:sz w:val="22"/>
          <w:szCs w:val="22"/>
          <w:lang w:val="en-GB" w:eastAsia="zh-CN"/>
        </w:rPr>
        <w:t xml:space="preserve">e propose that </w:t>
      </w:r>
      <w:r w:rsidR="00876C88" w:rsidRPr="004F62EC">
        <w:rPr>
          <w:rFonts w:eastAsia="宋体"/>
          <w:noProof w:val="0"/>
          <w:kern w:val="2"/>
          <w:sz w:val="22"/>
          <w:szCs w:val="22"/>
          <w:lang w:val="en-GB" w:eastAsia="zh-CN"/>
        </w:rPr>
        <w:t xml:space="preserve">the counter DAI and total DAI count </w:t>
      </w:r>
      <w:r w:rsidR="00DA4647" w:rsidRPr="004F62EC">
        <w:rPr>
          <w:rFonts w:eastAsia="宋体"/>
          <w:noProof w:val="0"/>
          <w:kern w:val="2"/>
          <w:sz w:val="22"/>
          <w:szCs w:val="22"/>
          <w:lang w:val="en-GB" w:eastAsia="zh-CN"/>
        </w:rPr>
        <w:t>o</w:t>
      </w:r>
      <w:r w:rsidR="006021D0" w:rsidRPr="004F62EC">
        <w:rPr>
          <w:rFonts w:eastAsia="宋体"/>
          <w:noProof w:val="0"/>
          <w:kern w:val="2"/>
          <w:sz w:val="22"/>
          <w:szCs w:val="22"/>
          <w:lang w:val="en-GB" w:eastAsia="zh-CN"/>
        </w:rPr>
        <w:t>nly DCI scheduling PDSCH with HARQ-ACK enabling</w:t>
      </w:r>
      <w:r w:rsidR="00AB59ED" w:rsidRPr="004F62EC">
        <w:rPr>
          <w:rFonts w:eastAsia="宋体"/>
          <w:noProof w:val="0"/>
          <w:kern w:val="2"/>
          <w:sz w:val="22"/>
          <w:szCs w:val="22"/>
          <w:lang w:val="en-GB" w:eastAsia="zh-CN"/>
        </w:rPr>
        <w:t xml:space="preserve"> </w:t>
      </w:r>
      <w:r w:rsidR="00AC3A08" w:rsidRPr="004F62EC">
        <w:rPr>
          <w:rFonts w:eastAsia="宋体"/>
          <w:noProof w:val="0"/>
          <w:kern w:val="2"/>
          <w:sz w:val="22"/>
          <w:szCs w:val="22"/>
          <w:lang w:val="en-GB" w:eastAsia="zh-CN"/>
        </w:rPr>
        <w:t>i</w:t>
      </w:r>
      <w:r w:rsidR="00991165" w:rsidRPr="004F62EC">
        <w:rPr>
          <w:rFonts w:eastAsia="宋体"/>
          <w:noProof w:val="0"/>
          <w:kern w:val="2"/>
          <w:sz w:val="22"/>
          <w:szCs w:val="22"/>
          <w:lang w:val="en-GB" w:eastAsia="zh-CN"/>
        </w:rPr>
        <w:t>n both DCI of PDSCH with feedback-enabled HARQ processes and DCI of PDSCH with feedback-</w:t>
      </w:r>
      <w:r w:rsidR="003B1501" w:rsidRPr="004F62EC">
        <w:rPr>
          <w:rFonts w:eastAsia="宋体"/>
          <w:noProof w:val="0"/>
          <w:kern w:val="2"/>
          <w:sz w:val="22"/>
          <w:szCs w:val="22"/>
          <w:lang w:val="en-GB" w:eastAsia="zh-CN"/>
        </w:rPr>
        <w:t>dis</w:t>
      </w:r>
      <w:r w:rsidR="00991165" w:rsidRPr="004F62EC">
        <w:rPr>
          <w:rFonts w:eastAsia="宋体"/>
          <w:noProof w:val="0"/>
          <w:kern w:val="2"/>
          <w:sz w:val="22"/>
          <w:szCs w:val="22"/>
          <w:lang w:val="en-GB" w:eastAsia="zh-CN"/>
        </w:rPr>
        <w:t>abled HARQ processes</w:t>
      </w:r>
      <w:r w:rsidR="0050338A" w:rsidRPr="004F62EC">
        <w:rPr>
          <w:rFonts w:eastAsia="宋体"/>
          <w:noProof w:val="0"/>
          <w:kern w:val="2"/>
          <w:sz w:val="22"/>
          <w:szCs w:val="22"/>
          <w:lang w:val="en-GB" w:eastAsia="zh-CN"/>
        </w:rPr>
        <w:t>, and t</w:t>
      </w:r>
      <w:r w:rsidR="00AC3A08" w:rsidRPr="004F62EC">
        <w:rPr>
          <w:rFonts w:eastAsia="宋体"/>
          <w:noProof w:val="0"/>
          <w:kern w:val="2"/>
          <w:sz w:val="22"/>
          <w:szCs w:val="22"/>
          <w:lang w:val="en-GB" w:eastAsia="zh-CN"/>
        </w:rPr>
        <w:t xml:space="preserve">he value of DAI in DCI format 0_1 count </w:t>
      </w:r>
      <w:r w:rsidR="0050338A" w:rsidRPr="004F62EC">
        <w:rPr>
          <w:rFonts w:eastAsia="宋体"/>
          <w:noProof w:val="0"/>
          <w:kern w:val="2"/>
          <w:sz w:val="22"/>
          <w:szCs w:val="22"/>
          <w:lang w:val="en-GB" w:eastAsia="zh-CN"/>
        </w:rPr>
        <w:t>only DCI scheduling PDSCH with HARQ-ACK enabling.</w:t>
      </w:r>
      <w:r w:rsidR="00414FFB">
        <w:rPr>
          <w:rFonts w:eastAsia="宋体"/>
          <w:noProof w:val="0"/>
          <w:kern w:val="2"/>
          <w:sz w:val="22"/>
          <w:szCs w:val="22"/>
          <w:lang w:val="en-GB" w:eastAsia="zh-CN"/>
        </w:rPr>
        <w:t xml:space="preserve"> </w:t>
      </w:r>
      <w:r w:rsidR="004408D5">
        <w:rPr>
          <w:rFonts w:eastAsia="宋体"/>
          <w:noProof w:val="0"/>
          <w:kern w:val="2"/>
          <w:sz w:val="22"/>
          <w:szCs w:val="22"/>
          <w:lang w:val="en-GB" w:eastAsia="zh-CN"/>
        </w:rPr>
        <w:t xml:space="preserve">SPS PDSCH </w:t>
      </w:r>
      <w:r w:rsidR="00CE32BE">
        <w:rPr>
          <w:rFonts w:eastAsia="宋体"/>
          <w:noProof w:val="0"/>
          <w:kern w:val="2"/>
          <w:sz w:val="22"/>
          <w:szCs w:val="22"/>
          <w:lang w:val="en-GB" w:eastAsia="zh-CN"/>
        </w:rPr>
        <w:t xml:space="preserve">release </w:t>
      </w:r>
      <w:r w:rsidR="004408D5">
        <w:rPr>
          <w:rFonts w:eastAsia="宋体"/>
          <w:noProof w:val="0"/>
          <w:kern w:val="2"/>
          <w:sz w:val="22"/>
          <w:szCs w:val="22"/>
          <w:lang w:val="en-GB" w:eastAsia="zh-CN"/>
        </w:rPr>
        <w:t>is a</w:t>
      </w:r>
      <w:r w:rsidR="00414FFB">
        <w:rPr>
          <w:rFonts w:eastAsia="宋体"/>
          <w:noProof w:val="0"/>
          <w:kern w:val="2"/>
          <w:sz w:val="22"/>
          <w:szCs w:val="22"/>
          <w:lang w:val="en-GB" w:eastAsia="zh-CN"/>
        </w:rPr>
        <w:t xml:space="preserve"> special case</w:t>
      </w:r>
      <w:r w:rsidR="00CE32BE">
        <w:rPr>
          <w:rFonts w:eastAsia="宋体"/>
          <w:noProof w:val="0"/>
          <w:kern w:val="2"/>
          <w:sz w:val="22"/>
          <w:szCs w:val="22"/>
          <w:lang w:val="en-GB" w:eastAsia="zh-CN"/>
        </w:rPr>
        <w:t xml:space="preserve"> as the HARQ process number field is invalid</w:t>
      </w:r>
      <w:r w:rsidR="00414FFB">
        <w:rPr>
          <w:rFonts w:eastAsia="宋体"/>
          <w:noProof w:val="0"/>
          <w:kern w:val="2"/>
          <w:sz w:val="22"/>
          <w:szCs w:val="22"/>
          <w:lang w:val="en-GB" w:eastAsia="zh-CN"/>
        </w:rPr>
        <w:t>,</w:t>
      </w:r>
      <w:r w:rsidR="00CE32BE">
        <w:rPr>
          <w:rFonts w:eastAsia="宋体"/>
          <w:noProof w:val="0"/>
          <w:kern w:val="2"/>
          <w:sz w:val="22"/>
          <w:szCs w:val="22"/>
          <w:lang w:val="en-GB" w:eastAsia="zh-CN"/>
        </w:rPr>
        <w:t xml:space="preserve"> which will be discussed in Section 3 in detail</w:t>
      </w:r>
      <w:r w:rsidR="00414FFB">
        <w:rPr>
          <w:rFonts w:eastAsia="宋体"/>
          <w:noProof w:val="0"/>
          <w:kern w:val="2"/>
          <w:sz w:val="22"/>
          <w:szCs w:val="22"/>
          <w:lang w:val="en-GB" w:eastAsia="zh-CN"/>
        </w:rPr>
        <w:t>.</w:t>
      </w:r>
    </w:p>
    <w:p w14:paraId="2293EC9F" w14:textId="5465D517" w:rsidR="00BF5348" w:rsidRPr="004F62EC" w:rsidRDefault="00986B43" w:rsidP="00986B43">
      <w:pPr>
        <w:snapToGrid w:val="0"/>
        <w:spacing w:before="120" w:after="120"/>
        <w:jc w:val="both"/>
        <w:rPr>
          <w:b/>
          <w:noProof w:val="0"/>
          <w:kern w:val="2"/>
          <w:sz w:val="22"/>
          <w:szCs w:val="22"/>
        </w:rPr>
      </w:pPr>
      <w:r w:rsidRPr="004F62EC">
        <w:rPr>
          <w:b/>
          <w:noProof w:val="0"/>
          <w:kern w:val="2"/>
          <w:sz w:val="22"/>
          <w:szCs w:val="22"/>
        </w:rPr>
        <w:t xml:space="preserve">Observation </w:t>
      </w:r>
      <w:r w:rsidR="001E4DE0" w:rsidRPr="004F62EC">
        <w:rPr>
          <w:rFonts w:eastAsia="宋体"/>
          <w:b/>
          <w:noProof w:val="0"/>
          <w:kern w:val="2"/>
          <w:sz w:val="22"/>
          <w:szCs w:val="22"/>
          <w:lang w:eastAsia="zh-CN"/>
        </w:rPr>
        <w:t>1</w:t>
      </w:r>
      <w:r w:rsidRPr="004F62EC">
        <w:rPr>
          <w:b/>
          <w:noProof w:val="0"/>
          <w:kern w:val="2"/>
          <w:sz w:val="22"/>
          <w:szCs w:val="22"/>
        </w:rPr>
        <w:t>:</w:t>
      </w:r>
      <w:r w:rsidRPr="004F62EC">
        <w:rPr>
          <w:b/>
          <w:sz w:val="22"/>
          <w:szCs w:val="22"/>
        </w:rPr>
        <w:t xml:space="preserve"> </w:t>
      </w:r>
      <w:r w:rsidR="00C91EA6" w:rsidRPr="004F62EC">
        <w:rPr>
          <w:b/>
          <w:sz w:val="22"/>
          <w:szCs w:val="22"/>
        </w:rPr>
        <w:t xml:space="preserve">When </w:t>
      </w:r>
      <w:r w:rsidR="00E75852" w:rsidRPr="004F62EC">
        <w:rPr>
          <w:b/>
          <w:sz w:val="22"/>
          <w:szCs w:val="22"/>
        </w:rPr>
        <w:t>HARQ feedback is</w:t>
      </w:r>
      <w:r w:rsidR="00C0669F" w:rsidRPr="004F62EC">
        <w:rPr>
          <w:b/>
          <w:sz w:val="22"/>
          <w:szCs w:val="22"/>
        </w:rPr>
        <w:t xml:space="preserve"> disabled</w:t>
      </w:r>
      <w:r w:rsidR="00E75852" w:rsidRPr="004F62EC">
        <w:rPr>
          <w:b/>
          <w:sz w:val="22"/>
          <w:szCs w:val="22"/>
        </w:rPr>
        <w:t xml:space="preserve"> for </w:t>
      </w:r>
      <w:r w:rsidR="00C91EA6" w:rsidRPr="004F62EC">
        <w:rPr>
          <w:b/>
          <w:sz w:val="22"/>
          <w:szCs w:val="22"/>
        </w:rPr>
        <w:t>some HARQ processes</w:t>
      </w:r>
      <w:r w:rsidR="00E75852" w:rsidRPr="004F62EC">
        <w:rPr>
          <w:b/>
          <w:sz w:val="22"/>
          <w:szCs w:val="22"/>
        </w:rPr>
        <w:t>,</w:t>
      </w:r>
      <w:r w:rsidR="00E75852" w:rsidRPr="004F62EC">
        <w:rPr>
          <w:b/>
          <w:noProof w:val="0"/>
          <w:kern w:val="2"/>
          <w:sz w:val="22"/>
          <w:szCs w:val="22"/>
        </w:rPr>
        <w:t xml:space="preserve"> </w:t>
      </w:r>
      <w:r w:rsidR="00846A18" w:rsidRPr="004F62EC">
        <w:rPr>
          <w:b/>
          <w:noProof w:val="0"/>
          <w:kern w:val="2"/>
          <w:sz w:val="22"/>
          <w:szCs w:val="22"/>
        </w:rPr>
        <w:t xml:space="preserve">the </w:t>
      </w:r>
      <w:r w:rsidRPr="004F62EC">
        <w:rPr>
          <w:b/>
          <w:noProof w:val="0"/>
          <w:kern w:val="2"/>
          <w:sz w:val="22"/>
          <w:szCs w:val="22"/>
        </w:rPr>
        <w:t xml:space="preserve">redundant feedback </w:t>
      </w:r>
      <w:r w:rsidR="00846A18" w:rsidRPr="004F62EC">
        <w:rPr>
          <w:b/>
          <w:noProof w:val="0"/>
          <w:kern w:val="2"/>
          <w:sz w:val="22"/>
          <w:szCs w:val="22"/>
        </w:rPr>
        <w:t xml:space="preserve">bits </w:t>
      </w:r>
      <w:r w:rsidRPr="004F62EC">
        <w:rPr>
          <w:b/>
          <w:noProof w:val="0"/>
          <w:kern w:val="2"/>
          <w:sz w:val="22"/>
          <w:szCs w:val="22"/>
        </w:rPr>
        <w:t>of Type-1 / semi-static HARQ-ACK codebook would be large based on current HARQ-ACK codebook design</w:t>
      </w:r>
    </w:p>
    <w:p w14:paraId="7FF24C39" w14:textId="120A9CD3" w:rsidR="00667E88" w:rsidRPr="004F62EC" w:rsidRDefault="00667E88" w:rsidP="00667E88">
      <w:pPr>
        <w:snapToGrid w:val="0"/>
        <w:spacing w:before="120" w:after="120"/>
        <w:jc w:val="both"/>
        <w:rPr>
          <w:rFonts w:eastAsia="宋体"/>
          <w:b/>
          <w:bCs/>
          <w:noProof w:val="0"/>
          <w:kern w:val="2"/>
          <w:sz w:val="22"/>
          <w:szCs w:val="22"/>
          <w:lang w:val="en-GB" w:eastAsia="zh-CN"/>
        </w:rPr>
      </w:pPr>
      <w:r w:rsidRPr="004F62EC">
        <w:rPr>
          <w:rFonts w:eastAsia="宋体"/>
          <w:b/>
          <w:bCs/>
          <w:noProof w:val="0"/>
          <w:kern w:val="2"/>
          <w:sz w:val="22"/>
          <w:szCs w:val="22"/>
          <w:lang w:val="en-GB" w:eastAsia="zh-CN"/>
        </w:rPr>
        <w:t xml:space="preserve">Proposal </w:t>
      </w:r>
      <w:r w:rsidR="001E4DE0" w:rsidRPr="004F62EC">
        <w:rPr>
          <w:rFonts w:eastAsia="宋体" w:hint="eastAsia"/>
          <w:b/>
          <w:bCs/>
          <w:noProof w:val="0"/>
          <w:kern w:val="2"/>
          <w:sz w:val="22"/>
          <w:szCs w:val="22"/>
          <w:lang w:val="en-GB" w:eastAsia="zh-CN"/>
        </w:rPr>
        <w:t>3</w:t>
      </w:r>
      <w:r w:rsidRPr="004F62EC">
        <w:rPr>
          <w:rFonts w:eastAsia="宋体"/>
          <w:b/>
          <w:bCs/>
          <w:noProof w:val="0"/>
          <w:kern w:val="2"/>
          <w:sz w:val="22"/>
          <w:szCs w:val="22"/>
          <w:lang w:val="en-GB" w:eastAsia="zh-CN"/>
        </w:rPr>
        <w:t>: HARQ codebook enhancement is supported as:</w:t>
      </w:r>
    </w:p>
    <w:p w14:paraId="78C7F390" w14:textId="340D92EB" w:rsidR="00204CA7" w:rsidRDefault="00204CA7" w:rsidP="00204CA7">
      <w:pPr>
        <w:pStyle w:val="ListParagraph"/>
        <w:numPr>
          <w:ilvl w:val="0"/>
          <w:numId w:val="27"/>
        </w:numPr>
        <w:snapToGrid w:val="0"/>
        <w:spacing w:before="120" w:after="120"/>
        <w:ind w:firstLineChars="0"/>
        <w:jc w:val="both"/>
        <w:rPr>
          <w:rFonts w:ascii="Times New Roman" w:hAnsi="Times New Roman" w:cs="Times New Roman"/>
          <w:b/>
          <w:bCs/>
          <w:noProof w:val="0"/>
          <w:kern w:val="2"/>
          <w:sz w:val="22"/>
          <w:szCs w:val="22"/>
          <w:lang w:val="en-GB"/>
        </w:rPr>
      </w:pPr>
      <w:r w:rsidRPr="004F62EC">
        <w:rPr>
          <w:rFonts w:ascii="Times New Roman" w:hAnsi="Times New Roman" w:cs="Times New Roman"/>
          <w:b/>
          <w:bCs/>
          <w:noProof w:val="0"/>
          <w:kern w:val="2"/>
          <w:sz w:val="22"/>
          <w:szCs w:val="22"/>
          <w:lang w:val="en-GB"/>
        </w:rPr>
        <w:t xml:space="preserve">For Type-1 HARQ codebook, reduce codebook size with keeping the codebook size semi-static. </w:t>
      </w:r>
    </w:p>
    <w:p w14:paraId="07CA1E70" w14:textId="371805EC" w:rsidR="00422D65" w:rsidRDefault="00422D65" w:rsidP="00422D65">
      <w:pPr>
        <w:pStyle w:val="ListParagraph"/>
        <w:numPr>
          <w:ilvl w:val="1"/>
          <w:numId w:val="27"/>
        </w:numPr>
        <w:snapToGrid w:val="0"/>
        <w:spacing w:before="120" w:after="120"/>
        <w:ind w:firstLineChars="0"/>
        <w:jc w:val="both"/>
        <w:rPr>
          <w:rFonts w:ascii="Times New Roman" w:hAnsi="Times New Roman" w:cs="Times New Roman"/>
          <w:b/>
          <w:bCs/>
          <w:noProof w:val="0"/>
          <w:kern w:val="2"/>
          <w:sz w:val="22"/>
          <w:szCs w:val="22"/>
          <w:lang w:val="en-GB"/>
        </w:rPr>
      </w:pPr>
      <w:r>
        <w:rPr>
          <w:rFonts w:ascii="Times New Roman" w:hAnsi="Times New Roman" w:cs="Times New Roman" w:hint="eastAsia"/>
          <w:b/>
          <w:bCs/>
          <w:noProof w:val="0"/>
          <w:kern w:val="2"/>
          <w:sz w:val="22"/>
          <w:szCs w:val="22"/>
          <w:lang w:val="en-GB"/>
        </w:rPr>
        <w:t>W</w:t>
      </w:r>
      <w:r>
        <w:rPr>
          <w:rFonts w:ascii="Times New Roman" w:hAnsi="Times New Roman" w:cs="Times New Roman"/>
          <w:b/>
          <w:bCs/>
          <w:noProof w:val="0"/>
          <w:kern w:val="2"/>
          <w:sz w:val="22"/>
          <w:szCs w:val="22"/>
          <w:lang w:val="en-GB"/>
        </w:rPr>
        <w:t>hen all HARQ processes are feedback disabled for one secondary cell, the UE does not reserve HARQ ACK/NACK bits for that secondary cell.</w:t>
      </w:r>
    </w:p>
    <w:p w14:paraId="09CB9B2F" w14:textId="281FF81C" w:rsidR="00422D65" w:rsidRPr="004F62EC" w:rsidRDefault="00422D65" w:rsidP="004E53AE">
      <w:pPr>
        <w:pStyle w:val="ListParagraph"/>
        <w:numPr>
          <w:ilvl w:val="1"/>
          <w:numId w:val="27"/>
        </w:numPr>
        <w:snapToGrid w:val="0"/>
        <w:spacing w:before="120" w:after="120"/>
        <w:ind w:firstLineChars="0"/>
        <w:jc w:val="both"/>
        <w:rPr>
          <w:rFonts w:ascii="Times New Roman" w:hAnsi="Times New Roman" w:cs="Times New Roman"/>
          <w:b/>
          <w:bCs/>
          <w:noProof w:val="0"/>
          <w:kern w:val="2"/>
          <w:sz w:val="22"/>
          <w:szCs w:val="22"/>
          <w:lang w:val="en-GB"/>
        </w:rPr>
      </w:pPr>
      <w:r>
        <w:rPr>
          <w:rFonts w:ascii="Times New Roman" w:hAnsi="Times New Roman" w:cs="Times New Roman"/>
          <w:b/>
          <w:bCs/>
          <w:noProof w:val="0"/>
          <w:kern w:val="2"/>
          <w:sz w:val="22"/>
          <w:szCs w:val="22"/>
          <w:lang w:val="en-GB"/>
        </w:rPr>
        <w:lastRenderedPageBreak/>
        <w:t>Reduce the Type-1 HARQ codebook size by restrict</w:t>
      </w:r>
      <w:r w:rsidR="00775E14">
        <w:rPr>
          <w:rFonts w:ascii="Times New Roman" w:hAnsi="Times New Roman" w:cs="Times New Roman"/>
          <w:b/>
          <w:bCs/>
          <w:noProof w:val="0"/>
          <w:kern w:val="2"/>
          <w:sz w:val="22"/>
          <w:szCs w:val="22"/>
          <w:lang w:val="en-GB"/>
        </w:rPr>
        <w:t>ing</w:t>
      </w:r>
      <w:r>
        <w:rPr>
          <w:rFonts w:ascii="Times New Roman" w:hAnsi="Times New Roman" w:cs="Times New Roman"/>
          <w:b/>
          <w:bCs/>
          <w:noProof w:val="0"/>
          <w:kern w:val="2"/>
          <w:sz w:val="22"/>
          <w:szCs w:val="22"/>
          <w:lang w:val="en-GB"/>
        </w:rPr>
        <w:t xml:space="preserve"> the scheduling occasion, e.g., restricted TDRA table of feedback enabled HARQ process.</w:t>
      </w:r>
    </w:p>
    <w:p w14:paraId="57D4B2F3" w14:textId="5FD17E88" w:rsidR="00FD0711" w:rsidRDefault="00667E88" w:rsidP="00414FFB">
      <w:pPr>
        <w:pStyle w:val="ListParagraph"/>
        <w:numPr>
          <w:ilvl w:val="0"/>
          <w:numId w:val="27"/>
        </w:numPr>
        <w:snapToGrid w:val="0"/>
        <w:spacing w:before="120" w:after="120"/>
        <w:ind w:firstLineChars="0"/>
        <w:jc w:val="both"/>
        <w:rPr>
          <w:rFonts w:ascii="Times New Roman" w:hAnsi="Times New Roman" w:cs="Times New Roman"/>
          <w:b/>
          <w:bCs/>
          <w:noProof w:val="0"/>
          <w:kern w:val="2"/>
          <w:sz w:val="22"/>
          <w:szCs w:val="22"/>
          <w:lang w:val="en-GB"/>
        </w:rPr>
      </w:pPr>
      <w:r w:rsidRPr="004F62EC">
        <w:rPr>
          <w:rFonts w:ascii="Times New Roman" w:hAnsi="Times New Roman" w:cs="Times New Roman"/>
          <w:b/>
          <w:bCs/>
          <w:noProof w:val="0"/>
          <w:kern w:val="2"/>
          <w:sz w:val="22"/>
          <w:szCs w:val="22"/>
          <w:lang w:val="en-GB"/>
        </w:rPr>
        <w:t>For Type-2 HARQ codebook</w:t>
      </w:r>
      <w:r w:rsidR="00204CA7" w:rsidRPr="004F62EC">
        <w:rPr>
          <w:rFonts w:ascii="Times New Roman" w:hAnsi="Times New Roman" w:cs="Times New Roman"/>
          <w:b/>
          <w:bCs/>
          <w:noProof w:val="0"/>
          <w:kern w:val="2"/>
          <w:sz w:val="22"/>
          <w:szCs w:val="22"/>
          <w:lang w:val="en-GB"/>
        </w:rPr>
        <w:t xml:space="preserve">, </w:t>
      </w:r>
      <w:r w:rsidR="00FD0711">
        <w:rPr>
          <w:rFonts w:ascii="Times New Roman" w:hAnsi="Times New Roman" w:cs="Times New Roman"/>
          <w:b/>
          <w:bCs/>
          <w:noProof w:val="0"/>
          <w:kern w:val="2"/>
          <w:sz w:val="22"/>
          <w:szCs w:val="22"/>
          <w:lang w:val="en-GB"/>
        </w:rPr>
        <w:t xml:space="preserve">the </w:t>
      </w:r>
      <w:r w:rsidR="00FD0711" w:rsidRPr="00FD0711">
        <w:rPr>
          <w:rFonts w:ascii="Times New Roman" w:hAnsi="Times New Roman" w:cs="Times New Roman"/>
          <w:b/>
          <w:bCs/>
          <w:noProof w:val="0"/>
          <w:kern w:val="2"/>
          <w:sz w:val="22"/>
          <w:szCs w:val="22"/>
          <w:lang w:val="en-GB"/>
        </w:rPr>
        <w:t>value of the counter</w:t>
      </w:r>
      <w:r w:rsidR="00FD0711">
        <w:rPr>
          <w:rFonts w:ascii="Times New Roman" w:hAnsi="Times New Roman" w:cs="Times New Roman"/>
          <w:b/>
          <w:bCs/>
          <w:noProof w:val="0"/>
          <w:kern w:val="2"/>
          <w:sz w:val="22"/>
          <w:szCs w:val="22"/>
          <w:lang w:val="en-GB"/>
        </w:rPr>
        <w:t>/total</w:t>
      </w:r>
      <w:r w:rsidR="00FD0711" w:rsidRPr="00FD0711">
        <w:rPr>
          <w:rFonts w:ascii="Times New Roman" w:hAnsi="Times New Roman" w:cs="Times New Roman"/>
          <w:b/>
          <w:bCs/>
          <w:noProof w:val="0"/>
          <w:kern w:val="2"/>
          <w:sz w:val="22"/>
          <w:szCs w:val="22"/>
          <w:lang w:val="en-GB"/>
        </w:rPr>
        <w:t xml:space="preserve"> DAI field </w:t>
      </w:r>
      <w:r w:rsidR="00FD0711">
        <w:rPr>
          <w:rFonts w:ascii="Times New Roman" w:hAnsi="Times New Roman" w:cs="Times New Roman"/>
          <w:b/>
          <w:bCs/>
          <w:noProof w:val="0"/>
          <w:kern w:val="2"/>
          <w:sz w:val="22"/>
          <w:szCs w:val="22"/>
          <w:lang w:val="en-GB"/>
        </w:rPr>
        <w:t xml:space="preserve">in one DCI are given the count value of </w:t>
      </w:r>
      <w:r w:rsidR="00FD0711" w:rsidRPr="00FD0711">
        <w:rPr>
          <w:rFonts w:ascii="Times New Roman" w:hAnsi="Times New Roman" w:cs="Times New Roman"/>
          <w:b/>
          <w:bCs/>
          <w:noProof w:val="0"/>
          <w:kern w:val="2"/>
          <w:sz w:val="22"/>
          <w:szCs w:val="22"/>
          <w:lang w:val="en-GB"/>
        </w:rPr>
        <w:t>{serving cell, PDCCH monitoring occasion}-pair(s)</w:t>
      </w:r>
      <w:r w:rsidR="00FD0711">
        <w:rPr>
          <w:rFonts w:ascii="Times New Roman" w:hAnsi="Times New Roman" w:cs="Times New Roman"/>
          <w:b/>
          <w:bCs/>
          <w:noProof w:val="0"/>
          <w:kern w:val="2"/>
          <w:sz w:val="22"/>
          <w:szCs w:val="22"/>
          <w:lang w:val="en-GB"/>
        </w:rPr>
        <w:t xml:space="preserve"> who’s associated PDSCH is HARQ feedback enabled.</w:t>
      </w:r>
    </w:p>
    <w:p w14:paraId="337D5DD8" w14:textId="30C7989C" w:rsidR="00900D66" w:rsidRPr="00FB173F" w:rsidRDefault="00FD0711" w:rsidP="00FB173F">
      <w:pPr>
        <w:pStyle w:val="ListParagraph"/>
        <w:numPr>
          <w:ilvl w:val="1"/>
          <w:numId w:val="27"/>
        </w:numPr>
        <w:snapToGrid w:val="0"/>
        <w:spacing w:before="120" w:after="120"/>
        <w:ind w:firstLineChars="0"/>
        <w:jc w:val="both"/>
        <w:rPr>
          <w:rFonts w:ascii="Times New Roman" w:hAnsi="Times New Roman" w:cs="Times New Roman"/>
          <w:b/>
          <w:bCs/>
          <w:noProof w:val="0"/>
          <w:kern w:val="2"/>
          <w:sz w:val="22"/>
          <w:szCs w:val="22"/>
          <w:lang w:val="en-GB"/>
        </w:rPr>
      </w:pPr>
      <w:r>
        <w:rPr>
          <w:rFonts w:ascii="Times New Roman" w:hAnsi="Times New Roman" w:cs="Times New Roman"/>
          <w:b/>
          <w:bCs/>
          <w:noProof w:val="0"/>
          <w:kern w:val="2"/>
          <w:sz w:val="22"/>
          <w:szCs w:val="22"/>
          <w:lang w:val="en-GB"/>
        </w:rPr>
        <w:t>FFS</w:t>
      </w:r>
      <w:r w:rsidR="0047702E">
        <w:rPr>
          <w:rFonts w:ascii="Times New Roman" w:hAnsi="Times New Roman" w:cs="Times New Roman"/>
          <w:b/>
          <w:bCs/>
          <w:noProof w:val="0"/>
          <w:kern w:val="2"/>
          <w:sz w:val="22"/>
          <w:szCs w:val="22"/>
          <w:lang w:val="en-GB"/>
        </w:rPr>
        <w:t xml:space="preserve"> whether DAI count for SPS release.</w:t>
      </w:r>
    </w:p>
    <w:bookmarkEnd w:id="4"/>
    <w:p w14:paraId="1D752AE8" w14:textId="20BE62B7" w:rsidR="001C4B45" w:rsidRPr="004F62EC" w:rsidRDefault="00517AA4" w:rsidP="001C4B45">
      <w:pPr>
        <w:pStyle w:val="Heading2"/>
        <w:rPr>
          <w:rFonts w:cs="Arial"/>
          <w:iCs/>
          <w:lang w:val="x-none" w:eastAsia="ja-JP"/>
        </w:rPr>
      </w:pPr>
      <w:r w:rsidRPr="004F62EC">
        <w:rPr>
          <w:rFonts w:cs="Arial"/>
          <w:iCs/>
          <w:lang w:val="x-none" w:eastAsia="ja-JP"/>
        </w:rPr>
        <w:t>3</w:t>
      </w:r>
      <w:r w:rsidR="001C4B45" w:rsidRPr="004F62EC">
        <w:rPr>
          <w:rFonts w:cs="Arial"/>
          <w:iCs/>
          <w:lang w:val="x-none" w:eastAsia="ja-JP"/>
        </w:rPr>
        <w:t>.3 Impact of SPS PDSCH</w:t>
      </w:r>
    </w:p>
    <w:p w14:paraId="5285A2BA" w14:textId="1CC54B47" w:rsidR="00815DFB" w:rsidRPr="004F62EC" w:rsidRDefault="00815DFB" w:rsidP="00684A23">
      <w:pPr>
        <w:spacing w:before="120" w:after="120"/>
        <w:jc w:val="both"/>
        <w:rPr>
          <w:rFonts w:eastAsia="宋体"/>
          <w:sz w:val="22"/>
          <w:szCs w:val="22"/>
          <w:lang w:eastAsia="zh-CN"/>
        </w:rPr>
      </w:pPr>
      <w:r w:rsidRPr="004F62EC">
        <w:rPr>
          <w:rFonts w:eastAsia="宋体"/>
          <w:noProof w:val="0"/>
          <w:kern w:val="2"/>
          <w:sz w:val="22"/>
          <w:szCs w:val="22"/>
          <w:lang w:eastAsia="zh-CN"/>
        </w:rPr>
        <w:t>In RAN</w:t>
      </w:r>
      <w:r w:rsidRPr="004F62EC">
        <w:rPr>
          <w:rFonts w:eastAsia="宋体" w:hint="eastAsia"/>
          <w:noProof w:val="0"/>
          <w:kern w:val="2"/>
          <w:sz w:val="22"/>
          <w:szCs w:val="22"/>
          <w:lang w:eastAsia="zh-CN"/>
        </w:rPr>
        <w:t>1</w:t>
      </w:r>
      <w:r w:rsidRPr="004F62EC">
        <w:rPr>
          <w:rFonts w:eastAsia="宋体"/>
          <w:noProof w:val="0"/>
          <w:kern w:val="2"/>
          <w:sz w:val="22"/>
          <w:szCs w:val="22"/>
          <w:lang w:eastAsia="zh-CN"/>
        </w:rPr>
        <w:t>#10</w:t>
      </w:r>
      <w:r w:rsidRPr="004F62EC">
        <w:rPr>
          <w:rFonts w:eastAsia="宋体" w:hint="eastAsia"/>
          <w:noProof w:val="0"/>
          <w:kern w:val="2"/>
          <w:sz w:val="22"/>
          <w:szCs w:val="22"/>
          <w:lang w:eastAsia="zh-CN"/>
        </w:rPr>
        <w:t>3e</w:t>
      </w:r>
      <w:r w:rsidRPr="004F62EC">
        <w:rPr>
          <w:rFonts w:eastAsia="宋体"/>
          <w:noProof w:val="0"/>
          <w:kern w:val="2"/>
          <w:sz w:val="22"/>
          <w:szCs w:val="22"/>
          <w:lang w:eastAsia="zh-CN"/>
        </w:rPr>
        <w:t xml:space="preserve"> meeting [2], the following agreements were achieved for UE behavior of HARQ process with feedback disabled. </w:t>
      </w:r>
    </w:p>
    <w:tbl>
      <w:tblPr>
        <w:tblStyle w:val="TableGrid"/>
        <w:tblW w:w="0" w:type="auto"/>
        <w:tblLook w:val="04A0" w:firstRow="1" w:lastRow="0" w:firstColumn="1" w:lastColumn="0" w:noHBand="0" w:noVBand="1"/>
      </w:tblPr>
      <w:tblGrid>
        <w:gridCol w:w="9962"/>
      </w:tblGrid>
      <w:tr w:rsidR="004F62EC" w:rsidRPr="004F62EC" w14:paraId="0DAB87F0" w14:textId="77777777" w:rsidTr="00815DFB">
        <w:tc>
          <w:tcPr>
            <w:tcW w:w="9962" w:type="dxa"/>
          </w:tcPr>
          <w:p w14:paraId="088AC960" w14:textId="77777777" w:rsidR="00815DFB" w:rsidRPr="004F62EC" w:rsidRDefault="00815DFB" w:rsidP="00815DFB">
            <w:pPr>
              <w:rPr>
                <w:sz w:val="22"/>
                <w:szCs w:val="22"/>
                <w:lang w:eastAsia="x-none"/>
              </w:rPr>
            </w:pPr>
            <w:r w:rsidRPr="004F62EC">
              <w:rPr>
                <w:sz w:val="22"/>
                <w:szCs w:val="22"/>
                <w:highlight w:val="green"/>
                <w:lang w:eastAsia="x-none"/>
              </w:rPr>
              <w:t>Agreement:</w:t>
            </w:r>
          </w:p>
          <w:p w14:paraId="4F5C0A6B" w14:textId="77777777" w:rsidR="00815DFB" w:rsidRPr="004F62EC" w:rsidRDefault="00815DFB" w:rsidP="00815DFB">
            <w:pPr>
              <w:rPr>
                <w:sz w:val="22"/>
                <w:szCs w:val="22"/>
                <w:lang w:eastAsia="x-none"/>
              </w:rPr>
            </w:pPr>
            <w:r w:rsidRPr="004F62EC">
              <w:rPr>
                <w:sz w:val="22"/>
                <w:szCs w:val="22"/>
                <w:lang w:eastAsia="x-none"/>
              </w:rPr>
              <w:t>For a DL HARQ process with disabled HARQ feedback, the UE is not expected to receive another PDSCH or set of slot-aggregated PDSCH scheduled for the given HARQ process that starts until [X] after the end of the reception of the last PDSCH or slot-aggregated PDSCH for that HARQ process.</w:t>
            </w:r>
          </w:p>
          <w:p w14:paraId="19087A99" w14:textId="77777777" w:rsidR="00815DFB" w:rsidRPr="004F62EC" w:rsidRDefault="00815DFB" w:rsidP="00815DFB">
            <w:pPr>
              <w:numPr>
                <w:ilvl w:val="0"/>
                <w:numId w:val="32"/>
              </w:numPr>
              <w:rPr>
                <w:sz w:val="22"/>
                <w:szCs w:val="22"/>
                <w:lang w:eastAsia="x-none"/>
              </w:rPr>
            </w:pPr>
            <w:r w:rsidRPr="004F62EC">
              <w:rPr>
                <w:sz w:val="22"/>
                <w:szCs w:val="22"/>
                <w:lang w:eastAsia="x-none"/>
              </w:rPr>
              <w:t>FFS: value of X and units in which it is defined.</w:t>
            </w:r>
          </w:p>
          <w:p w14:paraId="1231703D" w14:textId="36983A93" w:rsidR="00815DFB" w:rsidRPr="004F62EC" w:rsidRDefault="00815DFB" w:rsidP="00815DFB">
            <w:pPr>
              <w:numPr>
                <w:ilvl w:val="0"/>
                <w:numId w:val="32"/>
              </w:numPr>
              <w:rPr>
                <w:sz w:val="22"/>
                <w:szCs w:val="22"/>
                <w:lang w:eastAsia="x-none"/>
              </w:rPr>
            </w:pPr>
            <w:r w:rsidRPr="004F62EC">
              <w:rPr>
                <w:sz w:val="22"/>
                <w:szCs w:val="22"/>
                <w:lang w:eastAsia="x-none"/>
              </w:rPr>
              <w:t>FFS: Whether TB of the two PDSCHs needs to be different</w:t>
            </w:r>
          </w:p>
        </w:tc>
      </w:tr>
    </w:tbl>
    <w:p w14:paraId="4CF2E4EA" w14:textId="59C6815A" w:rsidR="001833D8" w:rsidRPr="004F62EC" w:rsidRDefault="008B065C" w:rsidP="00684A23">
      <w:pPr>
        <w:spacing w:before="120" w:after="120"/>
        <w:jc w:val="both"/>
        <w:rPr>
          <w:noProof w:val="0"/>
          <w:kern w:val="2"/>
          <w:sz w:val="22"/>
          <w:szCs w:val="22"/>
        </w:rPr>
      </w:pPr>
      <w:r w:rsidRPr="004F62EC">
        <w:rPr>
          <w:rFonts w:eastAsia="宋体"/>
          <w:sz w:val="22"/>
          <w:szCs w:val="22"/>
          <w:lang w:eastAsia="zh-CN"/>
        </w:rPr>
        <w:t xml:space="preserve">Different from dynamic scheduling discussed in section </w:t>
      </w:r>
      <w:r w:rsidR="00684A23" w:rsidRPr="004F62EC">
        <w:rPr>
          <w:rFonts w:eastAsia="宋体" w:hint="eastAsia"/>
          <w:sz w:val="22"/>
          <w:szCs w:val="22"/>
          <w:lang w:eastAsia="zh-CN"/>
        </w:rPr>
        <w:t>3</w:t>
      </w:r>
      <w:r w:rsidRPr="004F62EC">
        <w:rPr>
          <w:rFonts w:eastAsia="宋体"/>
          <w:sz w:val="22"/>
          <w:szCs w:val="22"/>
          <w:lang w:eastAsia="zh-CN"/>
        </w:rPr>
        <w:t xml:space="preserve">.2, semi-persistent scheduling does not need dynamic signalling therefore can reduce the shceduling latency especially in NTN with its large RTT. </w:t>
      </w:r>
      <w:r w:rsidR="00CD308B" w:rsidRPr="004F62EC">
        <w:rPr>
          <w:rFonts w:eastAsia="宋体"/>
          <w:noProof w:val="0"/>
          <w:kern w:val="2"/>
          <w:sz w:val="22"/>
          <w:szCs w:val="22"/>
          <w:lang w:eastAsia="zh-CN"/>
        </w:rPr>
        <w:t>F</w:t>
      </w:r>
      <w:r w:rsidR="001833D8" w:rsidRPr="004F62EC">
        <w:rPr>
          <w:rFonts w:eastAsia="宋体"/>
          <w:noProof w:val="0"/>
          <w:kern w:val="2"/>
          <w:sz w:val="22"/>
          <w:szCs w:val="22"/>
          <w:lang w:eastAsia="zh-CN"/>
        </w:rPr>
        <w:t>or DL semi-persistent scheduling the HARQ process ID is derived from the following formul</w:t>
      </w:r>
      <w:r w:rsidR="00115C5C">
        <w:rPr>
          <w:rFonts w:eastAsia="宋体"/>
          <w:noProof w:val="0"/>
          <w:kern w:val="2"/>
          <w:sz w:val="22"/>
          <w:szCs w:val="22"/>
          <w:lang w:eastAsia="zh-CN"/>
        </w:rPr>
        <w:t>a</w:t>
      </w:r>
      <w:r w:rsidR="001833D8" w:rsidRPr="004F62EC">
        <w:rPr>
          <w:rFonts w:eastAsia="宋体"/>
          <w:noProof w:val="0"/>
          <w:kern w:val="2"/>
          <w:sz w:val="22"/>
          <w:szCs w:val="22"/>
          <w:lang w:eastAsia="zh-CN"/>
        </w:rPr>
        <w:t>:</w:t>
      </w:r>
    </w:p>
    <w:p w14:paraId="1D44D421" w14:textId="77777777" w:rsidR="001833D8" w:rsidRPr="004F62EC" w:rsidRDefault="001833D8" w:rsidP="001833D8">
      <w:pPr>
        <w:snapToGrid w:val="0"/>
        <w:spacing w:before="120" w:after="120"/>
        <w:jc w:val="center"/>
        <w:rPr>
          <w:noProof w:val="0"/>
          <w:kern w:val="2"/>
          <w:sz w:val="22"/>
          <w:szCs w:val="22"/>
        </w:rPr>
      </w:pPr>
      <w:r w:rsidRPr="004F62EC">
        <w:rPr>
          <w:noProof w:val="0"/>
          <w:kern w:val="2"/>
          <w:sz w:val="22"/>
          <w:szCs w:val="22"/>
        </w:rPr>
        <w:t>HARQ Process ID = [floor (CURRENT_slot × 10 / (numberOfSlotsPerFrame × periodicity))] modulo nrofHARQ-Processes</w:t>
      </w:r>
    </w:p>
    <w:p w14:paraId="5529FD90" w14:textId="55D2ECC5" w:rsidR="00CD308B" w:rsidRPr="004F62EC" w:rsidRDefault="00202E3F" w:rsidP="00CD308B">
      <w:pPr>
        <w:spacing w:before="120" w:after="120"/>
        <w:jc w:val="both"/>
        <w:rPr>
          <w:rFonts w:eastAsia="宋体"/>
          <w:sz w:val="22"/>
          <w:szCs w:val="22"/>
          <w:lang w:eastAsia="zh-CN"/>
        </w:rPr>
      </w:pPr>
      <w:r w:rsidRPr="004F62EC">
        <w:rPr>
          <w:rFonts w:eastAsia="宋体"/>
          <w:sz w:val="22"/>
          <w:szCs w:val="22"/>
          <w:lang w:eastAsia="zh-CN"/>
        </w:rPr>
        <w:t xml:space="preserve">Where CURRENT_slot=[(SFN × numberOfSlotsPerFrame) + slot number in the frame] and the </w:t>
      </w:r>
      <w:r w:rsidRPr="004F62EC">
        <w:rPr>
          <w:noProof w:val="0"/>
          <w:kern w:val="2"/>
          <w:sz w:val="22"/>
          <w:szCs w:val="22"/>
        </w:rPr>
        <w:t>nrofHARQ-Processes is the number of configured HARQ process for SPS</w:t>
      </w:r>
      <w:r w:rsidRPr="004F62EC">
        <w:rPr>
          <w:rFonts w:eastAsia="宋体"/>
          <w:sz w:val="22"/>
          <w:szCs w:val="22"/>
          <w:lang w:eastAsia="zh-CN"/>
        </w:rPr>
        <w:t xml:space="preserve">, </w:t>
      </w:r>
      <w:r w:rsidR="00CD308B" w:rsidRPr="004F62EC">
        <w:rPr>
          <w:rFonts w:eastAsia="宋体"/>
          <w:sz w:val="22"/>
          <w:szCs w:val="22"/>
          <w:lang w:eastAsia="zh-CN"/>
        </w:rPr>
        <w:t xml:space="preserve">the SPS HARQ process ID is calculated by the PDSCH </w:t>
      </w:r>
      <w:r w:rsidRPr="004F62EC">
        <w:rPr>
          <w:rFonts w:eastAsia="宋体"/>
          <w:sz w:val="22"/>
          <w:szCs w:val="22"/>
          <w:lang w:eastAsia="zh-CN"/>
        </w:rPr>
        <w:t xml:space="preserve">location </w:t>
      </w:r>
      <w:r w:rsidR="00CD308B" w:rsidRPr="004F62EC">
        <w:rPr>
          <w:rFonts w:eastAsia="宋体"/>
          <w:sz w:val="22"/>
          <w:szCs w:val="22"/>
          <w:lang w:eastAsia="zh-CN"/>
        </w:rPr>
        <w:t xml:space="preserve">in time domain, if two HARQ processes are configured </w:t>
      </w:r>
      <w:r w:rsidRPr="004F62EC">
        <w:rPr>
          <w:rFonts w:eastAsia="宋体"/>
          <w:sz w:val="22"/>
          <w:szCs w:val="22"/>
          <w:lang w:eastAsia="zh-CN"/>
        </w:rPr>
        <w:t xml:space="preserve">for SPS </w:t>
      </w:r>
      <w:r w:rsidR="00CD308B" w:rsidRPr="004F62EC">
        <w:rPr>
          <w:rFonts w:eastAsia="宋体"/>
          <w:sz w:val="22"/>
          <w:szCs w:val="22"/>
          <w:lang w:eastAsia="zh-CN"/>
        </w:rPr>
        <w:t>to UE, there are three possibilities:</w:t>
      </w:r>
    </w:p>
    <w:p w14:paraId="775AE3C2" w14:textId="27ADD51A" w:rsidR="00DD2E73" w:rsidRPr="004F62EC" w:rsidRDefault="00DD2E73" w:rsidP="00DD2E73">
      <w:pPr>
        <w:pStyle w:val="ListParagraph"/>
        <w:numPr>
          <w:ilvl w:val="0"/>
          <w:numId w:val="31"/>
        </w:numPr>
        <w:spacing w:before="120" w:after="120"/>
        <w:ind w:firstLineChars="0"/>
        <w:jc w:val="both"/>
        <w:rPr>
          <w:rFonts w:ascii="Times New Roman" w:hAnsi="Times New Roman" w:cs="Times New Roman"/>
          <w:sz w:val="22"/>
          <w:szCs w:val="22"/>
        </w:rPr>
      </w:pPr>
      <w:r w:rsidRPr="004F62EC">
        <w:rPr>
          <w:rFonts w:ascii="Times New Roman" w:hAnsi="Times New Roman" w:cs="Times New Roman"/>
          <w:sz w:val="22"/>
          <w:szCs w:val="22"/>
        </w:rPr>
        <w:t xml:space="preserve">Case 1: </w:t>
      </w:r>
      <w:r w:rsidR="00CD308B" w:rsidRPr="004F62EC">
        <w:rPr>
          <w:rFonts w:ascii="Times New Roman" w:hAnsi="Times New Roman" w:cs="Times New Roman"/>
          <w:sz w:val="22"/>
          <w:szCs w:val="22"/>
        </w:rPr>
        <w:t xml:space="preserve">Both HARQ process are </w:t>
      </w:r>
      <w:r w:rsidR="00901F0B" w:rsidRPr="004F62EC">
        <w:rPr>
          <w:rFonts w:ascii="Times New Roman" w:hAnsi="Times New Roman" w:cs="Times New Roman"/>
          <w:sz w:val="22"/>
          <w:szCs w:val="22"/>
        </w:rPr>
        <w:t xml:space="preserve">feedback </w:t>
      </w:r>
      <w:r w:rsidR="00CD308B" w:rsidRPr="004F62EC">
        <w:rPr>
          <w:rFonts w:ascii="Times New Roman" w:hAnsi="Times New Roman" w:cs="Times New Roman"/>
          <w:sz w:val="22"/>
          <w:szCs w:val="22"/>
        </w:rPr>
        <w:t>enabled.</w:t>
      </w:r>
    </w:p>
    <w:p w14:paraId="74115FE5" w14:textId="13524F64" w:rsidR="00DD2E73" w:rsidRPr="004F62EC" w:rsidRDefault="00DD2E73" w:rsidP="00DD2E73">
      <w:pPr>
        <w:pStyle w:val="ListParagraph"/>
        <w:numPr>
          <w:ilvl w:val="0"/>
          <w:numId w:val="31"/>
        </w:numPr>
        <w:spacing w:before="120" w:after="120"/>
        <w:ind w:firstLineChars="0"/>
        <w:jc w:val="both"/>
        <w:rPr>
          <w:rFonts w:ascii="Times New Roman" w:hAnsi="Times New Roman" w:cs="Times New Roman"/>
          <w:sz w:val="22"/>
          <w:szCs w:val="22"/>
        </w:rPr>
      </w:pPr>
      <w:r w:rsidRPr="004F62EC">
        <w:rPr>
          <w:rFonts w:ascii="Times New Roman" w:hAnsi="Times New Roman" w:cs="Times New Roman"/>
          <w:sz w:val="22"/>
          <w:szCs w:val="22"/>
        </w:rPr>
        <w:t xml:space="preserve">Case 2: </w:t>
      </w:r>
      <w:r w:rsidR="00CD308B" w:rsidRPr="004F62EC">
        <w:rPr>
          <w:rFonts w:ascii="Times New Roman" w:hAnsi="Times New Roman" w:cs="Times New Roman"/>
          <w:sz w:val="22"/>
          <w:szCs w:val="22"/>
        </w:rPr>
        <w:t xml:space="preserve">One </w:t>
      </w:r>
      <w:r w:rsidR="00901F0B" w:rsidRPr="004F62EC">
        <w:rPr>
          <w:rFonts w:ascii="Times New Roman" w:hAnsi="Times New Roman" w:cs="Times New Roman"/>
          <w:sz w:val="22"/>
          <w:szCs w:val="22"/>
        </w:rPr>
        <w:t xml:space="preserve">HARQ prcess </w:t>
      </w:r>
      <w:r w:rsidR="00CD308B" w:rsidRPr="004F62EC">
        <w:rPr>
          <w:rFonts w:ascii="Times New Roman" w:hAnsi="Times New Roman" w:cs="Times New Roman"/>
          <w:sz w:val="22"/>
          <w:szCs w:val="22"/>
        </w:rPr>
        <w:t xml:space="preserve">is </w:t>
      </w:r>
      <w:r w:rsidR="00901F0B" w:rsidRPr="004F62EC">
        <w:rPr>
          <w:rFonts w:ascii="Times New Roman" w:hAnsi="Times New Roman" w:cs="Times New Roman"/>
          <w:sz w:val="22"/>
          <w:szCs w:val="22"/>
        </w:rPr>
        <w:t xml:space="preserve">feedback </w:t>
      </w:r>
      <w:r w:rsidR="00CD308B" w:rsidRPr="004F62EC">
        <w:rPr>
          <w:rFonts w:ascii="Times New Roman" w:hAnsi="Times New Roman" w:cs="Times New Roman"/>
          <w:sz w:val="22"/>
          <w:szCs w:val="22"/>
        </w:rPr>
        <w:t xml:space="preserve">enabled, the other is </w:t>
      </w:r>
      <w:r w:rsidR="00901F0B" w:rsidRPr="004F62EC">
        <w:rPr>
          <w:rFonts w:ascii="Times New Roman" w:hAnsi="Times New Roman" w:cs="Times New Roman"/>
          <w:sz w:val="22"/>
          <w:szCs w:val="22"/>
        </w:rPr>
        <w:t xml:space="preserve">feedback </w:t>
      </w:r>
      <w:r w:rsidR="00CD308B" w:rsidRPr="004F62EC">
        <w:rPr>
          <w:rFonts w:ascii="Times New Roman" w:hAnsi="Times New Roman" w:cs="Times New Roman"/>
          <w:sz w:val="22"/>
          <w:szCs w:val="22"/>
        </w:rPr>
        <w:t xml:space="preserve">disabled.  </w:t>
      </w:r>
    </w:p>
    <w:p w14:paraId="7279FD2F" w14:textId="2291B00A" w:rsidR="001833D8" w:rsidRPr="004F62EC" w:rsidRDefault="00DD2E73" w:rsidP="00DD2E73">
      <w:pPr>
        <w:pStyle w:val="ListParagraph"/>
        <w:numPr>
          <w:ilvl w:val="0"/>
          <w:numId w:val="31"/>
        </w:numPr>
        <w:spacing w:before="120" w:after="120"/>
        <w:ind w:firstLineChars="0"/>
        <w:jc w:val="both"/>
        <w:rPr>
          <w:rFonts w:ascii="Times New Roman" w:hAnsi="Times New Roman" w:cs="Times New Roman"/>
          <w:sz w:val="22"/>
          <w:szCs w:val="22"/>
        </w:rPr>
      </w:pPr>
      <w:r w:rsidRPr="004F62EC">
        <w:rPr>
          <w:rFonts w:ascii="Times New Roman" w:hAnsi="Times New Roman" w:cs="Times New Roman"/>
          <w:sz w:val="22"/>
          <w:szCs w:val="22"/>
        </w:rPr>
        <w:t xml:space="preserve">Case 3: </w:t>
      </w:r>
      <w:r w:rsidR="00CD308B" w:rsidRPr="004F62EC">
        <w:rPr>
          <w:rFonts w:ascii="Times New Roman" w:hAnsi="Times New Roman" w:cs="Times New Roman"/>
          <w:sz w:val="22"/>
          <w:szCs w:val="22"/>
        </w:rPr>
        <w:t xml:space="preserve">Both HARQ process are </w:t>
      </w:r>
      <w:r w:rsidR="00901F0B" w:rsidRPr="004F62EC">
        <w:rPr>
          <w:rFonts w:ascii="Times New Roman" w:hAnsi="Times New Roman" w:cs="Times New Roman"/>
          <w:sz w:val="22"/>
          <w:szCs w:val="22"/>
        </w:rPr>
        <w:t xml:space="preserve">feedback </w:t>
      </w:r>
      <w:r w:rsidR="00CD308B" w:rsidRPr="004F62EC">
        <w:rPr>
          <w:rFonts w:ascii="Times New Roman" w:hAnsi="Times New Roman" w:cs="Times New Roman"/>
          <w:sz w:val="22"/>
          <w:szCs w:val="22"/>
        </w:rPr>
        <w:t>disabled</w:t>
      </w:r>
      <w:r w:rsidR="00736D89" w:rsidRPr="004F62EC">
        <w:rPr>
          <w:rFonts w:ascii="Times New Roman" w:hAnsi="Times New Roman" w:cs="Times New Roman"/>
          <w:sz w:val="22"/>
          <w:szCs w:val="22"/>
        </w:rPr>
        <w:t>.</w:t>
      </w:r>
    </w:p>
    <w:p w14:paraId="0E57CF17" w14:textId="4D120D14" w:rsidR="00DD2E73" w:rsidRPr="004F62EC" w:rsidRDefault="00DD2E73" w:rsidP="001C4B45">
      <w:pPr>
        <w:spacing w:before="120" w:after="120"/>
        <w:jc w:val="both"/>
        <w:rPr>
          <w:rFonts w:eastAsia="宋体"/>
          <w:sz w:val="22"/>
          <w:szCs w:val="22"/>
          <w:lang w:eastAsia="zh-CN"/>
        </w:rPr>
      </w:pPr>
      <w:r w:rsidRPr="004F62EC">
        <w:rPr>
          <w:rFonts w:eastAsia="宋体"/>
          <w:sz w:val="22"/>
          <w:szCs w:val="22"/>
          <w:lang w:eastAsia="zh-CN"/>
        </w:rPr>
        <w:t xml:space="preserve">For case 1, as the UE is not expected to receive another PDSCH for a given HARQ prcess with feedback enabled </w:t>
      </w:r>
      <w:r w:rsidR="006664DC" w:rsidRPr="004F62EC">
        <w:rPr>
          <w:rFonts w:eastAsia="宋体"/>
          <w:sz w:val="22"/>
          <w:szCs w:val="22"/>
          <w:lang w:eastAsia="zh-CN"/>
        </w:rPr>
        <w:t xml:space="preserve">until after the end of the exptected transmission of HARQ-ACK for that HARQ process, the gNB </w:t>
      </w:r>
      <w:r w:rsidR="00C11E7D" w:rsidRPr="004F62EC">
        <w:rPr>
          <w:rFonts w:eastAsia="宋体"/>
          <w:sz w:val="22"/>
          <w:szCs w:val="22"/>
          <w:lang w:eastAsia="zh-CN"/>
        </w:rPr>
        <w:t>needs to</w:t>
      </w:r>
      <w:r w:rsidR="006664DC" w:rsidRPr="004F62EC">
        <w:rPr>
          <w:rFonts w:eastAsia="宋体"/>
          <w:sz w:val="22"/>
          <w:szCs w:val="22"/>
          <w:lang w:eastAsia="zh-CN"/>
        </w:rPr>
        <w:t xml:space="preserve"> configure large period for SPS PDSCH to compensate the large delay.</w:t>
      </w:r>
      <w:r w:rsidR="00C11E7D" w:rsidRPr="004F62EC">
        <w:rPr>
          <w:rFonts w:eastAsia="宋体"/>
          <w:sz w:val="22"/>
          <w:szCs w:val="22"/>
          <w:lang w:eastAsia="zh-CN"/>
        </w:rPr>
        <w:t xml:space="preserve"> When the round trip delay (RTD) between satelliete and UE are chan</w:t>
      </w:r>
      <w:r w:rsidR="0025709B" w:rsidRPr="004F62EC">
        <w:rPr>
          <w:rFonts w:eastAsia="宋体"/>
          <w:sz w:val="22"/>
          <w:szCs w:val="22"/>
          <w:lang w:eastAsia="zh-CN"/>
        </w:rPr>
        <w:t>g</w:t>
      </w:r>
      <w:r w:rsidR="00C11E7D" w:rsidRPr="004F62EC">
        <w:rPr>
          <w:rFonts w:eastAsia="宋体"/>
          <w:sz w:val="22"/>
          <w:szCs w:val="22"/>
          <w:lang w:eastAsia="zh-CN"/>
        </w:rPr>
        <w:t>ing with time, the SPS periodicity should be capable of compensating the largest RTD.</w:t>
      </w:r>
    </w:p>
    <w:p w14:paraId="6F91AD9F" w14:textId="73D02072" w:rsidR="006664DC" w:rsidRPr="004F62EC" w:rsidRDefault="006664DC" w:rsidP="001C4B45">
      <w:pPr>
        <w:spacing w:before="120" w:after="120"/>
        <w:jc w:val="both"/>
        <w:rPr>
          <w:rFonts w:eastAsia="宋体"/>
          <w:sz w:val="22"/>
          <w:szCs w:val="22"/>
          <w:lang w:eastAsia="zh-CN"/>
        </w:rPr>
      </w:pPr>
      <w:r w:rsidRPr="004F62EC">
        <w:rPr>
          <w:rFonts w:eastAsia="宋体" w:hint="eastAsia"/>
          <w:sz w:val="22"/>
          <w:szCs w:val="22"/>
          <w:lang w:eastAsia="zh-CN"/>
        </w:rPr>
        <w:t>F</w:t>
      </w:r>
      <w:r w:rsidRPr="004F62EC">
        <w:rPr>
          <w:rFonts w:eastAsia="宋体"/>
          <w:sz w:val="22"/>
          <w:szCs w:val="22"/>
          <w:lang w:eastAsia="zh-CN"/>
        </w:rPr>
        <w:t xml:space="preserve">or case 2, the </w:t>
      </w:r>
      <w:r w:rsidR="0025709B" w:rsidRPr="004F62EC">
        <w:rPr>
          <w:rFonts w:eastAsia="宋体"/>
          <w:sz w:val="22"/>
          <w:szCs w:val="22"/>
          <w:lang w:eastAsia="zh-CN"/>
        </w:rPr>
        <w:t>UE</w:t>
      </w:r>
      <w:r w:rsidRPr="004F62EC">
        <w:rPr>
          <w:rFonts w:eastAsia="宋体"/>
          <w:sz w:val="22"/>
          <w:szCs w:val="22"/>
          <w:lang w:eastAsia="zh-CN"/>
        </w:rPr>
        <w:t xml:space="preserve"> behavior of HARQ process with feedback enabled and feedback disabled are different. The UE is not expected to receive another PDSCH for a given HARQ prcess with feedback enabled until after the end of the exptected transmission of HARQ-ACK for that HARQ process, while the UE is not expected to receive another PDSCH for a given HARQ process with feedback disabled until after the end of the reception of the last PDSCH for that HARQ process. Therefore, the scheduling behavior may become confused to UE and </w:t>
      </w:r>
      <w:r w:rsidR="00736D89" w:rsidRPr="004F62EC">
        <w:rPr>
          <w:rFonts w:eastAsia="宋体"/>
          <w:sz w:val="22"/>
          <w:szCs w:val="22"/>
          <w:lang w:eastAsia="zh-CN"/>
        </w:rPr>
        <w:t>similar with case 1 the SPS periodicity should be large enough to compenaste the RTD.</w:t>
      </w:r>
    </w:p>
    <w:p w14:paraId="015C6A43" w14:textId="2670DD72" w:rsidR="001C4B45" w:rsidRPr="004F62EC" w:rsidRDefault="00736D89" w:rsidP="001C4B45">
      <w:pPr>
        <w:spacing w:before="120" w:after="120"/>
        <w:jc w:val="both"/>
        <w:rPr>
          <w:rFonts w:eastAsia="宋体"/>
          <w:sz w:val="22"/>
          <w:szCs w:val="22"/>
          <w:lang w:eastAsia="zh-CN"/>
        </w:rPr>
      </w:pPr>
      <w:r w:rsidRPr="004F62EC">
        <w:rPr>
          <w:rFonts w:eastAsia="宋体" w:hint="eastAsia"/>
          <w:sz w:val="22"/>
          <w:szCs w:val="22"/>
          <w:lang w:eastAsia="zh-CN"/>
        </w:rPr>
        <w:t>F</w:t>
      </w:r>
      <w:r w:rsidRPr="004F62EC">
        <w:rPr>
          <w:rFonts w:eastAsia="宋体"/>
          <w:sz w:val="22"/>
          <w:szCs w:val="22"/>
          <w:lang w:eastAsia="zh-CN"/>
        </w:rPr>
        <w:t xml:space="preserve">or case 3, the gNB can configure the SPS periodicity without considering the RTD as both HARQ processes are feedback disabled. However, the gNB will not receive any </w:t>
      </w:r>
      <w:r w:rsidRPr="004F62EC">
        <w:rPr>
          <w:sz w:val="22"/>
          <w:szCs w:val="22"/>
        </w:rPr>
        <w:t>feedback from UE during the whole SPS procedure.</w:t>
      </w:r>
      <w:r w:rsidR="008B065C" w:rsidRPr="004F62EC">
        <w:rPr>
          <w:rFonts w:eastAsia="宋体" w:hint="eastAsia"/>
          <w:sz w:val="22"/>
          <w:szCs w:val="22"/>
          <w:lang w:eastAsia="zh-CN"/>
        </w:rPr>
        <w:t xml:space="preserve"> </w:t>
      </w:r>
      <w:r w:rsidR="00534F08" w:rsidRPr="004F62EC">
        <w:rPr>
          <w:noProof w:val="0"/>
          <w:kern w:val="2"/>
          <w:sz w:val="22"/>
          <w:szCs w:val="22"/>
        </w:rPr>
        <w:t>In</w:t>
      </w:r>
      <w:r w:rsidR="001C4B45" w:rsidRPr="004F62EC">
        <w:rPr>
          <w:noProof w:val="0"/>
          <w:kern w:val="2"/>
          <w:sz w:val="22"/>
          <w:szCs w:val="22"/>
        </w:rPr>
        <w:t xml:space="preserve"> NR, </w:t>
      </w:r>
      <w:r w:rsidR="008B065C" w:rsidRPr="004F62EC">
        <w:rPr>
          <w:noProof w:val="0"/>
          <w:kern w:val="2"/>
          <w:sz w:val="22"/>
          <w:szCs w:val="22"/>
        </w:rPr>
        <w:t>w</w:t>
      </w:r>
      <w:r w:rsidR="001C4B45" w:rsidRPr="004F62EC">
        <w:rPr>
          <w:noProof w:val="0"/>
          <w:kern w:val="2"/>
          <w:sz w:val="22"/>
          <w:szCs w:val="22"/>
        </w:rPr>
        <w:t>hether the SPS PDSCH activation is received correctly is indicated implicitly by HARQ feedback</w:t>
      </w:r>
      <w:r w:rsidR="00CC7868" w:rsidRPr="004F62EC">
        <w:rPr>
          <w:noProof w:val="0"/>
          <w:kern w:val="2"/>
          <w:sz w:val="22"/>
          <w:szCs w:val="22"/>
        </w:rPr>
        <w:t xml:space="preserve"> for SPS PDSCH</w:t>
      </w:r>
      <w:r w:rsidR="008B065C" w:rsidRPr="004F62EC">
        <w:rPr>
          <w:noProof w:val="0"/>
          <w:kern w:val="2"/>
          <w:sz w:val="22"/>
          <w:szCs w:val="22"/>
        </w:rPr>
        <w:t xml:space="preserve">, while </w:t>
      </w:r>
      <w:r w:rsidR="00534F08" w:rsidRPr="004F62EC">
        <w:rPr>
          <w:noProof w:val="0"/>
          <w:kern w:val="2"/>
          <w:sz w:val="22"/>
          <w:szCs w:val="22"/>
        </w:rPr>
        <w:t>t</w:t>
      </w:r>
      <w:r w:rsidR="00DF395C" w:rsidRPr="004F62EC">
        <w:rPr>
          <w:noProof w:val="0"/>
          <w:kern w:val="2"/>
          <w:sz w:val="22"/>
          <w:szCs w:val="22"/>
        </w:rPr>
        <w:t xml:space="preserve">he gNB cannot know whether the activation is received based on HARQ feedback for </w:t>
      </w:r>
      <w:r w:rsidR="621386B9" w:rsidRPr="004F62EC">
        <w:rPr>
          <w:noProof w:val="0"/>
          <w:kern w:val="2"/>
          <w:sz w:val="22"/>
          <w:szCs w:val="22"/>
        </w:rPr>
        <w:t xml:space="preserve">any </w:t>
      </w:r>
      <w:r w:rsidR="00DF395C" w:rsidRPr="004F62EC">
        <w:rPr>
          <w:noProof w:val="0"/>
          <w:kern w:val="2"/>
          <w:sz w:val="22"/>
          <w:szCs w:val="22"/>
        </w:rPr>
        <w:t>SPS PDSCH</w:t>
      </w:r>
      <w:r w:rsidR="00534F08" w:rsidRPr="004F62EC">
        <w:rPr>
          <w:noProof w:val="0"/>
          <w:kern w:val="2"/>
          <w:sz w:val="22"/>
          <w:szCs w:val="22"/>
        </w:rPr>
        <w:t xml:space="preserve"> </w:t>
      </w:r>
      <w:r w:rsidR="348FDF6E" w:rsidRPr="004F62EC">
        <w:rPr>
          <w:noProof w:val="0"/>
          <w:kern w:val="2"/>
          <w:sz w:val="22"/>
          <w:szCs w:val="22"/>
        </w:rPr>
        <w:t xml:space="preserve">for which </w:t>
      </w:r>
      <w:r w:rsidR="00534F08" w:rsidRPr="004F62EC">
        <w:rPr>
          <w:noProof w:val="0"/>
          <w:kern w:val="2"/>
          <w:sz w:val="22"/>
          <w:szCs w:val="22"/>
        </w:rPr>
        <w:t xml:space="preserve">HARQ feedback </w:t>
      </w:r>
      <w:r w:rsidR="521A9852" w:rsidRPr="004F62EC">
        <w:rPr>
          <w:noProof w:val="0"/>
          <w:kern w:val="2"/>
          <w:sz w:val="22"/>
          <w:szCs w:val="22"/>
        </w:rPr>
        <w:t xml:space="preserve">is </w:t>
      </w:r>
      <w:r w:rsidR="00534F08" w:rsidRPr="004F62EC">
        <w:rPr>
          <w:noProof w:val="0"/>
          <w:kern w:val="2"/>
          <w:sz w:val="22"/>
          <w:szCs w:val="22"/>
        </w:rPr>
        <w:t>disabled</w:t>
      </w:r>
      <w:r w:rsidR="00DF395C" w:rsidRPr="004F62EC">
        <w:rPr>
          <w:noProof w:val="0"/>
          <w:kern w:val="2"/>
          <w:sz w:val="22"/>
          <w:szCs w:val="22"/>
        </w:rPr>
        <w:t xml:space="preserve">. </w:t>
      </w:r>
      <w:r w:rsidR="00534F08" w:rsidRPr="004F62EC">
        <w:rPr>
          <w:noProof w:val="0"/>
          <w:kern w:val="2"/>
          <w:sz w:val="22"/>
          <w:szCs w:val="22"/>
        </w:rPr>
        <w:t>In that sense</w:t>
      </w:r>
      <w:r w:rsidR="00DF395C" w:rsidRPr="004F62EC">
        <w:rPr>
          <w:noProof w:val="0"/>
          <w:kern w:val="2"/>
          <w:sz w:val="22"/>
          <w:szCs w:val="22"/>
        </w:rPr>
        <w:t xml:space="preserve">, </w:t>
      </w:r>
      <w:r w:rsidR="001C4B45" w:rsidRPr="004F62EC">
        <w:rPr>
          <w:noProof w:val="0"/>
          <w:kern w:val="2"/>
          <w:sz w:val="22"/>
          <w:szCs w:val="22"/>
        </w:rPr>
        <w:t xml:space="preserve">it is beneficial for </w:t>
      </w:r>
      <w:r w:rsidR="48EA1DBB" w:rsidRPr="004F62EC">
        <w:rPr>
          <w:noProof w:val="0"/>
          <w:kern w:val="2"/>
          <w:sz w:val="22"/>
          <w:szCs w:val="22"/>
        </w:rPr>
        <w:t xml:space="preserve">the </w:t>
      </w:r>
      <w:r w:rsidR="001C4B45" w:rsidRPr="004F62EC">
        <w:rPr>
          <w:noProof w:val="0"/>
          <w:kern w:val="2"/>
          <w:sz w:val="22"/>
          <w:szCs w:val="22"/>
        </w:rPr>
        <w:t xml:space="preserve">UE to feedback </w:t>
      </w:r>
      <w:r w:rsidR="00DF395C" w:rsidRPr="004F62EC">
        <w:rPr>
          <w:noProof w:val="0"/>
          <w:kern w:val="2"/>
          <w:sz w:val="22"/>
          <w:szCs w:val="22"/>
        </w:rPr>
        <w:t>for</w:t>
      </w:r>
      <w:r w:rsidR="001C4B45" w:rsidRPr="004F62EC">
        <w:rPr>
          <w:noProof w:val="0"/>
          <w:kern w:val="2"/>
          <w:sz w:val="22"/>
          <w:szCs w:val="22"/>
        </w:rPr>
        <w:t xml:space="preserve"> the SPS PDSCH activation to ensure the reliability of SPS PDSCH transmission.</w:t>
      </w:r>
      <w:r w:rsidR="00E27D1E" w:rsidRPr="004F62EC">
        <w:rPr>
          <w:noProof w:val="0"/>
          <w:kern w:val="2"/>
          <w:sz w:val="22"/>
          <w:szCs w:val="22"/>
        </w:rPr>
        <w:t xml:space="preserve"> And the counter DAI and total DAI field should be incremented with PDCCH for PDSCH scheduling or PDCCH indicating SPS PDSCH release or PDCCH indicating SPS PDSCH activation for HARQ process with HARQ feedback disabling.</w:t>
      </w:r>
    </w:p>
    <w:p w14:paraId="35E6343C" w14:textId="093D0DB3" w:rsidR="001C4B45" w:rsidRPr="004F62EC" w:rsidRDefault="001C4B45" w:rsidP="1429F515">
      <w:pPr>
        <w:jc w:val="both"/>
        <w:rPr>
          <w:b/>
          <w:bCs/>
          <w:noProof w:val="0"/>
          <w:kern w:val="2"/>
          <w:sz w:val="22"/>
          <w:szCs w:val="22"/>
        </w:rPr>
      </w:pPr>
      <w:r w:rsidRPr="004F62EC">
        <w:rPr>
          <w:rFonts w:eastAsia="宋体"/>
          <w:b/>
          <w:bCs/>
          <w:noProof w:val="0"/>
          <w:kern w:val="2"/>
          <w:sz w:val="22"/>
          <w:szCs w:val="22"/>
          <w:lang w:eastAsia="zh-CN"/>
        </w:rPr>
        <w:t>Proposal</w:t>
      </w:r>
      <w:r w:rsidR="00A773E3" w:rsidRPr="004F62EC">
        <w:rPr>
          <w:rFonts w:eastAsia="宋体"/>
          <w:b/>
          <w:bCs/>
          <w:noProof w:val="0"/>
          <w:kern w:val="2"/>
          <w:sz w:val="22"/>
          <w:szCs w:val="22"/>
          <w:lang w:eastAsia="zh-CN"/>
        </w:rPr>
        <w:t xml:space="preserve"> </w:t>
      </w:r>
      <w:r w:rsidR="0025709B" w:rsidRPr="004F62EC">
        <w:rPr>
          <w:rFonts w:eastAsia="宋体"/>
          <w:b/>
          <w:bCs/>
          <w:noProof w:val="0"/>
          <w:kern w:val="2"/>
          <w:sz w:val="22"/>
          <w:szCs w:val="22"/>
          <w:lang w:eastAsia="zh-CN"/>
        </w:rPr>
        <w:t>4</w:t>
      </w:r>
      <w:r w:rsidRPr="004F62EC">
        <w:rPr>
          <w:rFonts w:eastAsia="宋体"/>
          <w:b/>
          <w:bCs/>
          <w:noProof w:val="0"/>
          <w:kern w:val="2"/>
          <w:sz w:val="22"/>
          <w:szCs w:val="22"/>
          <w:lang w:eastAsia="zh-CN"/>
        </w:rPr>
        <w:t xml:space="preserve">: </w:t>
      </w:r>
      <w:r w:rsidR="00DF395C" w:rsidRPr="00FB173F">
        <w:rPr>
          <w:rFonts w:eastAsia="宋体"/>
          <w:b/>
          <w:bCs/>
          <w:noProof w:val="0"/>
          <w:kern w:val="2"/>
          <w:sz w:val="22"/>
          <w:szCs w:val="22"/>
          <w:lang w:eastAsia="zh-CN"/>
        </w:rPr>
        <w:t>UE</w:t>
      </w:r>
      <w:r w:rsidR="0D05429F" w:rsidRPr="00FB173F">
        <w:rPr>
          <w:rFonts w:eastAsia="宋体"/>
          <w:b/>
          <w:bCs/>
          <w:noProof w:val="0"/>
          <w:kern w:val="2"/>
          <w:sz w:val="22"/>
          <w:szCs w:val="22"/>
          <w:lang w:eastAsia="zh-CN"/>
        </w:rPr>
        <w:t xml:space="preserve"> </w:t>
      </w:r>
      <w:r w:rsidR="00DF395C" w:rsidRPr="00FB173F">
        <w:rPr>
          <w:rFonts w:eastAsia="宋体"/>
          <w:b/>
          <w:bCs/>
          <w:noProof w:val="0"/>
          <w:kern w:val="2"/>
          <w:sz w:val="22"/>
          <w:szCs w:val="22"/>
          <w:lang w:eastAsia="zh-CN"/>
        </w:rPr>
        <w:t>report</w:t>
      </w:r>
      <w:r w:rsidR="00CD6C6B" w:rsidRPr="00FB173F">
        <w:rPr>
          <w:rFonts w:eastAsia="宋体"/>
          <w:b/>
          <w:bCs/>
          <w:noProof w:val="0"/>
          <w:kern w:val="2"/>
          <w:sz w:val="22"/>
          <w:szCs w:val="22"/>
          <w:lang w:eastAsia="zh-CN"/>
        </w:rPr>
        <w:t>s</w:t>
      </w:r>
      <w:r w:rsidR="00DF395C" w:rsidRPr="00FB173F">
        <w:rPr>
          <w:rFonts w:eastAsia="宋体"/>
          <w:b/>
          <w:bCs/>
          <w:noProof w:val="0"/>
          <w:kern w:val="2"/>
          <w:sz w:val="22"/>
          <w:szCs w:val="22"/>
          <w:lang w:eastAsia="zh-CN"/>
        </w:rPr>
        <w:t xml:space="preserve"> HARQ feedback information for the SPS PDSCH activation</w:t>
      </w:r>
      <w:r w:rsidR="00144F18" w:rsidRPr="00FB173F">
        <w:rPr>
          <w:rFonts w:eastAsia="宋体"/>
          <w:b/>
          <w:bCs/>
          <w:noProof w:val="0"/>
          <w:kern w:val="2"/>
          <w:sz w:val="22"/>
          <w:szCs w:val="22"/>
          <w:lang w:eastAsia="zh-CN"/>
        </w:rPr>
        <w:t xml:space="preserve"> when the related SPS PDSCH is HARQ feedback disabled</w:t>
      </w:r>
      <w:r w:rsidR="00DF395C" w:rsidRPr="004F62EC">
        <w:rPr>
          <w:b/>
          <w:bCs/>
          <w:noProof w:val="0"/>
          <w:kern w:val="2"/>
          <w:sz w:val="22"/>
          <w:szCs w:val="22"/>
        </w:rPr>
        <w:t>.</w:t>
      </w:r>
      <w:r w:rsidRPr="004F62EC">
        <w:rPr>
          <w:b/>
          <w:bCs/>
          <w:noProof w:val="0"/>
          <w:kern w:val="2"/>
          <w:sz w:val="22"/>
          <w:szCs w:val="22"/>
        </w:rPr>
        <w:t xml:space="preserve"> </w:t>
      </w:r>
    </w:p>
    <w:p w14:paraId="2932B94C" w14:textId="5FC7E86D" w:rsidR="00E27D1E" w:rsidRDefault="00E27D1E" w:rsidP="1429F515">
      <w:pPr>
        <w:jc w:val="both"/>
        <w:rPr>
          <w:rFonts w:eastAsia="宋体"/>
          <w:b/>
          <w:bCs/>
          <w:noProof w:val="0"/>
          <w:kern w:val="2"/>
          <w:sz w:val="22"/>
          <w:szCs w:val="22"/>
          <w:lang w:eastAsia="zh-CN"/>
        </w:rPr>
      </w:pPr>
      <w:r w:rsidRPr="004F62EC">
        <w:rPr>
          <w:rFonts w:eastAsia="宋体" w:hint="eastAsia"/>
          <w:b/>
          <w:bCs/>
          <w:noProof w:val="0"/>
          <w:kern w:val="2"/>
          <w:sz w:val="22"/>
          <w:szCs w:val="22"/>
          <w:lang w:eastAsia="zh-CN"/>
        </w:rPr>
        <w:lastRenderedPageBreak/>
        <w:t>P</w:t>
      </w:r>
      <w:r w:rsidRPr="004F62EC">
        <w:rPr>
          <w:rFonts w:eastAsia="宋体"/>
          <w:b/>
          <w:bCs/>
          <w:noProof w:val="0"/>
          <w:kern w:val="2"/>
          <w:sz w:val="22"/>
          <w:szCs w:val="22"/>
          <w:lang w:eastAsia="zh-CN"/>
        </w:rPr>
        <w:t xml:space="preserve">roposal </w:t>
      </w:r>
      <w:r w:rsidR="0025709B" w:rsidRPr="004F62EC">
        <w:rPr>
          <w:rFonts w:eastAsia="宋体"/>
          <w:b/>
          <w:bCs/>
          <w:noProof w:val="0"/>
          <w:kern w:val="2"/>
          <w:sz w:val="22"/>
          <w:szCs w:val="22"/>
          <w:lang w:eastAsia="zh-CN"/>
        </w:rPr>
        <w:t>5</w:t>
      </w:r>
      <w:r w:rsidRPr="004F62EC">
        <w:rPr>
          <w:rFonts w:eastAsia="宋体"/>
          <w:b/>
          <w:bCs/>
          <w:noProof w:val="0"/>
          <w:kern w:val="2"/>
          <w:sz w:val="22"/>
          <w:szCs w:val="22"/>
          <w:lang w:eastAsia="zh-CN"/>
        </w:rPr>
        <w:t>: The counter DAI</w:t>
      </w:r>
      <w:r w:rsidR="00F626BE" w:rsidRPr="004F62EC">
        <w:rPr>
          <w:rFonts w:eastAsia="宋体"/>
          <w:b/>
          <w:bCs/>
          <w:noProof w:val="0"/>
          <w:kern w:val="2"/>
          <w:sz w:val="22"/>
          <w:szCs w:val="22"/>
          <w:lang w:eastAsia="zh-CN"/>
        </w:rPr>
        <w:t>,</w:t>
      </w:r>
      <w:r w:rsidRPr="004F62EC">
        <w:rPr>
          <w:rFonts w:eastAsia="宋体"/>
          <w:b/>
          <w:bCs/>
          <w:noProof w:val="0"/>
          <w:kern w:val="2"/>
          <w:sz w:val="22"/>
          <w:szCs w:val="22"/>
          <w:lang w:eastAsia="zh-CN"/>
        </w:rPr>
        <w:t xml:space="preserve"> total DAI </w:t>
      </w:r>
      <w:r w:rsidR="00F626BE" w:rsidRPr="004F62EC">
        <w:rPr>
          <w:rFonts w:eastAsia="宋体"/>
          <w:b/>
          <w:bCs/>
          <w:noProof w:val="0"/>
          <w:kern w:val="2"/>
          <w:sz w:val="22"/>
          <w:szCs w:val="22"/>
          <w:lang w:eastAsia="zh-CN"/>
        </w:rPr>
        <w:t xml:space="preserve">and DAI in DCI format 0_1 count for </w:t>
      </w:r>
      <w:r w:rsidRPr="004F62EC">
        <w:rPr>
          <w:rFonts w:eastAsia="宋体"/>
          <w:b/>
          <w:bCs/>
          <w:noProof w:val="0"/>
          <w:kern w:val="2"/>
          <w:sz w:val="22"/>
          <w:szCs w:val="22"/>
          <w:lang w:eastAsia="zh-CN"/>
        </w:rPr>
        <w:t xml:space="preserve">PDCCH indicating SPS PDSCH activation </w:t>
      </w:r>
      <w:r w:rsidR="00144F18">
        <w:rPr>
          <w:rFonts w:eastAsia="宋体"/>
          <w:b/>
          <w:bCs/>
          <w:noProof w:val="0"/>
          <w:kern w:val="2"/>
          <w:sz w:val="22"/>
          <w:szCs w:val="22"/>
          <w:lang w:eastAsia="zh-CN"/>
        </w:rPr>
        <w:t xml:space="preserve">when the related SPS </w:t>
      </w:r>
      <w:r w:rsidR="00144F18" w:rsidRPr="00FB173F">
        <w:rPr>
          <w:rFonts w:eastAsia="宋体"/>
          <w:b/>
          <w:bCs/>
          <w:noProof w:val="0"/>
          <w:kern w:val="2"/>
          <w:sz w:val="22"/>
          <w:szCs w:val="22"/>
          <w:lang w:eastAsia="zh-CN"/>
        </w:rPr>
        <w:t>PDSCH is HARQ feedback disabled</w:t>
      </w:r>
      <w:r w:rsidRPr="004F62EC">
        <w:rPr>
          <w:rFonts w:eastAsia="宋体"/>
          <w:b/>
          <w:bCs/>
          <w:noProof w:val="0"/>
          <w:kern w:val="2"/>
          <w:sz w:val="22"/>
          <w:szCs w:val="22"/>
          <w:lang w:eastAsia="zh-CN"/>
        </w:rPr>
        <w:t>.</w:t>
      </w:r>
    </w:p>
    <w:p w14:paraId="0172B38E" w14:textId="45089F4C" w:rsidR="00144F18" w:rsidRDefault="00144F18" w:rsidP="00FB173F">
      <w:pPr>
        <w:snapToGrid w:val="0"/>
        <w:spacing w:before="120" w:after="120"/>
        <w:jc w:val="both"/>
        <w:rPr>
          <w:rFonts w:eastAsia="宋体"/>
          <w:b/>
          <w:bCs/>
          <w:noProof w:val="0"/>
          <w:kern w:val="2"/>
          <w:sz w:val="22"/>
          <w:szCs w:val="22"/>
          <w:lang w:eastAsia="zh-CN"/>
        </w:rPr>
      </w:pPr>
      <w:r>
        <w:rPr>
          <w:rFonts w:eastAsia="宋体"/>
          <w:b/>
          <w:bCs/>
          <w:noProof w:val="0"/>
          <w:kern w:val="2"/>
          <w:sz w:val="22"/>
          <w:szCs w:val="22"/>
          <w:lang w:eastAsia="zh-CN"/>
        </w:rPr>
        <w:t>Proposal 6: The UE reports HARQ feedback information for the SPS PDSCH release, either the related SPS PDSCH is HARQ feedback disabled or enabled.</w:t>
      </w:r>
    </w:p>
    <w:p w14:paraId="76D404DE" w14:textId="5EE2542C" w:rsidR="00620DE7" w:rsidRPr="00620DE7" w:rsidRDefault="00620DE7" w:rsidP="00FB173F">
      <w:pPr>
        <w:snapToGrid w:val="0"/>
        <w:spacing w:before="120" w:after="120"/>
        <w:jc w:val="both"/>
        <w:rPr>
          <w:rFonts w:eastAsia="宋体"/>
          <w:b/>
          <w:bCs/>
          <w:noProof w:val="0"/>
          <w:kern w:val="2"/>
          <w:sz w:val="22"/>
          <w:szCs w:val="22"/>
          <w:lang w:eastAsia="zh-CN"/>
        </w:rPr>
      </w:pPr>
      <w:r>
        <w:rPr>
          <w:rFonts w:eastAsia="宋体"/>
          <w:b/>
          <w:bCs/>
          <w:noProof w:val="0"/>
          <w:kern w:val="2"/>
          <w:sz w:val="22"/>
          <w:szCs w:val="22"/>
          <w:lang w:eastAsia="zh-CN"/>
        </w:rPr>
        <w:t xml:space="preserve">Proposal 7: </w:t>
      </w:r>
      <w:r w:rsidRPr="004F62EC">
        <w:rPr>
          <w:rFonts w:eastAsia="宋体"/>
          <w:b/>
          <w:bCs/>
          <w:noProof w:val="0"/>
          <w:kern w:val="2"/>
          <w:sz w:val="22"/>
          <w:szCs w:val="22"/>
          <w:lang w:eastAsia="zh-CN"/>
        </w:rPr>
        <w:t xml:space="preserve">The counter DAI, total DAI and DAI in DCI format 0_1 count for PDCCH indicating SPS PDSCH </w:t>
      </w:r>
      <w:r>
        <w:rPr>
          <w:rFonts w:eastAsia="宋体"/>
          <w:b/>
          <w:bCs/>
          <w:noProof w:val="0"/>
          <w:kern w:val="2"/>
          <w:sz w:val="22"/>
          <w:szCs w:val="22"/>
          <w:lang w:eastAsia="zh-CN"/>
        </w:rPr>
        <w:t>release, either the related SPS PDSCH is HARQ feedback disabled or enabled.</w:t>
      </w:r>
      <w:r w:rsidRPr="004F62EC">
        <w:rPr>
          <w:rFonts w:eastAsia="宋体"/>
          <w:b/>
          <w:bCs/>
          <w:noProof w:val="0"/>
          <w:kern w:val="2"/>
          <w:sz w:val="22"/>
          <w:szCs w:val="22"/>
          <w:lang w:eastAsia="zh-CN"/>
        </w:rPr>
        <w:t xml:space="preserve"> </w:t>
      </w:r>
    </w:p>
    <w:p w14:paraId="3FAA93C2" w14:textId="2A28160A" w:rsidR="00DC4451" w:rsidRPr="004F62EC" w:rsidRDefault="00DC4451" w:rsidP="0036768F">
      <w:pPr>
        <w:pStyle w:val="Heading1"/>
        <w:numPr>
          <w:ilvl w:val="0"/>
          <w:numId w:val="12"/>
        </w:numPr>
      </w:pPr>
      <w:r w:rsidRPr="004F62EC">
        <w:t>Summary</w:t>
      </w:r>
    </w:p>
    <w:p w14:paraId="19DB3711" w14:textId="2BC41452" w:rsidR="0052098E" w:rsidRDefault="004B5D0A" w:rsidP="0027292C">
      <w:pPr>
        <w:snapToGrid w:val="0"/>
        <w:spacing w:before="120" w:after="120"/>
        <w:jc w:val="both"/>
        <w:rPr>
          <w:rFonts w:eastAsia="MS Mincho"/>
          <w:noProof w:val="0"/>
          <w:sz w:val="22"/>
          <w:szCs w:val="22"/>
          <w:lang w:eastAsia="ja-JP"/>
        </w:rPr>
      </w:pPr>
      <w:r w:rsidRPr="004F62EC">
        <w:rPr>
          <w:rFonts w:eastAsia="MS Mincho"/>
          <w:noProof w:val="0"/>
          <w:sz w:val="22"/>
          <w:szCs w:val="22"/>
          <w:lang w:eastAsia="ja-JP"/>
        </w:rPr>
        <w:t xml:space="preserve">In this contribution, we provide </w:t>
      </w:r>
      <w:r w:rsidR="001B7451" w:rsidRPr="004F62EC">
        <w:rPr>
          <w:rFonts w:eastAsia="MS Mincho"/>
          <w:noProof w:val="0"/>
          <w:sz w:val="22"/>
          <w:szCs w:val="22"/>
          <w:lang w:eastAsia="ja-JP"/>
        </w:rPr>
        <w:t>considerations on more</w:t>
      </w:r>
      <w:r w:rsidRPr="004F62EC">
        <w:rPr>
          <w:rFonts w:eastAsia="MS Mincho"/>
          <w:noProof w:val="0"/>
          <w:sz w:val="22"/>
          <w:szCs w:val="22"/>
          <w:lang w:eastAsia="ja-JP"/>
        </w:rPr>
        <w:t xml:space="preserve"> </w:t>
      </w:r>
      <w:r w:rsidR="001B7451" w:rsidRPr="004F62EC">
        <w:rPr>
          <w:rFonts w:eastAsia="MS Mincho"/>
          <w:noProof w:val="0"/>
          <w:sz w:val="22"/>
          <w:szCs w:val="22"/>
          <w:lang w:eastAsia="ja-JP"/>
        </w:rPr>
        <w:t>delay</w:t>
      </w:r>
      <w:r w:rsidR="00B506B2" w:rsidRPr="004F62EC">
        <w:rPr>
          <w:rFonts w:eastAsia="MS Mincho"/>
          <w:noProof w:val="0"/>
          <w:sz w:val="22"/>
          <w:szCs w:val="22"/>
          <w:lang w:eastAsia="ja-JP"/>
        </w:rPr>
        <w:t xml:space="preserve"> </w:t>
      </w:r>
      <w:r w:rsidR="001B7451" w:rsidRPr="004F62EC">
        <w:rPr>
          <w:rFonts w:eastAsia="MS Mincho"/>
          <w:noProof w:val="0"/>
          <w:sz w:val="22"/>
          <w:szCs w:val="22"/>
          <w:lang w:eastAsia="ja-JP"/>
        </w:rPr>
        <w:t>tolerant HARQ for NTN</w:t>
      </w:r>
      <w:r w:rsidRPr="004F62EC">
        <w:rPr>
          <w:rFonts w:eastAsia="MS Mincho"/>
          <w:noProof w:val="0"/>
          <w:sz w:val="22"/>
          <w:szCs w:val="22"/>
          <w:lang w:eastAsia="ja-JP"/>
        </w:rPr>
        <w:t xml:space="preserve">. Following is our </w:t>
      </w:r>
      <w:r w:rsidR="003C15DE" w:rsidRPr="004F62EC">
        <w:rPr>
          <w:rFonts w:eastAsia="MS Mincho"/>
          <w:noProof w:val="0"/>
          <w:sz w:val="22"/>
          <w:szCs w:val="22"/>
          <w:lang w:eastAsia="ja-JP"/>
        </w:rPr>
        <w:t xml:space="preserve">proposal: </w:t>
      </w:r>
    </w:p>
    <w:p w14:paraId="4ED9FD76" w14:textId="77777777" w:rsidR="004E53AE" w:rsidRPr="004F62EC" w:rsidRDefault="004E53AE" w:rsidP="004E53AE">
      <w:pPr>
        <w:snapToGrid w:val="0"/>
        <w:spacing w:before="120" w:after="120"/>
        <w:jc w:val="both"/>
        <w:rPr>
          <w:b/>
          <w:noProof w:val="0"/>
          <w:kern w:val="2"/>
          <w:sz w:val="22"/>
          <w:szCs w:val="22"/>
        </w:rPr>
      </w:pPr>
      <w:r w:rsidRPr="004F62EC">
        <w:rPr>
          <w:b/>
          <w:noProof w:val="0"/>
          <w:kern w:val="2"/>
          <w:sz w:val="22"/>
          <w:szCs w:val="22"/>
        </w:rPr>
        <w:t xml:space="preserve">Observation </w:t>
      </w:r>
      <w:r w:rsidRPr="004F62EC">
        <w:rPr>
          <w:rFonts w:eastAsia="宋体"/>
          <w:b/>
          <w:noProof w:val="0"/>
          <w:kern w:val="2"/>
          <w:sz w:val="22"/>
          <w:szCs w:val="22"/>
          <w:lang w:eastAsia="zh-CN"/>
        </w:rPr>
        <w:t>1</w:t>
      </w:r>
      <w:r w:rsidRPr="004F62EC">
        <w:rPr>
          <w:b/>
          <w:noProof w:val="0"/>
          <w:kern w:val="2"/>
          <w:sz w:val="22"/>
          <w:szCs w:val="22"/>
        </w:rPr>
        <w:t>:</w:t>
      </w:r>
      <w:r w:rsidRPr="004F62EC">
        <w:rPr>
          <w:b/>
          <w:sz w:val="22"/>
          <w:szCs w:val="22"/>
        </w:rPr>
        <w:t xml:space="preserve"> When HARQ feedback is disabled for some HARQ processes,</w:t>
      </w:r>
      <w:r w:rsidRPr="004F62EC">
        <w:rPr>
          <w:b/>
          <w:noProof w:val="0"/>
          <w:kern w:val="2"/>
          <w:sz w:val="22"/>
          <w:szCs w:val="22"/>
        </w:rPr>
        <w:t xml:space="preserve"> the redundant feedback bits of Type-1 / semi-static HARQ-ACK codebook would be large based on current HARQ-ACK codebook design</w:t>
      </w:r>
    </w:p>
    <w:p w14:paraId="5C5548E2" w14:textId="77777777" w:rsidR="004E53AE" w:rsidRDefault="004E53AE" w:rsidP="004E53AE">
      <w:pPr>
        <w:snapToGrid w:val="0"/>
        <w:spacing w:before="120" w:after="120"/>
        <w:jc w:val="both"/>
        <w:rPr>
          <w:b/>
          <w:noProof w:val="0"/>
          <w:kern w:val="2"/>
          <w:sz w:val="22"/>
          <w:szCs w:val="22"/>
        </w:rPr>
      </w:pPr>
    </w:p>
    <w:p w14:paraId="744B606A" w14:textId="43422A15" w:rsidR="004E53AE" w:rsidRPr="004F62EC" w:rsidRDefault="004E53AE" w:rsidP="004E53AE">
      <w:pPr>
        <w:snapToGrid w:val="0"/>
        <w:spacing w:before="120" w:after="120"/>
        <w:jc w:val="both"/>
        <w:rPr>
          <w:b/>
          <w:noProof w:val="0"/>
          <w:kern w:val="2"/>
          <w:sz w:val="22"/>
          <w:szCs w:val="22"/>
        </w:rPr>
      </w:pPr>
      <w:r w:rsidRPr="004F62EC">
        <w:rPr>
          <w:b/>
          <w:noProof w:val="0"/>
          <w:kern w:val="2"/>
          <w:sz w:val="22"/>
          <w:szCs w:val="22"/>
        </w:rPr>
        <w:t>Proposal 1: Unified solution of HARQ process indication for all DCI formats, down select from following options:</w:t>
      </w:r>
    </w:p>
    <w:p w14:paraId="0ABEBDD8" w14:textId="77777777" w:rsidR="004E53AE" w:rsidRPr="004F62EC" w:rsidRDefault="004E53AE" w:rsidP="004E53AE">
      <w:pPr>
        <w:pStyle w:val="ListParagraph"/>
        <w:numPr>
          <w:ilvl w:val="0"/>
          <w:numId w:val="24"/>
        </w:numPr>
        <w:snapToGrid w:val="0"/>
        <w:spacing w:before="120" w:after="120"/>
        <w:ind w:firstLineChars="0"/>
        <w:jc w:val="both"/>
        <w:rPr>
          <w:rFonts w:ascii="Times New Roman" w:eastAsia="MS Gothic" w:hAnsi="Times New Roman" w:cs="Times New Roman"/>
          <w:b/>
          <w:noProof w:val="0"/>
          <w:kern w:val="2"/>
          <w:sz w:val="22"/>
          <w:szCs w:val="22"/>
          <w:lang w:eastAsia="en-US"/>
        </w:rPr>
      </w:pPr>
      <w:r w:rsidRPr="004F62EC">
        <w:rPr>
          <w:rFonts w:ascii="Times New Roman" w:eastAsia="MS Gothic" w:hAnsi="Times New Roman" w:cs="Times New Roman"/>
          <w:b/>
          <w:noProof w:val="0"/>
          <w:kern w:val="2"/>
          <w:sz w:val="22"/>
          <w:szCs w:val="22"/>
          <w:lang w:eastAsia="en-US"/>
        </w:rPr>
        <w:t>Option 1: Slot index as the MSB</w:t>
      </w:r>
    </w:p>
    <w:p w14:paraId="1C4C5CB1" w14:textId="22E4855D" w:rsidR="004E53AE" w:rsidRPr="004E53AE" w:rsidRDefault="004E53AE" w:rsidP="0027292C">
      <w:pPr>
        <w:pStyle w:val="ListParagraph"/>
        <w:numPr>
          <w:ilvl w:val="0"/>
          <w:numId w:val="24"/>
        </w:numPr>
        <w:snapToGrid w:val="0"/>
        <w:spacing w:before="120" w:after="120"/>
        <w:ind w:firstLineChars="0"/>
        <w:jc w:val="both"/>
        <w:rPr>
          <w:rFonts w:ascii="Times New Roman" w:eastAsia="MS Gothic" w:hAnsi="Times New Roman" w:cs="Times New Roman"/>
          <w:b/>
          <w:noProof w:val="0"/>
          <w:kern w:val="2"/>
          <w:sz w:val="22"/>
          <w:szCs w:val="22"/>
          <w:lang w:eastAsia="en-US"/>
        </w:rPr>
      </w:pPr>
      <w:r w:rsidRPr="004F62EC">
        <w:rPr>
          <w:rFonts w:ascii="Times New Roman" w:eastAsia="MS Gothic" w:hAnsi="Times New Roman" w:cs="Times New Roman"/>
          <w:b/>
          <w:noProof w:val="0"/>
          <w:kern w:val="2"/>
          <w:sz w:val="22"/>
          <w:szCs w:val="22"/>
          <w:lang w:eastAsia="en-US"/>
        </w:rPr>
        <w:t xml:space="preserve">Option 1-a: Slot index as the LSB </w:t>
      </w:r>
    </w:p>
    <w:p w14:paraId="5F270CE3" w14:textId="77777777" w:rsidR="004E53AE" w:rsidRPr="004E53AE" w:rsidRDefault="004E53AE" w:rsidP="004E53AE">
      <w:pPr>
        <w:snapToGrid w:val="0"/>
        <w:spacing w:before="120" w:after="120"/>
        <w:jc w:val="both"/>
        <w:rPr>
          <w:rFonts w:eastAsia="宋体"/>
          <w:b/>
          <w:noProof w:val="0"/>
          <w:kern w:val="2"/>
          <w:sz w:val="22"/>
          <w:szCs w:val="22"/>
          <w:lang w:eastAsia="zh-CN"/>
        </w:rPr>
      </w:pPr>
      <w:r>
        <w:rPr>
          <w:rFonts w:eastAsia="宋体" w:hint="eastAsia"/>
          <w:b/>
          <w:noProof w:val="0"/>
          <w:kern w:val="2"/>
          <w:sz w:val="22"/>
          <w:szCs w:val="22"/>
          <w:lang w:eastAsia="zh-CN"/>
        </w:rPr>
        <w:t>P</w:t>
      </w:r>
      <w:r>
        <w:rPr>
          <w:rFonts w:eastAsia="宋体"/>
          <w:b/>
          <w:noProof w:val="0"/>
          <w:kern w:val="2"/>
          <w:sz w:val="22"/>
          <w:szCs w:val="22"/>
          <w:lang w:eastAsia="zh-CN"/>
        </w:rPr>
        <w:t xml:space="preserve">roposal 2: </w:t>
      </w:r>
      <w:r w:rsidRPr="00BA747F">
        <w:rPr>
          <w:rFonts w:eastAsia="宋体"/>
          <w:b/>
          <w:noProof w:val="0"/>
          <w:kern w:val="2"/>
          <w:sz w:val="22"/>
          <w:szCs w:val="22"/>
          <w:lang w:eastAsia="zh-CN"/>
        </w:rPr>
        <w:t>UE expects that any PDSCH carrying a MAC CE command, whose activation/deactivation time is coupled to the transmission time of the associated HARQ-ACK, is scheduled via a HARQ process with HARQ feedback enabled.</w:t>
      </w:r>
    </w:p>
    <w:p w14:paraId="74365FC7" w14:textId="77777777" w:rsidR="00FB173F" w:rsidRPr="004F62EC" w:rsidRDefault="00FB173F" w:rsidP="00FB173F">
      <w:pPr>
        <w:snapToGrid w:val="0"/>
        <w:spacing w:before="120" w:after="120"/>
        <w:jc w:val="both"/>
        <w:rPr>
          <w:rFonts w:eastAsia="宋体"/>
          <w:b/>
          <w:bCs/>
          <w:noProof w:val="0"/>
          <w:kern w:val="2"/>
          <w:sz w:val="22"/>
          <w:szCs w:val="22"/>
          <w:lang w:val="en-GB" w:eastAsia="zh-CN"/>
        </w:rPr>
      </w:pPr>
      <w:r w:rsidRPr="004F62EC">
        <w:rPr>
          <w:rFonts w:eastAsia="宋体"/>
          <w:b/>
          <w:bCs/>
          <w:noProof w:val="0"/>
          <w:kern w:val="2"/>
          <w:sz w:val="22"/>
          <w:szCs w:val="22"/>
          <w:lang w:val="en-GB" w:eastAsia="zh-CN"/>
        </w:rPr>
        <w:t xml:space="preserve">Proposal </w:t>
      </w:r>
      <w:r w:rsidRPr="004F62EC">
        <w:rPr>
          <w:rFonts w:eastAsia="宋体" w:hint="eastAsia"/>
          <w:b/>
          <w:bCs/>
          <w:noProof w:val="0"/>
          <w:kern w:val="2"/>
          <w:sz w:val="22"/>
          <w:szCs w:val="22"/>
          <w:lang w:val="en-GB" w:eastAsia="zh-CN"/>
        </w:rPr>
        <w:t>3</w:t>
      </w:r>
      <w:r w:rsidRPr="004F62EC">
        <w:rPr>
          <w:rFonts w:eastAsia="宋体"/>
          <w:b/>
          <w:bCs/>
          <w:noProof w:val="0"/>
          <w:kern w:val="2"/>
          <w:sz w:val="22"/>
          <w:szCs w:val="22"/>
          <w:lang w:val="en-GB" w:eastAsia="zh-CN"/>
        </w:rPr>
        <w:t>: HARQ codebook enhancement is supported as:</w:t>
      </w:r>
    </w:p>
    <w:p w14:paraId="65053D97" w14:textId="77777777" w:rsidR="00FB173F" w:rsidRDefault="00FB173F" w:rsidP="00FB173F">
      <w:pPr>
        <w:pStyle w:val="ListParagraph"/>
        <w:numPr>
          <w:ilvl w:val="0"/>
          <w:numId w:val="27"/>
        </w:numPr>
        <w:snapToGrid w:val="0"/>
        <w:spacing w:before="120" w:after="120"/>
        <w:ind w:firstLineChars="0"/>
        <w:jc w:val="both"/>
        <w:rPr>
          <w:rFonts w:ascii="Times New Roman" w:hAnsi="Times New Roman" w:cs="Times New Roman"/>
          <w:b/>
          <w:bCs/>
          <w:noProof w:val="0"/>
          <w:kern w:val="2"/>
          <w:sz w:val="22"/>
          <w:szCs w:val="22"/>
          <w:lang w:val="en-GB"/>
        </w:rPr>
      </w:pPr>
      <w:r w:rsidRPr="004F62EC">
        <w:rPr>
          <w:rFonts w:ascii="Times New Roman" w:hAnsi="Times New Roman" w:cs="Times New Roman"/>
          <w:b/>
          <w:bCs/>
          <w:noProof w:val="0"/>
          <w:kern w:val="2"/>
          <w:sz w:val="22"/>
          <w:szCs w:val="22"/>
          <w:lang w:val="en-GB"/>
        </w:rPr>
        <w:t xml:space="preserve">For Type-1 HARQ codebook, reduce codebook size with keeping the codebook size semi-static. </w:t>
      </w:r>
    </w:p>
    <w:p w14:paraId="1518C411" w14:textId="77777777" w:rsidR="00FB173F" w:rsidRDefault="00FB173F" w:rsidP="00FB173F">
      <w:pPr>
        <w:pStyle w:val="ListParagraph"/>
        <w:numPr>
          <w:ilvl w:val="1"/>
          <w:numId w:val="27"/>
        </w:numPr>
        <w:snapToGrid w:val="0"/>
        <w:spacing w:before="120" w:after="120"/>
        <w:ind w:firstLineChars="0"/>
        <w:jc w:val="both"/>
        <w:rPr>
          <w:rFonts w:ascii="Times New Roman" w:hAnsi="Times New Roman" w:cs="Times New Roman"/>
          <w:b/>
          <w:bCs/>
          <w:noProof w:val="0"/>
          <w:kern w:val="2"/>
          <w:sz w:val="22"/>
          <w:szCs w:val="22"/>
          <w:lang w:val="en-GB"/>
        </w:rPr>
      </w:pPr>
      <w:r>
        <w:rPr>
          <w:rFonts w:ascii="Times New Roman" w:hAnsi="Times New Roman" w:cs="Times New Roman" w:hint="eastAsia"/>
          <w:b/>
          <w:bCs/>
          <w:noProof w:val="0"/>
          <w:kern w:val="2"/>
          <w:sz w:val="22"/>
          <w:szCs w:val="22"/>
          <w:lang w:val="en-GB"/>
        </w:rPr>
        <w:t>W</w:t>
      </w:r>
      <w:r>
        <w:rPr>
          <w:rFonts w:ascii="Times New Roman" w:hAnsi="Times New Roman" w:cs="Times New Roman"/>
          <w:b/>
          <w:bCs/>
          <w:noProof w:val="0"/>
          <w:kern w:val="2"/>
          <w:sz w:val="22"/>
          <w:szCs w:val="22"/>
          <w:lang w:val="en-GB"/>
        </w:rPr>
        <w:t>hen all HARQ processes are feedback disabled for one secondary cell, the UE does not reserve HARQ ACK/NACK bits for that secondary cell.</w:t>
      </w:r>
    </w:p>
    <w:p w14:paraId="72267D77" w14:textId="77777777" w:rsidR="00FB173F" w:rsidRPr="004F62EC" w:rsidRDefault="00FB173F" w:rsidP="00FB173F">
      <w:pPr>
        <w:pStyle w:val="ListParagraph"/>
        <w:numPr>
          <w:ilvl w:val="1"/>
          <w:numId w:val="27"/>
        </w:numPr>
        <w:snapToGrid w:val="0"/>
        <w:spacing w:before="120" w:after="120"/>
        <w:ind w:firstLineChars="0"/>
        <w:jc w:val="both"/>
        <w:rPr>
          <w:rFonts w:ascii="Times New Roman" w:hAnsi="Times New Roman" w:cs="Times New Roman"/>
          <w:b/>
          <w:bCs/>
          <w:noProof w:val="0"/>
          <w:kern w:val="2"/>
          <w:sz w:val="22"/>
          <w:szCs w:val="22"/>
          <w:lang w:val="en-GB"/>
        </w:rPr>
      </w:pPr>
      <w:r>
        <w:rPr>
          <w:rFonts w:ascii="Times New Roman" w:hAnsi="Times New Roman" w:cs="Times New Roman"/>
          <w:b/>
          <w:bCs/>
          <w:noProof w:val="0"/>
          <w:kern w:val="2"/>
          <w:sz w:val="22"/>
          <w:szCs w:val="22"/>
          <w:lang w:val="en-GB"/>
        </w:rPr>
        <w:t>Reduce the Type-1 HARQ codebook size by restricting the scheduling occasion, e.g., restricted TDRA table of feedback enabled HARQ process.</w:t>
      </w:r>
    </w:p>
    <w:p w14:paraId="49A82E66" w14:textId="77777777" w:rsidR="00FB173F" w:rsidRDefault="00FB173F" w:rsidP="00FB173F">
      <w:pPr>
        <w:pStyle w:val="ListParagraph"/>
        <w:numPr>
          <w:ilvl w:val="0"/>
          <w:numId w:val="27"/>
        </w:numPr>
        <w:snapToGrid w:val="0"/>
        <w:spacing w:before="120" w:after="120"/>
        <w:ind w:firstLineChars="0"/>
        <w:jc w:val="both"/>
        <w:rPr>
          <w:rFonts w:ascii="Times New Roman" w:hAnsi="Times New Roman" w:cs="Times New Roman"/>
          <w:b/>
          <w:bCs/>
          <w:noProof w:val="0"/>
          <w:kern w:val="2"/>
          <w:sz w:val="22"/>
          <w:szCs w:val="22"/>
          <w:lang w:val="en-GB"/>
        </w:rPr>
      </w:pPr>
      <w:r w:rsidRPr="004F62EC">
        <w:rPr>
          <w:rFonts w:ascii="Times New Roman" w:hAnsi="Times New Roman" w:cs="Times New Roman"/>
          <w:b/>
          <w:bCs/>
          <w:noProof w:val="0"/>
          <w:kern w:val="2"/>
          <w:sz w:val="22"/>
          <w:szCs w:val="22"/>
          <w:lang w:val="en-GB"/>
        </w:rPr>
        <w:t xml:space="preserve">For Type-2 HARQ codebook, </w:t>
      </w:r>
      <w:r>
        <w:rPr>
          <w:rFonts w:ascii="Times New Roman" w:hAnsi="Times New Roman" w:cs="Times New Roman"/>
          <w:b/>
          <w:bCs/>
          <w:noProof w:val="0"/>
          <w:kern w:val="2"/>
          <w:sz w:val="22"/>
          <w:szCs w:val="22"/>
          <w:lang w:val="en-GB"/>
        </w:rPr>
        <w:t xml:space="preserve">the </w:t>
      </w:r>
      <w:r w:rsidRPr="00FD0711">
        <w:rPr>
          <w:rFonts w:ascii="Times New Roman" w:hAnsi="Times New Roman" w:cs="Times New Roman"/>
          <w:b/>
          <w:bCs/>
          <w:noProof w:val="0"/>
          <w:kern w:val="2"/>
          <w:sz w:val="22"/>
          <w:szCs w:val="22"/>
          <w:lang w:val="en-GB"/>
        </w:rPr>
        <w:t>value of the counter</w:t>
      </w:r>
      <w:r>
        <w:rPr>
          <w:rFonts w:ascii="Times New Roman" w:hAnsi="Times New Roman" w:cs="Times New Roman"/>
          <w:b/>
          <w:bCs/>
          <w:noProof w:val="0"/>
          <w:kern w:val="2"/>
          <w:sz w:val="22"/>
          <w:szCs w:val="22"/>
          <w:lang w:val="en-GB"/>
        </w:rPr>
        <w:t>/total</w:t>
      </w:r>
      <w:r w:rsidRPr="00FD0711">
        <w:rPr>
          <w:rFonts w:ascii="Times New Roman" w:hAnsi="Times New Roman" w:cs="Times New Roman"/>
          <w:b/>
          <w:bCs/>
          <w:noProof w:val="0"/>
          <w:kern w:val="2"/>
          <w:sz w:val="22"/>
          <w:szCs w:val="22"/>
          <w:lang w:val="en-GB"/>
        </w:rPr>
        <w:t xml:space="preserve"> DAI field </w:t>
      </w:r>
      <w:r>
        <w:rPr>
          <w:rFonts w:ascii="Times New Roman" w:hAnsi="Times New Roman" w:cs="Times New Roman"/>
          <w:b/>
          <w:bCs/>
          <w:noProof w:val="0"/>
          <w:kern w:val="2"/>
          <w:sz w:val="22"/>
          <w:szCs w:val="22"/>
          <w:lang w:val="en-GB"/>
        </w:rPr>
        <w:t xml:space="preserve">in one DCI are given the count value of </w:t>
      </w:r>
      <w:r w:rsidRPr="00FD0711">
        <w:rPr>
          <w:rFonts w:ascii="Times New Roman" w:hAnsi="Times New Roman" w:cs="Times New Roman"/>
          <w:b/>
          <w:bCs/>
          <w:noProof w:val="0"/>
          <w:kern w:val="2"/>
          <w:sz w:val="22"/>
          <w:szCs w:val="22"/>
          <w:lang w:val="en-GB"/>
        </w:rPr>
        <w:t>{serving cell, PDCCH monitoring occasion}-pair(s)</w:t>
      </w:r>
      <w:r>
        <w:rPr>
          <w:rFonts w:ascii="Times New Roman" w:hAnsi="Times New Roman" w:cs="Times New Roman"/>
          <w:b/>
          <w:bCs/>
          <w:noProof w:val="0"/>
          <w:kern w:val="2"/>
          <w:sz w:val="22"/>
          <w:szCs w:val="22"/>
          <w:lang w:val="en-GB"/>
        </w:rPr>
        <w:t xml:space="preserve"> who’s associated PDSCH is HARQ feedback enabled.</w:t>
      </w:r>
    </w:p>
    <w:p w14:paraId="5408D5BF" w14:textId="77777777" w:rsidR="00FB173F" w:rsidRDefault="00FB173F" w:rsidP="00FB173F">
      <w:pPr>
        <w:pStyle w:val="ListParagraph"/>
        <w:numPr>
          <w:ilvl w:val="1"/>
          <w:numId w:val="27"/>
        </w:numPr>
        <w:snapToGrid w:val="0"/>
        <w:spacing w:before="120" w:after="120"/>
        <w:ind w:firstLineChars="0"/>
        <w:jc w:val="both"/>
        <w:rPr>
          <w:rFonts w:ascii="Times New Roman" w:hAnsi="Times New Roman" w:cs="Times New Roman"/>
          <w:b/>
          <w:bCs/>
          <w:noProof w:val="0"/>
          <w:kern w:val="2"/>
          <w:sz w:val="22"/>
          <w:szCs w:val="22"/>
          <w:lang w:val="en-GB"/>
        </w:rPr>
      </w:pPr>
      <w:r>
        <w:rPr>
          <w:rFonts w:ascii="Times New Roman" w:hAnsi="Times New Roman" w:cs="Times New Roman"/>
          <w:b/>
          <w:bCs/>
          <w:noProof w:val="0"/>
          <w:kern w:val="2"/>
          <w:sz w:val="22"/>
          <w:szCs w:val="22"/>
          <w:lang w:val="en-GB"/>
        </w:rPr>
        <w:t>FFS whether DAI count for SPS release.</w:t>
      </w:r>
    </w:p>
    <w:p w14:paraId="6508D879" w14:textId="77777777" w:rsidR="00FB173F" w:rsidRPr="00FB173F" w:rsidRDefault="00FB173F" w:rsidP="00FB173F">
      <w:pPr>
        <w:snapToGrid w:val="0"/>
        <w:spacing w:before="120" w:after="120"/>
        <w:jc w:val="both"/>
        <w:rPr>
          <w:rFonts w:eastAsia="宋体"/>
          <w:b/>
          <w:bCs/>
          <w:noProof w:val="0"/>
          <w:kern w:val="2"/>
          <w:sz w:val="22"/>
          <w:szCs w:val="22"/>
          <w:lang w:val="en-GB" w:eastAsia="zh-CN"/>
        </w:rPr>
      </w:pPr>
      <w:r w:rsidRPr="00FB173F">
        <w:rPr>
          <w:rFonts w:eastAsia="宋体"/>
          <w:b/>
          <w:bCs/>
          <w:noProof w:val="0"/>
          <w:kern w:val="2"/>
          <w:sz w:val="22"/>
          <w:szCs w:val="22"/>
          <w:lang w:val="en-GB" w:eastAsia="zh-CN"/>
        </w:rPr>
        <w:t xml:space="preserve">Proposal 4: UE reports HARQ feedback information for the SPS PDSCH activation when the related SPS PDSCH is HARQ feedback disabled. </w:t>
      </w:r>
    </w:p>
    <w:p w14:paraId="1F6589E7" w14:textId="77777777" w:rsidR="00FB173F" w:rsidRPr="00FB173F" w:rsidRDefault="00FB173F" w:rsidP="00FB173F">
      <w:pPr>
        <w:snapToGrid w:val="0"/>
        <w:spacing w:before="120" w:after="120"/>
        <w:jc w:val="both"/>
        <w:rPr>
          <w:rFonts w:eastAsia="宋体"/>
          <w:b/>
          <w:bCs/>
          <w:noProof w:val="0"/>
          <w:kern w:val="2"/>
          <w:sz w:val="22"/>
          <w:szCs w:val="22"/>
          <w:lang w:val="en-GB" w:eastAsia="zh-CN"/>
        </w:rPr>
      </w:pPr>
      <w:r w:rsidRPr="00FB173F">
        <w:rPr>
          <w:rFonts w:eastAsia="宋体"/>
          <w:b/>
          <w:bCs/>
          <w:noProof w:val="0"/>
          <w:kern w:val="2"/>
          <w:sz w:val="22"/>
          <w:szCs w:val="22"/>
          <w:lang w:val="en-GB" w:eastAsia="zh-CN"/>
        </w:rPr>
        <w:t>Proposal 5: The counter DAI, total DAI and DAI in DCI format 0_1 count for PDCCH indicating SPS PDSCH activation when the related SPS PDSCH is HARQ feedback disabled.</w:t>
      </w:r>
    </w:p>
    <w:p w14:paraId="156824A2" w14:textId="77777777" w:rsidR="00FB173F" w:rsidRPr="00FB173F" w:rsidRDefault="00FB173F" w:rsidP="00FB173F">
      <w:pPr>
        <w:snapToGrid w:val="0"/>
        <w:spacing w:before="120" w:after="120"/>
        <w:jc w:val="both"/>
        <w:rPr>
          <w:rFonts w:eastAsia="宋体"/>
          <w:b/>
          <w:bCs/>
          <w:noProof w:val="0"/>
          <w:kern w:val="2"/>
          <w:sz w:val="22"/>
          <w:szCs w:val="22"/>
          <w:lang w:val="en-GB" w:eastAsia="zh-CN"/>
        </w:rPr>
      </w:pPr>
      <w:r w:rsidRPr="00FB173F">
        <w:rPr>
          <w:rFonts w:eastAsia="宋体"/>
          <w:b/>
          <w:bCs/>
          <w:noProof w:val="0"/>
          <w:kern w:val="2"/>
          <w:sz w:val="22"/>
          <w:szCs w:val="22"/>
          <w:lang w:val="en-GB" w:eastAsia="zh-CN"/>
        </w:rPr>
        <w:t>Proposal 6: The UE reports HARQ feedback information for the SPS PDSCH release, either the related SPS PDSCH is HARQ feedback disabled or enabled.</w:t>
      </w:r>
    </w:p>
    <w:p w14:paraId="17B6E976" w14:textId="575219CA" w:rsidR="004E53AE" w:rsidRPr="00FB173F" w:rsidRDefault="00FB173F" w:rsidP="00FB173F">
      <w:pPr>
        <w:snapToGrid w:val="0"/>
        <w:spacing w:before="120" w:after="120"/>
        <w:jc w:val="both"/>
        <w:rPr>
          <w:rFonts w:eastAsia="宋体"/>
          <w:b/>
          <w:bCs/>
          <w:noProof w:val="0"/>
          <w:kern w:val="2"/>
          <w:sz w:val="22"/>
          <w:szCs w:val="22"/>
          <w:lang w:val="en-GB" w:eastAsia="zh-CN"/>
        </w:rPr>
      </w:pPr>
      <w:r w:rsidRPr="00FB173F">
        <w:rPr>
          <w:rFonts w:eastAsia="宋体"/>
          <w:b/>
          <w:bCs/>
          <w:noProof w:val="0"/>
          <w:kern w:val="2"/>
          <w:sz w:val="22"/>
          <w:szCs w:val="22"/>
          <w:lang w:val="en-GB" w:eastAsia="zh-CN"/>
        </w:rPr>
        <w:t>Proposal 7: The counter DAI, total DAI and DAI in DCI format 0_1 count for PDCCH indicating SPS PDSCH release, either the related SPS PDSCH is HARQ feedback disabled or enabled.</w:t>
      </w:r>
    </w:p>
    <w:p w14:paraId="4DF6821C" w14:textId="2E00199F" w:rsidR="00C65B11" w:rsidRPr="004F62EC" w:rsidRDefault="0041628A" w:rsidP="008A67E0">
      <w:pPr>
        <w:pStyle w:val="Heading1"/>
      </w:pPr>
      <w:r w:rsidRPr="004F62EC">
        <w:t>References</w:t>
      </w:r>
    </w:p>
    <w:p w14:paraId="1F40FBAF" w14:textId="6BDD98E9" w:rsidR="00EF1ECF" w:rsidRPr="004F62EC" w:rsidRDefault="0029153F" w:rsidP="0036768F">
      <w:pPr>
        <w:pStyle w:val="ListParagraph"/>
        <w:numPr>
          <w:ilvl w:val="0"/>
          <w:numId w:val="6"/>
        </w:numPr>
        <w:ind w:firstLineChars="0"/>
        <w:rPr>
          <w:rFonts w:ascii="Times New Roman" w:eastAsia="华文楷体" w:hAnsi="Times New Roman" w:cs="Times New Roman"/>
          <w:sz w:val="22"/>
          <w:szCs w:val="22"/>
        </w:rPr>
      </w:pPr>
      <w:bookmarkStart w:id="5" w:name="_Ref534892461"/>
      <w:r w:rsidRPr="004F62EC">
        <w:rPr>
          <w:rFonts w:ascii="Times New Roman" w:hAnsi="Times New Roman" w:cs="Times New Roman"/>
          <w:sz w:val="22"/>
          <w:szCs w:val="22"/>
        </w:rPr>
        <w:t>3GPP, RAN #8</w:t>
      </w:r>
      <w:r w:rsidR="00C6475A" w:rsidRPr="004F62EC">
        <w:rPr>
          <w:rFonts w:ascii="Times New Roman" w:hAnsi="Times New Roman" w:cs="Times New Roman"/>
          <w:sz w:val="22"/>
          <w:szCs w:val="22"/>
        </w:rPr>
        <w:t>6</w:t>
      </w:r>
      <w:r w:rsidRPr="004F62EC">
        <w:rPr>
          <w:rFonts w:ascii="Times New Roman" w:hAnsi="Times New Roman" w:cs="Times New Roman"/>
          <w:sz w:val="22"/>
          <w:szCs w:val="22"/>
        </w:rPr>
        <w:t>, RP-1</w:t>
      </w:r>
      <w:r w:rsidR="00C6475A" w:rsidRPr="004F62EC">
        <w:rPr>
          <w:rFonts w:ascii="Times New Roman" w:hAnsi="Times New Roman" w:cs="Times New Roman"/>
          <w:sz w:val="22"/>
          <w:szCs w:val="22"/>
        </w:rPr>
        <w:t>93234</w:t>
      </w:r>
      <w:r w:rsidRPr="004F62EC">
        <w:rPr>
          <w:rFonts w:ascii="Times New Roman" w:hAnsi="Times New Roman" w:cs="Times New Roman"/>
          <w:sz w:val="22"/>
          <w:szCs w:val="22"/>
        </w:rPr>
        <w:t xml:space="preserve">, “NR-NTN: </w:t>
      </w:r>
      <w:r w:rsidR="00C6475A" w:rsidRPr="004F62EC">
        <w:rPr>
          <w:rFonts w:ascii="Times New Roman" w:hAnsi="Times New Roman" w:cs="Times New Roman"/>
          <w:sz w:val="22"/>
          <w:szCs w:val="22"/>
        </w:rPr>
        <w:t>Solutions for NR to support non-terrestrial networks (NTN)</w:t>
      </w:r>
      <w:r w:rsidR="00EF1ECF" w:rsidRPr="004F62EC">
        <w:rPr>
          <w:rFonts w:ascii="Times New Roman" w:hAnsi="Times New Roman" w:cs="Times New Roman"/>
          <w:sz w:val="22"/>
          <w:szCs w:val="22"/>
        </w:rPr>
        <w:t>.</w:t>
      </w:r>
      <w:bookmarkEnd w:id="5"/>
    </w:p>
    <w:p w14:paraId="1FDF4029" w14:textId="06CC5C9F" w:rsidR="00DA0D07" w:rsidRPr="00D674ED" w:rsidRDefault="00486EE2" w:rsidP="0036768F">
      <w:pPr>
        <w:pStyle w:val="ListParagraph"/>
        <w:numPr>
          <w:ilvl w:val="0"/>
          <w:numId w:val="6"/>
        </w:numPr>
        <w:ind w:firstLineChars="0"/>
        <w:rPr>
          <w:rFonts w:ascii="Times New Roman" w:eastAsia="华文楷体" w:hAnsi="Times New Roman" w:cs="Times New Roman"/>
          <w:sz w:val="22"/>
          <w:szCs w:val="22"/>
        </w:rPr>
      </w:pPr>
      <w:r w:rsidRPr="004F62EC">
        <w:rPr>
          <w:rFonts w:ascii="Times New Roman" w:hAnsi="Times New Roman" w:cs="Times New Roman"/>
          <w:sz w:val="22"/>
          <w:szCs w:val="22"/>
        </w:rPr>
        <w:t>Draft Report of 3GPP TSG RAN WG1 #10</w:t>
      </w:r>
      <w:r w:rsidR="008C2D7F" w:rsidRPr="004F62EC">
        <w:rPr>
          <w:rFonts w:ascii="Times New Roman" w:hAnsi="Times New Roman" w:cs="Times New Roman"/>
          <w:sz w:val="22"/>
          <w:szCs w:val="22"/>
        </w:rPr>
        <w:t>3</w:t>
      </w:r>
      <w:r w:rsidRPr="004F62EC">
        <w:rPr>
          <w:rFonts w:ascii="Times New Roman" w:hAnsi="Times New Roman" w:cs="Times New Roman"/>
          <w:sz w:val="22"/>
          <w:szCs w:val="22"/>
        </w:rPr>
        <w:t>-e v0.</w:t>
      </w:r>
      <w:r w:rsidR="008C2D7F" w:rsidRPr="004F62EC">
        <w:rPr>
          <w:rFonts w:ascii="Times New Roman" w:hAnsi="Times New Roman" w:cs="Times New Roman"/>
          <w:sz w:val="22"/>
          <w:szCs w:val="22"/>
        </w:rPr>
        <w:t>2</w:t>
      </w:r>
      <w:r w:rsidRPr="004F62EC">
        <w:rPr>
          <w:rFonts w:ascii="Times New Roman" w:hAnsi="Times New Roman" w:cs="Times New Roman"/>
          <w:sz w:val="22"/>
          <w:szCs w:val="22"/>
        </w:rPr>
        <w:t>.0</w:t>
      </w:r>
    </w:p>
    <w:p w14:paraId="6909FA81" w14:textId="2D90BF41" w:rsidR="00D674ED" w:rsidRPr="004F62EC" w:rsidRDefault="0022363C" w:rsidP="0036768F">
      <w:pPr>
        <w:pStyle w:val="ListParagraph"/>
        <w:numPr>
          <w:ilvl w:val="0"/>
          <w:numId w:val="6"/>
        </w:numPr>
        <w:ind w:firstLineChars="0"/>
        <w:rPr>
          <w:rFonts w:ascii="Times New Roman" w:eastAsia="华文楷体" w:hAnsi="Times New Roman" w:cs="Times New Roman"/>
          <w:sz w:val="22"/>
          <w:szCs w:val="22"/>
        </w:rPr>
      </w:pPr>
      <w:r w:rsidRPr="0022363C">
        <w:rPr>
          <w:rFonts w:ascii="Times New Roman" w:eastAsia="华文楷体" w:hAnsi="Times New Roman" w:cs="Times New Roman"/>
          <w:sz w:val="22"/>
          <w:szCs w:val="22"/>
        </w:rPr>
        <w:t>Report of 3GPP TSG RAN WG2 meeting #113-e, Online</w:t>
      </w:r>
      <w:r w:rsidR="00C05745">
        <w:rPr>
          <w:rFonts w:ascii="Times New Roman" w:eastAsia="华文楷体" w:hAnsi="Times New Roman" w:cs="Times New Roman"/>
          <w:sz w:val="22"/>
          <w:szCs w:val="22"/>
        </w:rPr>
        <w:t>,</w:t>
      </w:r>
      <w:bookmarkStart w:id="6" w:name="_GoBack"/>
      <w:bookmarkEnd w:id="6"/>
      <w:r w:rsidR="00D674ED">
        <w:rPr>
          <w:rFonts w:ascii="Times New Roman" w:eastAsia="华文楷体" w:hAnsi="Times New Roman" w:cs="Times New Roman"/>
          <w:sz w:val="22"/>
          <w:szCs w:val="22"/>
        </w:rPr>
        <w:t xml:space="preserve"> </w:t>
      </w:r>
      <w:r w:rsidR="00D674ED" w:rsidRPr="00D674ED">
        <w:rPr>
          <w:rFonts w:ascii="Times New Roman" w:eastAsia="华文楷体" w:hAnsi="Times New Roman" w:cs="Times New Roman"/>
          <w:sz w:val="22"/>
          <w:szCs w:val="22"/>
        </w:rPr>
        <w:t>R2-2102601</w:t>
      </w:r>
    </w:p>
    <w:p w14:paraId="180322D3" w14:textId="77777777" w:rsidR="007D5F77" w:rsidRPr="004F62EC" w:rsidRDefault="007D5F77" w:rsidP="007D5F77">
      <w:pPr>
        <w:pStyle w:val="ListParagraph"/>
        <w:numPr>
          <w:ilvl w:val="0"/>
          <w:numId w:val="6"/>
        </w:numPr>
        <w:ind w:firstLineChars="0"/>
        <w:rPr>
          <w:rFonts w:ascii="Times New Roman" w:eastAsia="华文楷体" w:hAnsi="Times New Roman" w:cs="Times New Roman"/>
          <w:sz w:val="22"/>
          <w:szCs w:val="22"/>
        </w:rPr>
      </w:pPr>
      <w:r w:rsidRPr="004F62EC">
        <w:rPr>
          <w:rFonts w:ascii="Times New Roman" w:hAnsi="Times New Roman" w:cs="Times New Roman"/>
          <w:sz w:val="22"/>
          <w:szCs w:val="22"/>
        </w:rPr>
        <w:t>Report of 3GPP TSG RAN2#105 meeting, Athens, Greece</w:t>
      </w:r>
    </w:p>
    <w:p w14:paraId="6BE74450" w14:textId="720095C6" w:rsidR="007D5F77" w:rsidRPr="00D674ED" w:rsidRDefault="007D5F77" w:rsidP="007D5F77">
      <w:pPr>
        <w:pStyle w:val="ListParagraph"/>
        <w:numPr>
          <w:ilvl w:val="0"/>
          <w:numId w:val="6"/>
        </w:numPr>
        <w:ind w:firstLineChars="0"/>
        <w:rPr>
          <w:rFonts w:ascii="Times New Roman" w:eastAsia="华文楷体" w:hAnsi="Times New Roman" w:cs="Times New Roman"/>
          <w:sz w:val="22"/>
          <w:szCs w:val="22"/>
        </w:rPr>
      </w:pPr>
      <w:r w:rsidRPr="004F62EC">
        <w:rPr>
          <w:rFonts w:ascii="Times New Roman" w:hAnsi="Times New Roman" w:cs="Times New Roman"/>
          <w:sz w:val="22"/>
          <w:szCs w:val="22"/>
        </w:rPr>
        <w:t>Draft Report of 3GPP TSG RAN WG1 #102-e v0.1.0</w:t>
      </w:r>
    </w:p>
    <w:p w14:paraId="6731EE7B" w14:textId="139B785E" w:rsidR="00D674ED" w:rsidRPr="00D674ED" w:rsidRDefault="00D674ED" w:rsidP="00D674ED">
      <w:pPr>
        <w:pStyle w:val="ListParagraph"/>
        <w:numPr>
          <w:ilvl w:val="0"/>
          <w:numId w:val="6"/>
        </w:numPr>
        <w:ind w:firstLineChars="0"/>
        <w:rPr>
          <w:rFonts w:ascii="Times New Roman" w:eastAsia="华文楷体" w:hAnsi="Times New Roman" w:cs="Times New Roman"/>
          <w:sz w:val="22"/>
          <w:szCs w:val="22"/>
        </w:rPr>
      </w:pPr>
      <w:r w:rsidRPr="004F62EC">
        <w:rPr>
          <w:rFonts w:ascii="Times New Roman" w:hAnsi="Times New Roman" w:cs="Times New Roman"/>
          <w:sz w:val="22"/>
          <w:szCs w:val="22"/>
        </w:rPr>
        <w:lastRenderedPageBreak/>
        <w:t>Draft Report of 3GPP TSG RAN WG1 #10</w:t>
      </w:r>
      <w:r>
        <w:rPr>
          <w:rFonts w:ascii="Times New Roman" w:hAnsi="Times New Roman" w:cs="Times New Roman"/>
          <w:sz w:val="22"/>
          <w:szCs w:val="22"/>
        </w:rPr>
        <w:t>4</w:t>
      </w:r>
      <w:r w:rsidRPr="004F62EC">
        <w:rPr>
          <w:rFonts w:ascii="Times New Roman" w:hAnsi="Times New Roman" w:cs="Times New Roman"/>
          <w:sz w:val="22"/>
          <w:szCs w:val="22"/>
        </w:rPr>
        <w:t>-e v0.2.0</w:t>
      </w:r>
    </w:p>
    <w:p w14:paraId="1877CCAA" w14:textId="77777777" w:rsidR="00252203" w:rsidRPr="004F62EC" w:rsidRDefault="00252203" w:rsidP="00DF7540">
      <w:pPr>
        <w:rPr>
          <w:sz w:val="22"/>
          <w:szCs w:val="22"/>
        </w:rPr>
      </w:pPr>
    </w:p>
    <w:sectPr w:rsidR="00252203" w:rsidRPr="004F62EC">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0A2EAB" w14:textId="77777777" w:rsidR="00B52F0B" w:rsidRDefault="00B52F0B">
      <w:r>
        <w:separator/>
      </w:r>
    </w:p>
  </w:endnote>
  <w:endnote w:type="continuationSeparator" w:id="0">
    <w:p w14:paraId="16F880CE" w14:textId="77777777" w:rsidR="00B52F0B" w:rsidRDefault="00B52F0B">
      <w:r>
        <w:continuationSeparator/>
      </w:r>
    </w:p>
  </w:endnote>
  <w:endnote w:type="continuationNotice" w:id="1">
    <w:p w14:paraId="7365DF83" w14:textId="77777777" w:rsidR="00B52F0B" w:rsidRDefault="00B52F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华文楷体">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D3B3E1" w14:textId="28590026" w:rsidR="008C464F" w:rsidRDefault="008C464F">
    <w:pPr>
      <w:pStyle w:val="Footer"/>
      <w:jc w:val="center"/>
    </w:pPr>
    <w:r>
      <w:rPr>
        <w:rStyle w:val="PageNumber"/>
        <w:rFonts w:hint="eastAsia"/>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r>
      <w:rPr>
        <w:rStyle w:val="PageNumber"/>
        <w:rFonts w:hint="eastAsia"/>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3</w:t>
    </w:r>
    <w:r>
      <w:rPr>
        <w:rStyle w:val="PageNumber"/>
      </w:rPr>
      <w:fldChar w:fldCharType="end"/>
    </w:r>
    <w:r>
      <w:rPr>
        <w:rStyle w:val="PageNumber"/>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D3DB6A" w14:textId="77777777" w:rsidR="00B52F0B" w:rsidRDefault="00B52F0B">
      <w:r>
        <w:separator/>
      </w:r>
    </w:p>
  </w:footnote>
  <w:footnote w:type="continuationSeparator" w:id="0">
    <w:p w14:paraId="704B429F" w14:textId="77777777" w:rsidR="00B52F0B" w:rsidRDefault="00B52F0B">
      <w:r>
        <w:continuationSeparator/>
      </w:r>
    </w:p>
  </w:footnote>
  <w:footnote w:type="continuationNotice" w:id="1">
    <w:p w14:paraId="6856473C" w14:textId="77777777" w:rsidR="00B52F0B" w:rsidRDefault="00B52F0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7F45251"/>
    <w:multiLevelType w:val="hybridMultilevel"/>
    <w:tmpl w:val="8B687A64"/>
    <w:lvl w:ilvl="0" w:tplc="CAE40FAA">
      <w:start w:val="1"/>
      <w:numFmt w:val="bullet"/>
      <w:lvlText w:val="•"/>
      <w:lvlJc w:val="left"/>
      <w:pPr>
        <w:tabs>
          <w:tab w:val="num" w:pos="720"/>
        </w:tabs>
        <w:ind w:left="720" w:hanging="360"/>
      </w:pPr>
      <w:rPr>
        <w:rFonts w:ascii="宋体" w:hAnsi="宋体" w:hint="default"/>
      </w:rPr>
    </w:lvl>
    <w:lvl w:ilvl="1" w:tplc="49FA58CE" w:tentative="1">
      <w:start w:val="1"/>
      <w:numFmt w:val="bullet"/>
      <w:lvlText w:val="•"/>
      <w:lvlJc w:val="left"/>
      <w:pPr>
        <w:tabs>
          <w:tab w:val="num" w:pos="1440"/>
        </w:tabs>
        <w:ind w:left="1440" w:hanging="360"/>
      </w:pPr>
      <w:rPr>
        <w:rFonts w:ascii="宋体" w:hAnsi="宋体" w:hint="default"/>
      </w:rPr>
    </w:lvl>
    <w:lvl w:ilvl="2" w:tplc="4AA8A0DC" w:tentative="1">
      <w:start w:val="1"/>
      <w:numFmt w:val="bullet"/>
      <w:lvlText w:val="•"/>
      <w:lvlJc w:val="left"/>
      <w:pPr>
        <w:tabs>
          <w:tab w:val="num" w:pos="2160"/>
        </w:tabs>
        <w:ind w:left="2160" w:hanging="360"/>
      </w:pPr>
      <w:rPr>
        <w:rFonts w:ascii="宋体" w:hAnsi="宋体" w:hint="default"/>
      </w:rPr>
    </w:lvl>
    <w:lvl w:ilvl="3" w:tplc="9F725146" w:tentative="1">
      <w:start w:val="1"/>
      <w:numFmt w:val="bullet"/>
      <w:lvlText w:val="•"/>
      <w:lvlJc w:val="left"/>
      <w:pPr>
        <w:tabs>
          <w:tab w:val="num" w:pos="2880"/>
        </w:tabs>
        <w:ind w:left="2880" w:hanging="360"/>
      </w:pPr>
      <w:rPr>
        <w:rFonts w:ascii="宋体" w:hAnsi="宋体" w:hint="default"/>
      </w:rPr>
    </w:lvl>
    <w:lvl w:ilvl="4" w:tplc="40348F44" w:tentative="1">
      <w:start w:val="1"/>
      <w:numFmt w:val="bullet"/>
      <w:lvlText w:val="•"/>
      <w:lvlJc w:val="left"/>
      <w:pPr>
        <w:tabs>
          <w:tab w:val="num" w:pos="3600"/>
        </w:tabs>
        <w:ind w:left="3600" w:hanging="360"/>
      </w:pPr>
      <w:rPr>
        <w:rFonts w:ascii="宋体" w:hAnsi="宋体" w:hint="default"/>
      </w:rPr>
    </w:lvl>
    <w:lvl w:ilvl="5" w:tplc="A9BC3FAA" w:tentative="1">
      <w:start w:val="1"/>
      <w:numFmt w:val="bullet"/>
      <w:lvlText w:val="•"/>
      <w:lvlJc w:val="left"/>
      <w:pPr>
        <w:tabs>
          <w:tab w:val="num" w:pos="4320"/>
        </w:tabs>
        <w:ind w:left="4320" w:hanging="360"/>
      </w:pPr>
      <w:rPr>
        <w:rFonts w:ascii="宋体" w:hAnsi="宋体" w:hint="default"/>
      </w:rPr>
    </w:lvl>
    <w:lvl w:ilvl="6" w:tplc="AF9209A8" w:tentative="1">
      <w:start w:val="1"/>
      <w:numFmt w:val="bullet"/>
      <w:lvlText w:val="•"/>
      <w:lvlJc w:val="left"/>
      <w:pPr>
        <w:tabs>
          <w:tab w:val="num" w:pos="5040"/>
        </w:tabs>
        <w:ind w:left="5040" w:hanging="360"/>
      </w:pPr>
      <w:rPr>
        <w:rFonts w:ascii="宋体" w:hAnsi="宋体" w:hint="default"/>
      </w:rPr>
    </w:lvl>
    <w:lvl w:ilvl="7" w:tplc="BFA231B0" w:tentative="1">
      <w:start w:val="1"/>
      <w:numFmt w:val="bullet"/>
      <w:lvlText w:val="•"/>
      <w:lvlJc w:val="left"/>
      <w:pPr>
        <w:tabs>
          <w:tab w:val="num" w:pos="5760"/>
        </w:tabs>
        <w:ind w:left="5760" w:hanging="360"/>
      </w:pPr>
      <w:rPr>
        <w:rFonts w:ascii="宋体" w:hAnsi="宋体" w:hint="default"/>
      </w:rPr>
    </w:lvl>
    <w:lvl w:ilvl="8" w:tplc="917827FC" w:tentative="1">
      <w:start w:val="1"/>
      <w:numFmt w:val="bullet"/>
      <w:lvlText w:val="•"/>
      <w:lvlJc w:val="left"/>
      <w:pPr>
        <w:tabs>
          <w:tab w:val="num" w:pos="6480"/>
        </w:tabs>
        <w:ind w:left="6480" w:hanging="360"/>
      </w:pPr>
      <w:rPr>
        <w:rFonts w:ascii="宋体" w:hAnsi="宋体" w:hint="default"/>
      </w:rPr>
    </w:lvl>
  </w:abstractNum>
  <w:abstractNum w:abstractNumId="2" w15:restartNumberingAfterBreak="0">
    <w:nsid w:val="08850EB6"/>
    <w:multiLevelType w:val="hybridMultilevel"/>
    <w:tmpl w:val="E1D2AF66"/>
    <w:lvl w:ilvl="0" w:tplc="17A8CFA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DF609E"/>
    <w:multiLevelType w:val="hybridMultilevel"/>
    <w:tmpl w:val="30FEEF2E"/>
    <w:lvl w:ilvl="0" w:tplc="84F63C0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EEC1845"/>
    <w:multiLevelType w:val="hybridMultilevel"/>
    <w:tmpl w:val="EA58F3F0"/>
    <w:lvl w:ilvl="0" w:tplc="733668B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FFB4ADB"/>
    <w:multiLevelType w:val="hybridMultilevel"/>
    <w:tmpl w:val="D7EE63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D17506"/>
    <w:multiLevelType w:val="hybridMultilevel"/>
    <w:tmpl w:val="6BC4BF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D1B3C25"/>
    <w:multiLevelType w:val="hybridMultilevel"/>
    <w:tmpl w:val="98602B18"/>
    <w:lvl w:ilvl="0" w:tplc="4202C932">
      <w:start w:val="1"/>
      <w:numFmt w:val="bullet"/>
      <w:lvlText w:val=""/>
      <w:lvlJc w:val="left"/>
      <w:pPr>
        <w:ind w:left="780" w:hanging="420"/>
      </w:pPr>
      <w:rPr>
        <w:rFonts w:ascii="Symbol" w:eastAsia="MS Mincho" w:hAnsi="Symbol"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1F0A6739"/>
    <w:multiLevelType w:val="hybridMultilevel"/>
    <w:tmpl w:val="82CE9F0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55851C7"/>
    <w:multiLevelType w:val="hybridMultilevel"/>
    <w:tmpl w:val="12E402B4"/>
    <w:lvl w:ilvl="0" w:tplc="DCECE7AA">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D756A2"/>
    <w:multiLevelType w:val="hybridMultilevel"/>
    <w:tmpl w:val="BA96C33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EF367F9"/>
    <w:multiLevelType w:val="hybridMultilevel"/>
    <w:tmpl w:val="099CF8E0"/>
    <w:lvl w:ilvl="0" w:tplc="529A72D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4" w15:restartNumberingAfterBreak="0">
    <w:nsid w:val="39D56A94"/>
    <w:multiLevelType w:val="hybridMultilevel"/>
    <w:tmpl w:val="472856D4"/>
    <w:lvl w:ilvl="0" w:tplc="529A72D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DCD1C43"/>
    <w:multiLevelType w:val="hybridMultilevel"/>
    <w:tmpl w:val="F8544C4A"/>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EF86C94"/>
    <w:multiLevelType w:val="hybridMultilevel"/>
    <w:tmpl w:val="75B2A7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04611E5"/>
    <w:multiLevelType w:val="hybridMultilevel"/>
    <w:tmpl w:val="56CAD5A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06B0F66"/>
    <w:multiLevelType w:val="hybridMultilevel"/>
    <w:tmpl w:val="DDA0E0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A804361"/>
    <w:multiLevelType w:val="hybridMultilevel"/>
    <w:tmpl w:val="203E58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C744F86"/>
    <w:multiLevelType w:val="hybridMultilevel"/>
    <w:tmpl w:val="AF56E3DA"/>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87F51E7"/>
    <w:multiLevelType w:val="hybridMultilevel"/>
    <w:tmpl w:val="F41200E4"/>
    <w:lvl w:ilvl="0" w:tplc="C2FCEFB0">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0FE4083"/>
    <w:multiLevelType w:val="hybridMultilevel"/>
    <w:tmpl w:val="FD72BF0A"/>
    <w:lvl w:ilvl="0" w:tplc="89B093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13B4FFE"/>
    <w:multiLevelType w:val="hybridMultilevel"/>
    <w:tmpl w:val="4734FFDE"/>
    <w:lvl w:ilvl="0" w:tplc="4202C932">
      <w:start w:val="1"/>
      <w:numFmt w:val="bullet"/>
      <w:lvlText w:val=""/>
      <w:lvlJc w:val="left"/>
      <w:pPr>
        <w:ind w:left="720" w:hanging="720"/>
      </w:pPr>
      <w:rPr>
        <w:rFonts w:ascii="Symbol" w:eastAsia="MS Mincho" w:hAnsi="Symbol" w:cs="Times New Roman" w:hint="default"/>
      </w:rPr>
    </w:lvl>
    <w:lvl w:ilvl="1" w:tplc="90D2449C">
      <w:numFmt w:val="bullet"/>
      <w:lvlText w:val="•"/>
      <w:lvlJc w:val="left"/>
      <w:pPr>
        <w:ind w:left="1140" w:hanging="720"/>
      </w:pPr>
      <w:rPr>
        <w:rFonts w:ascii="MS Gothic" w:eastAsia="MS Gothic" w:hAnsi="MS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653A416E"/>
    <w:multiLevelType w:val="hybridMultilevel"/>
    <w:tmpl w:val="39527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17C760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72115383"/>
    <w:multiLevelType w:val="hybridMultilevel"/>
    <w:tmpl w:val="3D2E9DB2"/>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2381F55"/>
    <w:multiLevelType w:val="hybridMultilevel"/>
    <w:tmpl w:val="73B420F0"/>
    <w:lvl w:ilvl="0" w:tplc="8AA8FADA">
      <w:numFmt w:val="bullet"/>
      <w:lvlText w:val=""/>
      <w:lvlJc w:val="left"/>
      <w:pPr>
        <w:ind w:left="720" w:hanging="720"/>
      </w:pPr>
      <w:rPr>
        <w:rFonts w:ascii="Wingdings" w:eastAsia="MS Gothic"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A1B3222"/>
    <w:multiLevelType w:val="hybridMultilevel"/>
    <w:tmpl w:val="40AC76E4"/>
    <w:lvl w:ilvl="0" w:tplc="8AA8FADA">
      <w:numFmt w:val="bullet"/>
      <w:lvlText w:val=""/>
      <w:lvlJc w:val="left"/>
      <w:pPr>
        <w:ind w:left="720" w:hanging="720"/>
      </w:pPr>
      <w:rPr>
        <w:rFonts w:ascii="Wingdings" w:eastAsia="MS Gothic"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6"/>
  </w:num>
  <w:num w:numId="3">
    <w:abstractNumId w:val="13"/>
  </w:num>
  <w:num w:numId="4">
    <w:abstractNumId w:val="32"/>
  </w:num>
  <w:num w:numId="5">
    <w:abstractNumId w:val="28"/>
  </w:num>
  <w:num w:numId="6">
    <w:abstractNumId w:val="5"/>
  </w:num>
  <w:num w:numId="7">
    <w:abstractNumId w:val="29"/>
  </w:num>
  <w:num w:numId="8">
    <w:abstractNumId w:val="4"/>
  </w:num>
  <w:num w:numId="9">
    <w:abstractNumId w:val="15"/>
  </w:num>
  <w:num w:numId="10">
    <w:abstractNumId w:val="2"/>
  </w:num>
  <w:num w:numId="11">
    <w:abstractNumId w:val="1"/>
  </w:num>
  <w:num w:numId="12">
    <w:abstractNumId w:val="10"/>
  </w:num>
  <w:num w:numId="13">
    <w:abstractNumId w:val="3"/>
  </w:num>
  <w:num w:numId="14">
    <w:abstractNumId w:val="18"/>
  </w:num>
  <w:num w:numId="15">
    <w:abstractNumId w:val="20"/>
  </w:num>
  <w:num w:numId="16">
    <w:abstractNumId w:val="23"/>
  </w:num>
  <w:num w:numId="17">
    <w:abstractNumId w:val="9"/>
  </w:num>
  <w:num w:numId="18">
    <w:abstractNumId w:val="8"/>
  </w:num>
  <w:num w:numId="19">
    <w:abstractNumId w:val="22"/>
  </w:num>
  <w:num w:numId="20">
    <w:abstractNumId w:val="16"/>
  </w:num>
  <w:num w:numId="21">
    <w:abstractNumId w:val="6"/>
  </w:num>
  <w:num w:numId="22">
    <w:abstractNumId w:val="31"/>
  </w:num>
  <w:num w:numId="23">
    <w:abstractNumId w:val="30"/>
  </w:num>
  <w:num w:numId="24">
    <w:abstractNumId w:val="25"/>
  </w:num>
  <w:num w:numId="25">
    <w:abstractNumId w:val="24"/>
  </w:num>
  <w:num w:numId="26">
    <w:abstractNumId w:val="21"/>
  </w:num>
  <w:num w:numId="27">
    <w:abstractNumId w:val="11"/>
  </w:num>
  <w:num w:numId="28">
    <w:abstractNumId w:val="7"/>
  </w:num>
  <w:num w:numId="29">
    <w:abstractNumId w:val="14"/>
  </w:num>
  <w:num w:numId="30">
    <w:abstractNumId w:val="12"/>
  </w:num>
  <w:num w:numId="31">
    <w:abstractNumId w:val="17"/>
  </w:num>
  <w:num w:numId="32">
    <w:abstractNumId w:val="27"/>
  </w:num>
  <w:num w:numId="33">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ja-JP" w:vendorID="64" w:dllVersion="0" w:nlCheck="1" w:checkStyle="1"/>
  <w:activeWritingStyle w:appName="MSWord" w:lang="en-US" w:vendorID="64" w:dllVersion="6" w:nlCheck="1" w:checkStyle="1"/>
  <w:activeWritingStyle w:appName="MSWord" w:lang="en-GB" w:vendorID="64" w:dllVersion="6" w:nlCheck="1" w:checkStyle="0"/>
  <w:activeWritingStyle w:appName="MSWord" w:lang="en-GB" w:vendorID="8" w:dllVersion="513" w:checkStyle="1"/>
  <w:activeWritingStyle w:appName="MSWord" w:lang="en-US" w:vendorID="8" w:dllVersion="513" w:checkStyle="1"/>
  <w:activeWritingStyle w:appName="MSWord" w:lang="en-US" w:vendorID="6" w:dllVersion="2" w:checkStyle="1"/>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7A66"/>
    <w:rsid w:val="00001127"/>
    <w:rsid w:val="0000194B"/>
    <w:rsid w:val="00001C53"/>
    <w:rsid w:val="0000234B"/>
    <w:rsid w:val="00003200"/>
    <w:rsid w:val="00004C3D"/>
    <w:rsid w:val="000052AC"/>
    <w:rsid w:val="000067FD"/>
    <w:rsid w:val="00007002"/>
    <w:rsid w:val="00007326"/>
    <w:rsid w:val="00007F27"/>
    <w:rsid w:val="00010A3A"/>
    <w:rsid w:val="00010B9D"/>
    <w:rsid w:val="00010BBD"/>
    <w:rsid w:val="0001140D"/>
    <w:rsid w:val="000116E5"/>
    <w:rsid w:val="000118ED"/>
    <w:rsid w:val="0001338A"/>
    <w:rsid w:val="000145EB"/>
    <w:rsid w:val="00014F06"/>
    <w:rsid w:val="0001566D"/>
    <w:rsid w:val="000162F9"/>
    <w:rsid w:val="000167C2"/>
    <w:rsid w:val="00017C2D"/>
    <w:rsid w:val="00021397"/>
    <w:rsid w:val="000217DC"/>
    <w:rsid w:val="0002196B"/>
    <w:rsid w:val="00021A93"/>
    <w:rsid w:val="000220B7"/>
    <w:rsid w:val="0002249D"/>
    <w:rsid w:val="00023C43"/>
    <w:rsid w:val="0002437E"/>
    <w:rsid w:val="0002538B"/>
    <w:rsid w:val="00025777"/>
    <w:rsid w:val="00025A9C"/>
    <w:rsid w:val="00025F25"/>
    <w:rsid w:val="000265AD"/>
    <w:rsid w:val="00026CDA"/>
    <w:rsid w:val="00026EF5"/>
    <w:rsid w:val="00027313"/>
    <w:rsid w:val="00027F18"/>
    <w:rsid w:val="0003033A"/>
    <w:rsid w:val="000324BD"/>
    <w:rsid w:val="000330EC"/>
    <w:rsid w:val="00033EAE"/>
    <w:rsid w:val="00033FC8"/>
    <w:rsid w:val="00034993"/>
    <w:rsid w:val="00034A5A"/>
    <w:rsid w:val="00034A96"/>
    <w:rsid w:val="00034DE2"/>
    <w:rsid w:val="00035342"/>
    <w:rsid w:val="0003623A"/>
    <w:rsid w:val="00037655"/>
    <w:rsid w:val="0003780A"/>
    <w:rsid w:val="00040596"/>
    <w:rsid w:val="00040855"/>
    <w:rsid w:val="000420AF"/>
    <w:rsid w:val="00042C20"/>
    <w:rsid w:val="00042DB3"/>
    <w:rsid w:val="00043229"/>
    <w:rsid w:val="000439B1"/>
    <w:rsid w:val="00043EAA"/>
    <w:rsid w:val="00043EE8"/>
    <w:rsid w:val="00044045"/>
    <w:rsid w:val="00044B2B"/>
    <w:rsid w:val="000450EC"/>
    <w:rsid w:val="0004609B"/>
    <w:rsid w:val="0004749C"/>
    <w:rsid w:val="00050730"/>
    <w:rsid w:val="000507F7"/>
    <w:rsid w:val="00051251"/>
    <w:rsid w:val="000525F6"/>
    <w:rsid w:val="00052B58"/>
    <w:rsid w:val="00052BC9"/>
    <w:rsid w:val="000537DF"/>
    <w:rsid w:val="000537F1"/>
    <w:rsid w:val="0005398E"/>
    <w:rsid w:val="00054273"/>
    <w:rsid w:val="000544C1"/>
    <w:rsid w:val="000574D5"/>
    <w:rsid w:val="00057C73"/>
    <w:rsid w:val="000602AB"/>
    <w:rsid w:val="000604D4"/>
    <w:rsid w:val="00061598"/>
    <w:rsid w:val="00061613"/>
    <w:rsid w:val="00062E61"/>
    <w:rsid w:val="000630C5"/>
    <w:rsid w:val="00063399"/>
    <w:rsid w:val="00063943"/>
    <w:rsid w:val="0006526A"/>
    <w:rsid w:val="0006556A"/>
    <w:rsid w:val="00066A3B"/>
    <w:rsid w:val="00070A81"/>
    <w:rsid w:val="00070D43"/>
    <w:rsid w:val="000711C6"/>
    <w:rsid w:val="00071558"/>
    <w:rsid w:val="00071895"/>
    <w:rsid w:val="00072296"/>
    <w:rsid w:val="00072ABF"/>
    <w:rsid w:val="000735BD"/>
    <w:rsid w:val="00073ABC"/>
    <w:rsid w:val="00073ADF"/>
    <w:rsid w:val="00073E3B"/>
    <w:rsid w:val="00076246"/>
    <w:rsid w:val="000768FC"/>
    <w:rsid w:val="00076D48"/>
    <w:rsid w:val="000817D5"/>
    <w:rsid w:val="00083F7A"/>
    <w:rsid w:val="00084A31"/>
    <w:rsid w:val="00085047"/>
    <w:rsid w:val="00085D56"/>
    <w:rsid w:val="00085EBD"/>
    <w:rsid w:val="000902F6"/>
    <w:rsid w:val="00091E49"/>
    <w:rsid w:val="0009222D"/>
    <w:rsid w:val="00093548"/>
    <w:rsid w:val="00096C3A"/>
    <w:rsid w:val="00097E8C"/>
    <w:rsid w:val="000A0134"/>
    <w:rsid w:val="000A085E"/>
    <w:rsid w:val="000A0990"/>
    <w:rsid w:val="000A0C26"/>
    <w:rsid w:val="000A12A0"/>
    <w:rsid w:val="000A1AE6"/>
    <w:rsid w:val="000A220C"/>
    <w:rsid w:val="000A2507"/>
    <w:rsid w:val="000A2728"/>
    <w:rsid w:val="000A2D2D"/>
    <w:rsid w:val="000A2FF0"/>
    <w:rsid w:val="000A3E81"/>
    <w:rsid w:val="000A40BB"/>
    <w:rsid w:val="000A47E4"/>
    <w:rsid w:val="000A61D8"/>
    <w:rsid w:val="000A662D"/>
    <w:rsid w:val="000A6A36"/>
    <w:rsid w:val="000A734D"/>
    <w:rsid w:val="000A780F"/>
    <w:rsid w:val="000A7EE5"/>
    <w:rsid w:val="000B1134"/>
    <w:rsid w:val="000B12A8"/>
    <w:rsid w:val="000B231E"/>
    <w:rsid w:val="000B2BAC"/>
    <w:rsid w:val="000B403D"/>
    <w:rsid w:val="000B4D91"/>
    <w:rsid w:val="000B5874"/>
    <w:rsid w:val="000B5A6C"/>
    <w:rsid w:val="000B5A88"/>
    <w:rsid w:val="000B5D95"/>
    <w:rsid w:val="000C033E"/>
    <w:rsid w:val="000C058C"/>
    <w:rsid w:val="000C0B0B"/>
    <w:rsid w:val="000C3423"/>
    <w:rsid w:val="000C40D3"/>
    <w:rsid w:val="000C4B32"/>
    <w:rsid w:val="000C5F33"/>
    <w:rsid w:val="000C703A"/>
    <w:rsid w:val="000C7F22"/>
    <w:rsid w:val="000C7F76"/>
    <w:rsid w:val="000D0434"/>
    <w:rsid w:val="000D061F"/>
    <w:rsid w:val="000D11A6"/>
    <w:rsid w:val="000D1441"/>
    <w:rsid w:val="000D16F8"/>
    <w:rsid w:val="000D211C"/>
    <w:rsid w:val="000D289B"/>
    <w:rsid w:val="000D32CA"/>
    <w:rsid w:val="000D3BFC"/>
    <w:rsid w:val="000D3E6A"/>
    <w:rsid w:val="000D5BB1"/>
    <w:rsid w:val="000D635E"/>
    <w:rsid w:val="000D669C"/>
    <w:rsid w:val="000D7EB9"/>
    <w:rsid w:val="000D7ECE"/>
    <w:rsid w:val="000E0039"/>
    <w:rsid w:val="000E00CF"/>
    <w:rsid w:val="000E0575"/>
    <w:rsid w:val="000E05B3"/>
    <w:rsid w:val="000E0802"/>
    <w:rsid w:val="000E11ED"/>
    <w:rsid w:val="000E2561"/>
    <w:rsid w:val="000E26F3"/>
    <w:rsid w:val="000E4D38"/>
    <w:rsid w:val="000E5CF7"/>
    <w:rsid w:val="000E6D51"/>
    <w:rsid w:val="000E6E19"/>
    <w:rsid w:val="000E7348"/>
    <w:rsid w:val="000E772B"/>
    <w:rsid w:val="000E7CA7"/>
    <w:rsid w:val="000F0312"/>
    <w:rsid w:val="000F03D2"/>
    <w:rsid w:val="000F07A5"/>
    <w:rsid w:val="000F0D88"/>
    <w:rsid w:val="000F1024"/>
    <w:rsid w:val="000F16D1"/>
    <w:rsid w:val="000F1CB3"/>
    <w:rsid w:val="000F2B2E"/>
    <w:rsid w:val="000F421E"/>
    <w:rsid w:val="000F513D"/>
    <w:rsid w:val="000F598A"/>
    <w:rsid w:val="000F637C"/>
    <w:rsid w:val="001009BB"/>
    <w:rsid w:val="00100EAD"/>
    <w:rsid w:val="0010124F"/>
    <w:rsid w:val="00103695"/>
    <w:rsid w:val="001039A7"/>
    <w:rsid w:val="00104EEB"/>
    <w:rsid w:val="00105819"/>
    <w:rsid w:val="00106AEC"/>
    <w:rsid w:val="00106D21"/>
    <w:rsid w:val="00106F6F"/>
    <w:rsid w:val="00107725"/>
    <w:rsid w:val="00107E7C"/>
    <w:rsid w:val="00111829"/>
    <w:rsid w:val="001122B3"/>
    <w:rsid w:val="00113061"/>
    <w:rsid w:val="001142EE"/>
    <w:rsid w:val="00114874"/>
    <w:rsid w:val="00114D70"/>
    <w:rsid w:val="00115C5C"/>
    <w:rsid w:val="00116280"/>
    <w:rsid w:val="00116515"/>
    <w:rsid w:val="00116980"/>
    <w:rsid w:val="00117EAE"/>
    <w:rsid w:val="001209B6"/>
    <w:rsid w:val="00120B42"/>
    <w:rsid w:val="00121AE3"/>
    <w:rsid w:val="00121E9B"/>
    <w:rsid w:val="00122067"/>
    <w:rsid w:val="0012249A"/>
    <w:rsid w:val="001237A1"/>
    <w:rsid w:val="001239A0"/>
    <w:rsid w:val="0012400F"/>
    <w:rsid w:val="00124DC1"/>
    <w:rsid w:val="00124F78"/>
    <w:rsid w:val="00124FD5"/>
    <w:rsid w:val="00125881"/>
    <w:rsid w:val="00125AF3"/>
    <w:rsid w:val="00127F34"/>
    <w:rsid w:val="00130144"/>
    <w:rsid w:val="0013249C"/>
    <w:rsid w:val="0013317C"/>
    <w:rsid w:val="00133AEA"/>
    <w:rsid w:val="0013405B"/>
    <w:rsid w:val="001345CB"/>
    <w:rsid w:val="001352C0"/>
    <w:rsid w:val="001359C8"/>
    <w:rsid w:val="001359FC"/>
    <w:rsid w:val="001369BC"/>
    <w:rsid w:val="00136F3C"/>
    <w:rsid w:val="0013709D"/>
    <w:rsid w:val="0013721B"/>
    <w:rsid w:val="00137370"/>
    <w:rsid w:val="001376F8"/>
    <w:rsid w:val="0013785D"/>
    <w:rsid w:val="00137C66"/>
    <w:rsid w:val="0014102E"/>
    <w:rsid w:val="001425E2"/>
    <w:rsid w:val="00142E48"/>
    <w:rsid w:val="00143D15"/>
    <w:rsid w:val="00143EC7"/>
    <w:rsid w:val="00144950"/>
    <w:rsid w:val="00144D7D"/>
    <w:rsid w:val="00144F18"/>
    <w:rsid w:val="00145ABF"/>
    <w:rsid w:val="00146389"/>
    <w:rsid w:val="00146871"/>
    <w:rsid w:val="00147398"/>
    <w:rsid w:val="00147D0B"/>
    <w:rsid w:val="0015005A"/>
    <w:rsid w:val="0015070B"/>
    <w:rsid w:val="00150C53"/>
    <w:rsid w:val="00150E4E"/>
    <w:rsid w:val="001515E9"/>
    <w:rsid w:val="001526C4"/>
    <w:rsid w:val="00153DD4"/>
    <w:rsid w:val="00155092"/>
    <w:rsid w:val="001551B0"/>
    <w:rsid w:val="00155FD6"/>
    <w:rsid w:val="001572C3"/>
    <w:rsid w:val="0016016E"/>
    <w:rsid w:val="0016062A"/>
    <w:rsid w:val="00161390"/>
    <w:rsid w:val="00161427"/>
    <w:rsid w:val="001615D7"/>
    <w:rsid w:val="001619A2"/>
    <w:rsid w:val="00162012"/>
    <w:rsid w:val="001621B5"/>
    <w:rsid w:val="0016225C"/>
    <w:rsid w:val="00162C23"/>
    <w:rsid w:val="001638DC"/>
    <w:rsid w:val="00164574"/>
    <w:rsid w:val="00164E2D"/>
    <w:rsid w:val="001658FD"/>
    <w:rsid w:val="00165941"/>
    <w:rsid w:val="00165AC6"/>
    <w:rsid w:val="00166CD8"/>
    <w:rsid w:val="00166E8D"/>
    <w:rsid w:val="001678CE"/>
    <w:rsid w:val="001705F0"/>
    <w:rsid w:val="0017111A"/>
    <w:rsid w:val="0017181F"/>
    <w:rsid w:val="00171920"/>
    <w:rsid w:val="00171BCF"/>
    <w:rsid w:val="00171D4A"/>
    <w:rsid w:val="00172A13"/>
    <w:rsid w:val="00172CD4"/>
    <w:rsid w:val="00173856"/>
    <w:rsid w:val="00173DE6"/>
    <w:rsid w:val="00174000"/>
    <w:rsid w:val="00175379"/>
    <w:rsid w:val="00175B03"/>
    <w:rsid w:val="00175D78"/>
    <w:rsid w:val="00177591"/>
    <w:rsid w:val="00177E15"/>
    <w:rsid w:val="00180492"/>
    <w:rsid w:val="00180545"/>
    <w:rsid w:val="001813EC"/>
    <w:rsid w:val="001816ED"/>
    <w:rsid w:val="00181845"/>
    <w:rsid w:val="00182CF1"/>
    <w:rsid w:val="001833D8"/>
    <w:rsid w:val="001834F8"/>
    <w:rsid w:val="0018362F"/>
    <w:rsid w:val="00183773"/>
    <w:rsid w:val="00184BCB"/>
    <w:rsid w:val="001850BE"/>
    <w:rsid w:val="00185250"/>
    <w:rsid w:val="001852EF"/>
    <w:rsid w:val="00191CDD"/>
    <w:rsid w:val="00191DB5"/>
    <w:rsid w:val="00192B39"/>
    <w:rsid w:val="00192E36"/>
    <w:rsid w:val="0019385A"/>
    <w:rsid w:val="001939BC"/>
    <w:rsid w:val="00193C69"/>
    <w:rsid w:val="00194A16"/>
    <w:rsid w:val="001951BB"/>
    <w:rsid w:val="00196FE8"/>
    <w:rsid w:val="001974FA"/>
    <w:rsid w:val="00197817"/>
    <w:rsid w:val="00197D07"/>
    <w:rsid w:val="00197E33"/>
    <w:rsid w:val="001A1731"/>
    <w:rsid w:val="001A2319"/>
    <w:rsid w:val="001A27C3"/>
    <w:rsid w:val="001A2F85"/>
    <w:rsid w:val="001A2FFD"/>
    <w:rsid w:val="001A3DF5"/>
    <w:rsid w:val="001A461E"/>
    <w:rsid w:val="001A47FE"/>
    <w:rsid w:val="001A49A6"/>
    <w:rsid w:val="001A4B34"/>
    <w:rsid w:val="001A4C96"/>
    <w:rsid w:val="001A5110"/>
    <w:rsid w:val="001A5547"/>
    <w:rsid w:val="001A69CD"/>
    <w:rsid w:val="001A6B0C"/>
    <w:rsid w:val="001A6EEB"/>
    <w:rsid w:val="001A7214"/>
    <w:rsid w:val="001B0805"/>
    <w:rsid w:val="001B0C27"/>
    <w:rsid w:val="001B11E5"/>
    <w:rsid w:val="001B1DA2"/>
    <w:rsid w:val="001B2363"/>
    <w:rsid w:val="001B28B9"/>
    <w:rsid w:val="001B29A9"/>
    <w:rsid w:val="001B2C58"/>
    <w:rsid w:val="001B2EBA"/>
    <w:rsid w:val="001B3B6A"/>
    <w:rsid w:val="001B53DA"/>
    <w:rsid w:val="001B5537"/>
    <w:rsid w:val="001B7451"/>
    <w:rsid w:val="001B7A66"/>
    <w:rsid w:val="001C09D0"/>
    <w:rsid w:val="001C0CD5"/>
    <w:rsid w:val="001C1032"/>
    <w:rsid w:val="001C2301"/>
    <w:rsid w:val="001C2B15"/>
    <w:rsid w:val="001C3EB8"/>
    <w:rsid w:val="001C4B45"/>
    <w:rsid w:val="001C6B4B"/>
    <w:rsid w:val="001C6BE0"/>
    <w:rsid w:val="001C795A"/>
    <w:rsid w:val="001C7F0B"/>
    <w:rsid w:val="001C7FA2"/>
    <w:rsid w:val="001D0A46"/>
    <w:rsid w:val="001D0C24"/>
    <w:rsid w:val="001D20DC"/>
    <w:rsid w:val="001D2434"/>
    <w:rsid w:val="001D26B2"/>
    <w:rsid w:val="001D29AC"/>
    <w:rsid w:val="001D3C87"/>
    <w:rsid w:val="001D3D18"/>
    <w:rsid w:val="001D4AF3"/>
    <w:rsid w:val="001D4C51"/>
    <w:rsid w:val="001D4CF8"/>
    <w:rsid w:val="001D5FFE"/>
    <w:rsid w:val="001D6379"/>
    <w:rsid w:val="001D6B7D"/>
    <w:rsid w:val="001D797A"/>
    <w:rsid w:val="001D79A4"/>
    <w:rsid w:val="001E0156"/>
    <w:rsid w:val="001E0A72"/>
    <w:rsid w:val="001E2FDF"/>
    <w:rsid w:val="001E310A"/>
    <w:rsid w:val="001E334E"/>
    <w:rsid w:val="001E38DF"/>
    <w:rsid w:val="001E3D24"/>
    <w:rsid w:val="001E4BD5"/>
    <w:rsid w:val="001E4DE0"/>
    <w:rsid w:val="001E57DA"/>
    <w:rsid w:val="001E6225"/>
    <w:rsid w:val="001F0718"/>
    <w:rsid w:val="001F0901"/>
    <w:rsid w:val="001F1EE7"/>
    <w:rsid w:val="001F22D0"/>
    <w:rsid w:val="001F2A6D"/>
    <w:rsid w:val="001F2E26"/>
    <w:rsid w:val="001F31E9"/>
    <w:rsid w:val="001F38E6"/>
    <w:rsid w:val="001F3B23"/>
    <w:rsid w:val="001F4F6C"/>
    <w:rsid w:val="001F50B1"/>
    <w:rsid w:val="001F5117"/>
    <w:rsid w:val="001F53B4"/>
    <w:rsid w:val="001F6A65"/>
    <w:rsid w:val="00200E7A"/>
    <w:rsid w:val="00200F8E"/>
    <w:rsid w:val="00201BD4"/>
    <w:rsid w:val="00202BB5"/>
    <w:rsid w:val="00202E3F"/>
    <w:rsid w:val="002038DC"/>
    <w:rsid w:val="00204CA7"/>
    <w:rsid w:val="00205C5F"/>
    <w:rsid w:val="00207050"/>
    <w:rsid w:val="00210E49"/>
    <w:rsid w:val="002111F6"/>
    <w:rsid w:val="002117A7"/>
    <w:rsid w:val="00212B9A"/>
    <w:rsid w:val="00212C33"/>
    <w:rsid w:val="00212E32"/>
    <w:rsid w:val="00213C68"/>
    <w:rsid w:val="0021486C"/>
    <w:rsid w:val="002148C2"/>
    <w:rsid w:val="00214B24"/>
    <w:rsid w:val="00214F58"/>
    <w:rsid w:val="002153A7"/>
    <w:rsid w:val="0021570B"/>
    <w:rsid w:val="00216627"/>
    <w:rsid w:val="002166F2"/>
    <w:rsid w:val="00216BF1"/>
    <w:rsid w:val="00220F8C"/>
    <w:rsid w:val="00221E6E"/>
    <w:rsid w:val="002221B4"/>
    <w:rsid w:val="002234CA"/>
    <w:rsid w:val="0022363C"/>
    <w:rsid w:val="002239EF"/>
    <w:rsid w:val="00223E25"/>
    <w:rsid w:val="00226102"/>
    <w:rsid w:val="00226BE2"/>
    <w:rsid w:val="00226CA3"/>
    <w:rsid w:val="002315E0"/>
    <w:rsid w:val="002316CA"/>
    <w:rsid w:val="00231B9C"/>
    <w:rsid w:val="00231C72"/>
    <w:rsid w:val="002323E0"/>
    <w:rsid w:val="00234C84"/>
    <w:rsid w:val="00234FD8"/>
    <w:rsid w:val="00235B13"/>
    <w:rsid w:val="00236D95"/>
    <w:rsid w:val="0023702E"/>
    <w:rsid w:val="00241124"/>
    <w:rsid w:val="00242530"/>
    <w:rsid w:val="0024264B"/>
    <w:rsid w:val="0024278D"/>
    <w:rsid w:val="00243715"/>
    <w:rsid w:val="00243841"/>
    <w:rsid w:val="002446AE"/>
    <w:rsid w:val="00244E02"/>
    <w:rsid w:val="00245807"/>
    <w:rsid w:val="00246542"/>
    <w:rsid w:val="0024682D"/>
    <w:rsid w:val="00246BE6"/>
    <w:rsid w:val="00247422"/>
    <w:rsid w:val="00247906"/>
    <w:rsid w:val="00250501"/>
    <w:rsid w:val="00251061"/>
    <w:rsid w:val="00251260"/>
    <w:rsid w:val="00252203"/>
    <w:rsid w:val="0025262F"/>
    <w:rsid w:val="00252755"/>
    <w:rsid w:val="002535F5"/>
    <w:rsid w:val="0025391C"/>
    <w:rsid w:val="0025393D"/>
    <w:rsid w:val="002542D2"/>
    <w:rsid w:val="00254479"/>
    <w:rsid w:val="002548CA"/>
    <w:rsid w:val="002558F3"/>
    <w:rsid w:val="00255A47"/>
    <w:rsid w:val="00256A9C"/>
    <w:rsid w:val="0025709B"/>
    <w:rsid w:val="00260020"/>
    <w:rsid w:val="00260AAE"/>
    <w:rsid w:val="002613CB"/>
    <w:rsid w:val="00261947"/>
    <w:rsid w:val="002619C3"/>
    <w:rsid w:val="00261D86"/>
    <w:rsid w:val="0026325E"/>
    <w:rsid w:val="00263E4A"/>
    <w:rsid w:val="00264AD5"/>
    <w:rsid w:val="002656BA"/>
    <w:rsid w:val="00265A28"/>
    <w:rsid w:val="00266215"/>
    <w:rsid w:val="00267756"/>
    <w:rsid w:val="00270949"/>
    <w:rsid w:val="00271338"/>
    <w:rsid w:val="002714FC"/>
    <w:rsid w:val="0027292C"/>
    <w:rsid w:val="00273D33"/>
    <w:rsid w:val="00274086"/>
    <w:rsid w:val="0027475A"/>
    <w:rsid w:val="0027520F"/>
    <w:rsid w:val="002755EC"/>
    <w:rsid w:val="00275AE9"/>
    <w:rsid w:val="002761A1"/>
    <w:rsid w:val="00276664"/>
    <w:rsid w:val="00276A2F"/>
    <w:rsid w:val="00276D25"/>
    <w:rsid w:val="00276F9E"/>
    <w:rsid w:val="00277325"/>
    <w:rsid w:val="002778E5"/>
    <w:rsid w:val="00277CC0"/>
    <w:rsid w:val="00277CC5"/>
    <w:rsid w:val="00277F5D"/>
    <w:rsid w:val="00280770"/>
    <w:rsid w:val="00280B6D"/>
    <w:rsid w:val="0028245F"/>
    <w:rsid w:val="0028249E"/>
    <w:rsid w:val="00283301"/>
    <w:rsid w:val="00283692"/>
    <w:rsid w:val="002839FF"/>
    <w:rsid w:val="00283AE6"/>
    <w:rsid w:val="00284D4D"/>
    <w:rsid w:val="00285648"/>
    <w:rsid w:val="002858F2"/>
    <w:rsid w:val="00285AA9"/>
    <w:rsid w:val="00285B2F"/>
    <w:rsid w:val="00285D07"/>
    <w:rsid w:val="00285E88"/>
    <w:rsid w:val="0028623A"/>
    <w:rsid w:val="00286B09"/>
    <w:rsid w:val="00286DCB"/>
    <w:rsid w:val="00287742"/>
    <w:rsid w:val="0029153F"/>
    <w:rsid w:val="00292114"/>
    <w:rsid w:val="00292DAB"/>
    <w:rsid w:val="00294DFD"/>
    <w:rsid w:val="00295E90"/>
    <w:rsid w:val="00296F5A"/>
    <w:rsid w:val="002A040E"/>
    <w:rsid w:val="002A2393"/>
    <w:rsid w:val="002A278C"/>
    <w:rsid w:val="002A3406"/>
    <w:rsid w:val="002A37FA"/>
    <w:rsid w:val="002A3EDA"/>
    <w:rsid w:val="002A6213"/>
    <w:rsid w:val="002A70B7"/>
    <w:rsid w:val="002A7371"/>
    <w:rsid w:val="002A7C36"/>
    <w:rsid w:val="002A7D28"/>
    <w:rsid w:val="002B0085"/>
    <w:rsid w:val="002B03A1"/>
    <w:rsid w:val="002B055E"/>
    <w:rsid w:val="002B17C3"/>
    <w:rsid w:val="002B242B"/>
    <w:rsid w:val="002B278D"/>
    <w:rsid w:val="002B46AA"/>
    <w:rsid w:val="002B476A"/>
    <w:rsid w:val="002B4DA8"/>
    <w:rsid w:val="002B5415"/>
    <w:rsid w:val="002B5FD2"/>
    <w:rsid w:val="002B66AD"/>
    <w:rsid w:val="002B6A6A"/>
    <w:rsid w:val="002B6BEF"/>
    <w:rsid w:val="002C01E1"/>
    <w:rsid w:val="002C04B2"/>
    <w:rsid w:val="002C254F"/>
    <w:rsid w:val="002C28D2"/>
    <w:rsid w:val="002C30D2"/>
    <w:rsid w:val="002C32F3"/>
    <w:rsid w:val="002C4A09"/>
    <w:rsid w:val="002C5482"/>
    <w:rsid w:val="002C637D"/>
    <w:rsid w:val="002C76DB"/>
    <w:rsid w:val="002D119A"/>
    <w:rsid w:val="002D132A"/>
    <w:rsid w:val="002D1DBA"/>
    <w:rsid w:val="002D47F8"/>
    <w:rsid w:val="002D4CB5"/>
    <w:rsid w:val="002D64A6"/>
    <w:rsid w:val="002D6539"/>
    <w:rsid w:val="002D65B4"/>
    <w:rsid w:val="002D68C2"/>
    <w:rsid w:val="002D68E1"/>
    <w:rsid w:val="002D6C03"/>
    <w:rsid w:val="002D74A4"/>
    <w:rsid w:val="002E0237"/>
    <w:rsid w:val="002E07BF"/>
    <w:rsid w:val="002E1F7F"/>
    <w:rsid w:val="002E2214"/>
    <w:rsid w:val="002E3238"/>
    <w:rsid w:val="002E3539"/>
    <w:rsid w:val="002E3554"/>
    <w:rsid w:val="002E3897"/>
    <w:rsid w:val="002E3E3A"/>
    <w:rsid w:val="002E45CC"/>
    <w:rsid w:val="002E46B0"/>
    <w:rsid w:val="002E4DDC"/>
    <w:rsid w:val="002E51EF"/>
    <w:rsid w:val="002E6B68"/>
    <w:rsid w:val="002E7190"/>
    <w:rsid w:val="002E7285"/>
    <w:rsid w:val="002F2D32"/>
    <w:rsid w:val="002F52B7"/>
    <w:rsid w:val="002F54B8"/>
    <w:rsid w:val="002F5E62"/>
    <w:rsid w:val="002F637F"/>
    <w:rsid w:val="002F73A9"/>
    <w:rsid w:val="002F7BD4"/>
    <w:rsid w:val="002F7DEF"/>
    <w:rsid w:val="0030060A"/>
    <w:rsid w:val="00300899"/>
    <w:rsid w:val="00302260"/>
    <w:rsid w:val="00302B3D"/>
    <w:rsid w:val="00303767"/>
    <w:rsid w:val="00303EEC"/>
    <w:rsid w:val="00304251"/>
    <w:rsid w:val="00304EF9"/>
    <w:rsid w:val="00306D97"/>
    <w:rsid w:val="0030728A"/>
    <w:rsid w:val="00307AA7"/>
    <w:rsid w:val="0031113C"/>
    <w:rsid w:val="00311863"/>
    <w:rsid w:val="00311D7A"/>
    <w:rsid w:val="00312DA0"/>
    <w:rsid w:val="003130B2"/>
    <w:rsid w:val="003132BF"/>
    <w:rsid w:val="003135D1"/>
    <w:rsid w:val="00313E4D"/>
    <w:rsid w:val="003149BB"/>
    <w:rsid w:val="00314AE8"/>
    <w:rsid w:val="00314E66"/>
    <w:rsid w:val="00315395"/>
    <w:rsid w:val="00315B99"/>
    <w:rsid w:val="003160D0"/>
    <w:rsid w:val="00316856"/>
    <w:rsid w:val="0031709E"/>
    <w:rsid w:val="003172AE"/>
    <w:rsid w:val="00317BBF"/>
    <w:rsid w:val="00317FD8"/>
    <w:rsid w:val="0032043F"/>
    <w:rsid w:val="00320AE6"/>
    <w:rsid w:val="003214DB"/>
    <w:rsid w:val="003215F8"/>
    <w:rsid w:val="00321691"/>
    <w:rsid w:val="00321D45"/>
    <w:rsid w:val="00322548"/>
    <w:rsid w:val="00322BFB"/>
    <w:rsid w:val="003234B2"/>
    <w:rsid w:val="0032381C"/>
    <w:rsid w:val="00324787"/>
    <w:rsid w:val="00325341"/>
    <w:rsid w:val="00325361"/>
    <w:rsid w:val="0032543D"/>
    <w:rsid w:val="003267D6"/>
    <w:rsid w:val="003271C5"/>
    <w:rsid w:val="003271DC"/>
    <w:rsid w:val="00327AC7"/>
    <w:rsid w:val="00327F39"/>
    <w:rsid w:val="00330608"/>
    <w:rsid w:val="00330B3E"/>
    <w:rsid w:val="00330DD4"/>
    <w:rsid w:val="00331495"/>
    <w:rsid w:val="00331D47"/>
    <w:rsid w:val="00331E7B"/>
    <w:rsid w:val="003322DF"/>
    <w:rsid w:val="00333BCE"/>
    <w:rsid w:val="00333D5F"/>
    <w:rsid w:val="00333E8B"/>
    <w:rsid w:val="00334844"/>
    <w:rsid w:val="00334C67"/>
    <w:rsid w:val="00335255"/>
    <w:rsid w:val="003354C9"/>
    <w:rsid w:val="003357BD"/>
    <w:rsid w:val="003358D0"/>
    <w:rsid w:val="00335A64"/>
    <w:rsid w:val="00336809"/>
    <w:rsid w:val="00336A4A"/>
    <w:rsid w:val="00336AB6"/>
    <w:rsid w:val="00336DFA"/>
    <w:rsid w:val="00337007"/>
    <w:rsid w:val="003379AD"/>
    <w:rsid w:val="00337B72"/>
    <w:rsid w:val="00340C17"/>
    <w:rsid w:val="0034154E"/>
    <w:rsid w:val="00342835"/>
    <w:rsid w:val="00342971"/>
    <w:rsid w:val="003435BC"/>
    <w:rsid w:val="00343B2C"/>
    <w:rsid w:val="0034424C"/>
    <w:rsid w:val="0034509D"/>
    <w:rsid w:val="003454C9"/>
    <w:rsid w:val="003465C0"/>
    <w:rsid w:val="00346FC7"/>
    <w:rsid w:val="0034728F"/>
    <w:rsid w:val="00347981"/>
    <w:rsid w:val="00347D3F"/>
    <w:rsid w:val="00350905"/>
    <w:rsid w:val="00351AE9"/>
    <w:rsid w:val="003520F7"/>
    <w:rsid w:val="003523BE"/>
    <w:rsid w:val="003524BC"/>
    <w:rsid w:val="00352965"/>
    <w:rsid w:val="00353F6C"/>
    <w:rsid w:val="00354455"/>
    <w:rsid w:val="00354A4B"/>
    <w:rsid w:val="00355693"/>
    <w:rsid w:val="00355698"/>
    <w:rsid w:val="00355E2E"/>
    <w:rsid w:val="00356462"/>
    <w:rsid w:val="00356AA7"/>
    <w:rsid w:val="00360607"/>
    <w:rsid w:val="00360B67"/>
    <w:rsid w:val="003615A2"/>
    <w:rsid w:val="00361E72"/>
    <w:rsid w:val="0036272E"/>
    <w:rsid w:val="00362AD8"/>
    <w:rsid w:val="00362DAC"/>
    <w:rsid w:val="0036375D"/>
    <w:rsid w:val="00363DA2"/>
    <w:rsid w:val="003646DF"/>
    <w:rsid w:val="00364736"/>
    <w:rsid w:val="00364FAA"/>
    <w:rsid w:val="00365287"/>
    <w:rsid w:val="003652C6"/>
    <w:rsid w:val="00365DFF"/>
    <w:rsid w:val="0036673F"/>
    <w:rsid w:val="00366748"/>
    <w:rsid w:val="00366D73"/>
    <w:rsid w:val="0036710A"/>
    <w:rsid w:val="0036744F"/>
    <w:rsid w:val="0036768F"/>
    <w:rsid w:val="00367A38"/>
    <w:rsid w:val="00367B9B"/>
    <w:rsid w:val="00371DB1"/>
    <w:rsid w:val="003720BF"/>
    <w:rsid w:val="003724D7"/>
    <w:rsid w:val="0037352D"/>
    <w:rsid w:val="00373634"/>
    <w:rsid w:val="00374B08"/>
    <w:rsid w:val="00374B86"/>
    <w:rsid w:val="00374C9B"/>
    <w:rsid w:val="00375422"/>
    <w:rsid w:val="0037569C"/>
    <w:rsid w:val="00375753"/>
    <w:rsid w:val="0037601E"/>
    <w:rsid w:val="00376557"/>
    <w:rsid w:val="003816BC"/>
    <w:rsid w:val="0038176C"/>
    <w:rsid w:val="00381E39"/>
    <w:rsid w:val="003827C1"/>
    <w:rsid w:val="00383949"/>
    <w:rsid w:val="00384E7C"/>
    <w:rsid w:val="00385B12"/>
    <w:rsid w:val="003867A7"/>
    <w:rsid w:val="003871E1"/>
    <w:rsid w:val="0039010A"/>
    <w:rsid w:val="00390854"/>
    <w:rsid w:val="00390C17"/>
    <w:rsid w:val="0039151E"/>
    <w:rsid w:val="0039174E"/>
    <w:rsid w:val="0039239E"/>
    <w:rsid w:val="00392574"/>
    <w:rsid w:val="0039292F"/>
    <w:rsid w:val="00393480"/>
    <w:rsid w:val="003940D5"/>
    <w:rsid w:val="00394998"/>
    <w:rsid w:val="00394CB3"/>
    <w:rsid w:val="0039530C"/>
    <w:rsid w:val="003979B1"/>
    <w:rsid w:val="00397B9E"/>
    <w:rsid w:val="00397C8F"/>
    <w:rsid w:val="003A041E"/>
    <w:rsid w:val="003A0453"/>
    <w:rsid w:val="003A05C2"/>
    <w:rsid w:val="003A17D5"/>
    <w:rsid w:val="003A215E"/>
    <w:rsid w:val="003A2E7C"/>
    <w:rsid w:val="003A40A1"/>
    <w:rsid w:val="003A493E"/>
    <w:rsid w:val="003A5215"/>
    <w:rsid w:val="003A5575"/>
    <w:rsid w:val="003A617F"/>
    <w:rsid w:val="003A6557"/>
    <w:rsid w:val="003A671D"/>
    <w:rsid w:val="003A6DA3"/>
    <w:rsid w:val="003A7493"/>
    <w:rsid w:val="003A74E0"/>
    <w:rsid w:val="003A7610"/>
    <w:rsid w:val="003B0E1B"/>
    <w:rsid w:val="003B0E55"/>
    <w:rsid w:val="003B1501"/>
    <w:rsid w:val="003B19A9"/>
    <w:rsid w:val="003B1E3A"/>
    <w:rsid w:val="003B2598"/>
    <w:rsid w:val="003B32C0"/>
    <w:rsid w:val="003B35C5"/>
    <w:rsid w:val="003B381E"/>
    <w:rsid w:val="003B77E5"/>
    <w:rsid w:val="003B78F9"/>
    <w:rsid w:val="003C0D08"/>
    <w:rsid w:val="003C10A9"/>
    <w:rsid w:val="003C15DE"/>
    <w:rsid w:val="003C1D44"/>
    <w:rsid w:val="003C1E5B"/>
    <w:rsid w:val="003C204A"/>
    <w:rsid w:val="003C24E7"/>
    <w:rsid w:val="003C2667"/>
    <w:rsid w:val="003C4A22"/>
    <w:rsid w:val="003C4DFB"/>
    <w:rsid w:val="003C5B8A"/>
    <w:rsid w:val="003C7978"/>
    <w:rsid w:val="003D05B3"/>
    <w:rsid w:val="003D083B"/>
    <w:rsid w:val="003D1219"/>
    <w:rsid w:val="003D1F00"/>
    <w:rsid w:val="003D449A"/>
    <w:rsid w:val="003D451C"/>
    <w:rsid w:val="003D69D3"/>
    <w:rsid w:val="003D753F"/>
    <w:rsid w:val="003D7CEE"/>
    <w:rsid w:val="003D7DD2"/>
    <w:rsid w:val="003E0278"/>
    <w:rsid w:val="003E0789"/>
    <w:rsid w:val="003E0F10"/>
    <w:rsid w:val="003E139F"/>
    <w:rsid w:val="003E1612"/>
    <w:rsid w:val="003E1A4B"/>
    <w:rsid w:val="003E3BDC"/>
    <w:rsid w:val="003E42DE"/>
    <w:rsid w:val="003E43C6"/>
    <w:rsid w:val="003E44B0"/>
    <w:rsid w:val="003E61E7"/>
    <w:rsid w:val="003E6C72"/>
    <w:rsid w:val="003E74F1"/>
    <w:rsid w:val="003E7564"/>
    <w:rsid w:val="003F15E5"/>
    <w:rsid w:val="003F1C7A"/>
    <w:rsid w:val="003F2070"/>
    <w:rsid w:val="003F25F3"/>
    <w:rsid w:val="003F2DC8"/>
    <w:rsid w:val="003F2F81"/>
    <w:rsid w:val="003F3B36"/>
    <w:rsid w:val="003F49B9"/>
    <w:rsid w:val="003F4C53"/>
    <w:rsid w:val="003F508A"/>
    <w:rsid w:val="003F5608"/>
    <w:rsid w:val="003F64AD"/>
    <w:rsid w:val="003F6F40"/>
    <w:rsid w:val="003F6F50"/>
    <w:rsid w:val="00400EB7"/>
    <w:rsid w:val="0040249A"/>
    <w:rsid w:val="004028AA"/>
    <w:rsid w:val="00402B5D"/>
    <w:rsid w:val="00402E64"/>
    <w:rsid w:val="004036CC"/>
    <w:rsid w:val="00403DDC"/>
    <w:rsid w:val="004042FA"/>
    <w:rsid w:val="00404945"/>
    <w:rsid w:val="00405133"/>
    <w:rsid w:val="0040613F"/>
    <w:rsid w:val="004063BA"/>
    <w:rsid w:val="00406952"/>
    <w:rsid w:val="004078A5"/>
    <w:rsid w:val="00410BB4"/>
    <w:rsid w:val="004115AA"/>
    <w:rsid w:val="00412B0C"/>
    <w:rsid w:val="00412D5D"/>
    <w:rsid w:val="0041358F"/>
    <w:rsid w:val="0041431F"/>
    <w:rsid w:val="00414781"/>
    <w:rsid w:val="00414797"/>
    <w:rsid w:val="0041483F"/>
    <w:rsid w:val="00414FEE"/>
    <w:rsid w:val="00414FFB"/>
    <w:rsid w:val="0041592D"/>
    <w:rsid w:val="0041628A"/>
    <w:rsid w:val="004162E1"/>
    <w:rsid w:val="00416741"/>
    <w:rsid w:val="00417747"/>
    <w:rsid w:val="00417903"/>
    <w:rsid w:val="00417938"/>
    <w:rsid w:val="00422D65"/>
    <w:rsid w:val="004231E7"/>
    <w:rsid w:val="00424006"/>
    <w:rsid w:val="00424107"/>
    <w:rsid w:val="004245E7"/>
    <w:rsid w:val="00424729"/>
    <w:rsid w:val="00424D4D"/>
    <w:rsid w:val="0042778E"/>
    <w:rsid w:val="00427875"/>
    <w:rsid w:val="004303B5"/>
    <w:rsid w:val="00430950"/>
    <w:rsid w:val="00431FCC"/>
    <w:rsid w:val="00432D37"/>
    <w:rsid w:val="00432D70"/>
    <w:rsid w:val="00433022"/>
    <w:rsid w:val="00434496"/>
    <w:rsid w:val="00435325"/>
    <w:rsid w:val="00436803"/>
    <w:rsid w:val="004408D5"/>
    <w:rsid w:val="004423F0"/>
    <w:rsid w:val="00442518"/>
    <w:rsid w:val="00443116"/>
    <w:rsid w:val="004434EE"/>
    <w:rsid w:val="0044469E"/>
    <w:rsid w:val="00445212"/>
    <w:rsid w:val="00445F10"/>
    <w:rsid w:val="004473A8"/>
    <w:rsid w:val="004501E3"/>
    <w:rsid w:val="00450BDD"/>
    <w:rsid w:val="004518CA"/>
    <w:rsid w:val="004519B1"/>
    <w:rsid w:val="00452CC9"/>
    <w:rsid w:val="00453A2D"/>
    <w:rsid w:val="00454DC0"/>
    <w:rsid w:val="004550B6"/>
    <w:rsid w:val="00455328"/>
    <w:rsid w:val="0045552B"/>
    <w:rsid w:val="00456C29"/>
    <w:rsid w:val="0045781B"/>
    <w:rsid w:val="00457C65"/>
    <w:rsid w:val="00462546"/>
    <w:rsid w:val="004625EF"/>
    <w:rsid w:val="004625F2"/>
    <w:rsid w:val="00462C9B"/>
    <w:rsid w:val="00463037"/>
    <w:rsid w:val="004630FF"/>
    <w:rsid w:val="0046322E"/>
    <w:rsid w:val="00464676"/>
    <w:rsid w:val="00464A59"/>
    <w:rsid w:val="00464ED6"/>
    <w:rsid w:val="00465CD3"/>
    <w:rsid w:val="004660EC"/>
    <w:rsid w:val="00466EEB"/>
    <w:rsid w:val="0047094D"/>
    <w:rsid w:val="00471C90"/>
    <w:rsid w:val="00472176"/>
    <w:rsid w:val="00472449"/>
    <w:rsid w:val="00473EAC"/>
    <w:rsid w:val="00474539"/>
    <w:rsid w:val="004746B7"/>
    <w:rsid w:val="0047537B"/>
    <w:rsid w:val="004754FF"/>
    <w:rsid w:val="00475634"/>
    <w:rsid w:val="004759D4"/>
    <w:rsid w:val="00475A2C"/>
    <w:rsid w:val="00476001"/>
    <w:rsid w:val="0047702E"/>
    <w:rsid w:val="0047780F"/>
    <w:rsid w:val="00480911"/>
    <w:rsid w:val="00480A0B"/>
    <w:rsid w:val="00481684"/>
    <w:rsid w:val="0048335A"/>
    <w:rsid w:val="004838FD"/>
    <w:rsid w:val="00483D8B"/>
    <w:rsid w:val="00483F25"/>
    <w:rsid w:val="0048445A"/>
    <w:rsid w:val="004847D2"/>
    <w:rsid w:val="004854DC"/>
    <w:rsid w:val="004858C4"/>
    <w:rsid w:val="00486075"/>
    <w:rsid w:val="004860C5"/>
    <w:rsid w:val="0048613B"/>
    <w:rsid w:val="00486847"/>
    <w:rsid w:val="00486EE2"/>
    <w:rsid w:val="0048758B"/>
    <w:rsid w:val="00492089"/>
    <w:rsid w:val="00492CCA"/>
    <w:rsid w:val="004930CB"/>
    <w:rsid w:val="0049349C"/>
    <w:rsid w:val="00494050"/>
    <w:rsid w:val="00494269"/>
    <w:rsid w:val="00494811"/>
    <w:rsid w:val="0049500C"/>
    <w:rsid w:val="0049546E"/>
    <w:rsid w:val="00495D75"/>
    <w:rsid w:val="00496208"/>
    <w:rsid w:val="00497452"/>
    <w:rsid w:val="004976C0"/>
    <w:rsid w:val="00497DA9"/>
    <w:rsid w:val="004A01D2"/>
    <w:rsid w:val="004A0D4D"/>
    <w:rsid w:val="004A1B3D"/>
    <w:rsid w:val="004A1D6B"/>
    <w:rsid w:val="004A1FB4"/>
    <w:rsid w:val="004A2691"/>
    <w:rsid w:val="004A2714"/>
    <w:rsid w:val="004A2923"/>
    <w:rsid w:val="004A33AB"/>
    <w:rsid w:val="004A3BF3"/>
    <w:rsid w:val="004A3FD7"/>
    <w:rsid w:val="004A54A9"/>
    <w:rsid w:val="004A66A8"/>
    <w:rsid w:val="004A6BF4"/>
    <w:rsid w:val="004B0397"/>
    <w:rsid w:val="004B18EB"/>
    <w:rsid w:val="004B19BD"/>
    <w:rsid w:val="004B1BCD"/>
    <w:rsid w:val="004B230E"/>
    <w:rsid w:val="004B2689"/>
    <w:rsid w:val="004B3ACE"/>
    <w:rsid w:val="004B3F9D"/>
    <w:rsid w:val="004B46AD"/>
    <w:rsid w:val="004B4B84"/>
    <w:rsid w:val="004B5036"/>
    <w:rsid w:val="004B5498"/>
    <w:rsid w:val="004B5D0A"/>
    <w:rsid w:val="004B636C"/>
    <w:rsid w:val="004B6984"/>
    <w:rsid w:val="004B77E3"/>
    <w:rsid w:val="004C0B2A"/>
    <w:rsid w:val="004C19E1"/>
    <w:rsid w:val="004C2B9C"/>
    <w:rsid w:val="004C2DB2"/>
    <w:rsid w:val="004C2EAE"/>
    <w:rsid w:val="004C3B7C"/>
    <w:rsid w:val="004C3ED4"/>
    <w:rsid w:val="004C448F"/>
    <w:rsid w:val="004C49E8"/>
    <w:rsid w:val="004C53B0"/>
    <w:rsid w:val="004C6C83"/>
    <w:rsid w:val="004C75B3"/>
    <w:rsid w:val="004C7946"/>
    <w:rsid w:val="004D1129"/>
    <w:rsid w:val="004D2262"/>
    <w:rsid w:val="004D233C"/>
    <w:rsid w:val="004D3AEF"/>
    <w:rsid w:val="004D42E3"/>
    <w:rsid w:val="004D5241"/>
    <w:rsid w:val="004D54BA"/>
    <w:rsid w:val="004D707C"/>
    <w:rsid w:val="004D7F9D"/>
    <w:rsid w:val="004E0989"/>
    <w:rsid w:val="004E2026"/>
    <w:rsid w:val="004E21E0"/>
    <w:rsid w:val="004E21F1"/>
    <w:rsid w:val="004E2673"/>
    <w:rsid w:val="004E2821"/>
    <w:rsid w:val="004E42B1"/>
    <w:rsid w:val="004E45FA"/>
    <w:rsid w:val="004E4632"/>
    <w:rsid w:val="004E51F1"/>
    <w:rsid w:val="004E53AE"/>
    <w:rsid w:val="004E5890"/>
    <w:rsid w:val="004E660A"/>
    <w:rsid w:val="004E6873"/>
    <w:rsid w:val="004E695B"/>
    <w:rsid w:val="004E7512"/>
    <w:rsid w:val="004E7D48"/>
    <w:rsid w:val="004F02B5"/>
    <w:rsid w:val="004F0F87"/>
    <w:rsid w:val="004F25ED"/>
    <w:rsid w:val="004F2744"/>
    <w:rsid w:val="004F282C"/>
    <w:rsid w:val="004F28DE"/>
    <w:rsid w:val="004F3431"/>
    <w:rsid w:val="004F3FE2"/>
    <w:rsid w:val="004F4422"/>
    <w:rsid w:val="004F45F8"/>
    <w:rsid w:val="004F53AC"/>
    <w:rsid w:val="004F62EC"/>
    <w:rsid w:val="004F6811"/>
    <w:rsid w:val="004F7570"/>
    <w:rsid w:val="004F7608"/>
    <w:rsid w:val="004F7647"/>
    <w:rsid w:val="005008C9"/>
    <w:rsid w:val="0050096C"/>
    <w:rsid w:val="00501517"/>
    <w:rsid w:val="00501897"/>
    <w:rsid w:val="00502269"/>
    <w:rsid w:val="005022D4"/>
    <w:rsid w:val="0050244C"/>
    <w:rsid w:val="00503001"/>
    <w:rsid w:val="0050338A"/>
    <w:rsid w:val="00503521"/>
    <w:rsid w:val="0050356B"/>
    <w:rsid w:val="005041F8"/>
    <w:rsid w:val="00504385"/>
    <w:rsid w:val="0050479E"/>
    <w:rsid w:val="00504AB1"/>
    <w:rsid w:val="00505973"/>
    <w:rsid w:val="00506249"/>
    <w:rsid w:val="005066D5"/>
    <w:rsid w:val="005067D6"/>
    <w:rsid w:val="00506E57"/>
    <w:rsid w:val="0050746F"/>
    <w:rsid w:val="00510ABB"/>
    <w:rsid w:val="00511472"/>
    <w:rsid w:val="0051216B"/>
    <w:rsid w:val="00513662"/>
    <w:rsid w:val="00515478"/>
    <w:rsid w:val="00516736"/>
    <w:rsid w:val="00517AA4"/>
    <w:rsid w:val="00517FD5"/>
    <w:rsid w:val="0052098E"/>
    <w:rsid w:val="00521564"/>
    <w:rsid w:val="005221D7"/>
    <w:rsid w:val="0052245B"/>
    <w:rsid w:val="00522A79"/>
    <w:rsid w:val="00522F62"/>
    <w:rsid w:val="005253D2"/>
    <w:rsid w:val="005262C0"/>
    <w:rsid w:val="0052632A"/>
    <w:rsid w:val="00526534"/>
    <w:rsid w:val="00526624"/>
    <w:rsid w:val="0052706D"/>
    <w:rsid w:val="00527559"/>
    <w:rsid w:val="00527650"/>
    <w:rsid w:val="005302B0"/>
    <w:rsid w:val="005323BC"/>
    <w:rsid w:val="005336F8"/>
    <w:rsid w:val="00534B42"/>
    <w:rsid w:val="00534F08"/>
    <w:rsid w:val="00535451"/>
    <w:rsid w:val="00535588"/>
    <w:rsid w:val="00535B45"/>
    <w:rsid w:val="00535D1F"/>
    <w:rsid w:val="00536516"/>
    <w:rsid w:val="005369C0"/>
    <w:rsid w:val="005379EE"/>
    <w:rsid w:val="00540933"/>
    <w:rsid w:val="005410A4"/>
    <w:rsid w:val="00541E96"/>
    <w:rsid w:val="00541FED"/>
    <w:rsid w:val="00544F43"/>
    <w:rsid w:val="00545A2A"/>
    <w:rsid w:val="00545D30"/>
    <w:rsid w:val="00546EF9"/>
    <w:rsid w:val="00546F67"/>
    <w:rsid w:val="0055025D"/>
    <w:rsid w:val="00551F57"/>
    <w:rsid w:val="00551FD7"/>
    <w:rsid w:val="0055219E"/>
    <w:rsid w:val="00552492"/>
    <w:rsid w:val="00552E66"/>
    <w:rsid w:val="005534E4"/>
    <w:rsid w:val="0055470E"/>
    <w:rsid w:val="00554E05"/>
    <w:rsid w:val="00554FB2"/>
    <w:rsid w:val="00555058"/>
    <w:rsid w:val="00555082"/>
    <w:rsid w:val="00555339"/>
    <w:rsid w:val="00557FB2"/>
    <w:rsid w:val="005611B6"/>
    <w:rsid w:val="00561E89"/>
    <w:rsid w:val="005625A7"/>
    <w:rsid w:val="005629D6"/>
    <w:rsid w:val="00562FAA"/>
    <w:rsid w:val="00563B83"/>
    <w:rsid w:val="00563C7A"/>
    <w:rsid w:val="00565407"/>
    <w:rsid w:val="005656C1"/>
    <w:rsid w:val="00567810"/>
    <w:rsid w:val="00567F49"/>
    <w:rsid w:val="005705A8"/>
    <w:rsid w:val="0057349E"/>
    <w:rsid w:val="0057372C"/>
    <w:rsid w:val="005743CB"/>
    <w:rsid w:val="005746D0"/>
    <w:rsid w:val="005766B2"/>
    <w:rsid w:val="005806DC"/>
    <w:rsid w:val="00581E8D"/>
    <w:rsid w:val="00582CE1"/>
    <w:rsid w:val="00582FFA"/>
    <w:rsid w:val="005844C7"/>
    <w:rsid w:val="00584613"/>
    <w:rsid w:val="0058475C"/>
    <w:rsid w:val="005850F0"/>
    <w:rsid w:val="00586699"/>
    <w:rsid w:val="00586977"/>
    <w:rsid w:val="00587D73"/>
    <w:rsid w:val="00590171"/>
    <w:rsid w:val="00590823"/>
    <w:rsid w:val="00590913"/>
    <w:rsid w:val="00590D73"/>
    <w:rsid w:val="005924F7"/>
    <w:rsid w:val="00592892"/>
    <w:rsid w:val="005933C0"/>
    <w:rsid w:val="005948C6"/>
    <w:rsid w:val="0059499A"/>
    <w:rsid w:val="00595684"/>
    <w:rsid w:val="00596766"/>
    <w:rsid w:val="00597EBB"/>
    <w:rsid w:val="005A05B0"/>
    <w:rsid w:val="005A06CD"/>
    <w:rsid w:val="005A0EE4"/>
    <w:rsid w:val="005A11CC"/>
    <w:rsid w:val="005A188F"/>
    <w:rsid w:val="005A210B"/>
    <w:rsid w:val="005A28C2"/>
    <w:rsid w:val="005A2FB6"/>
    <w:rsid w:val="005A30B8"/>
    <w:rsid w:val="005A495B"/>
    <w:rsid w:val="005A5043"/>
    <w:rsid w:val="005A557C"/>
    <w:rsid w:val="005A5AE2"/>
    <w:rsid w:val="005A6EA7"/>
    <w:rsid w:val="005A755E"/>
    <w:rsid w:val="005A76C5"/>
    <w:rsid w:val="005B040B"/>
    <w:rsid w:val="005B053F"/>
    <w:rsid w:val="005B0A52"/>
    <w:rsid w:val="005B0E9A"/>
    <w:rsid w:val="005B1132"/>
    <w:rsid w:val="005B2428"/>
    <w:rsid w:val="005B4408"/>
    <w:rsid w:val="005B4458"/>
    <w:rsid w:val="005B4A6E"/>
    <w:rsid w:val="005B5871"/>
    <w:rsid w:val="005B5D65"/>
    <w:rsid w:val="005B655F"/>
    <w:rsid w:val="005B765F"/>
    <w:rsid w:val="005B7E1E"/>
    <w:rsid w:val="005C03E7"/>
    <w:rsid w:val="005C065C"/>
    <w:rsid w:val="005C1965"/>
    <w:rsid w:val="005C217A"/>
    <w:rsid w:val="005C30F1"/>
    <w:rsid w:val="005C3645"/>
    <w:rsid w:val="005C37DC"/>
    <w:rsid w:val="005C4081"/>
    <w:rsid w:val="005C446F"/>
    <w:rsid w:val="005C4A10"/>
    <w:rsid w:val="005C53A2"/>
    <w:rsid w:val="005C5E29"/>
    <w:rsid w:val="005C68B3"/>
    <w:rsid w:val="005C7166"/>
    <w:rsid w:val="005C720B"/>
    <w:rsid w:val="005C7DBF"/>
    <w:rsid w:val="005D0C81"/>
    <w:rsid w:val="005D0C92"/>
    <w:rsid w:val="005D11AD"/>
    <w:rsid w:val="005D13BD"/>
    <w:rsid w:val="005D2201"/>
    <w:rsid w:val="005D2D32"/>
    <w:rsid w:val="005D2D43"/>
    <w:rsid w:val="005D2E44"/>
    <w:rsid w:val="005D2F66"/>
    <w:rsid w:val="005D33C3"/>
    <w:rsid w:val="005D357B"/>
    <w:rsid w:val="005D36B9"/>
    <w:rsid w:val="005D58AC"/>
    <w:rsid w:val="005D5C37"/>
    <w:rsid w:val="005D6807"/>
    <w:rsid w:val="005D6A12"/>
    <w:rsid w:val="005D6A61"/>
    <w:rsid w:val="005D72CE"/>
    <w:rsid w:val="005E05DB"/>
    <w:rsid w:val="005E0EF3"/>
    <w:rsid w:val="005E124E"/>
    <w:rsid w:val="005E15F6"/>
    <w:rsid w:val="005E261D"/>
    <w:rsid w:val="005E3EE2"/>
    <w:rsid w:val="005E4A9B"/>
    <w:rsid w:val="005E4CA2"/>
    <w:rsid w:val="005E4D6C"/>
    <w:rsid w:val="005E4E3C"/>
    <w:rsid w:val="005E5746"/>
    <w:rsid w:val="005E656B"/>
    <w:rsid w:val="005E6B07"/>
    <w:rsid w:val="005E6FA6"/>
    <w:rsid w:val="005E7992"/>
    <w:rsid w:val="005E7EEF"/>
    <w:rsid w:val="005F0CBD"/>
    <w:rsid w:val="005F11C4"/>
    <w:rsid w:val="005F2103"/>
    <w:rsid w:val="005F264C"/>
    <w:rsid w:val="005F352F"/>
    <w:rsid w:val="005F374B"/>
    <w:rsid w:val="005F3C70"/>
    <w:rsid w:val="005F51B1"/>
    <w:rsid w:val="005F5EE1"/>
    <w:rsid w:val="005F6F1A"/>
    <w:rsid w:val="005F6F95"/>
    <w:rsid w:val="00600265"/>
    <w:rsid w:val="00600CDD"/>
    <w:rsid w:val="006011F2"/>
    <w:rsid w:val="00602043"/>
    <w:rsid w:val="006021D0"/>
    <w:rsid w:val="006024EF"/>
    <w:rsid w:val="00602C54"/>
    <w:rsid w:val="00602F2D"/>
    <w:rsid w:val="00603622"/>
    <w:rsid w:val="00603C86"/>
    <w:rsid w:val="0060413C"/>
    <w:rsid w:val="0060607F"/>
    <w:rsid w:val="006061D9"/>
    <w:rsid w:val="0060672F"/>
    <w:rsid w:val="00606F94"/>
    <w:rsid w:val="00607744"/>
    <w:rsid w:val="00607E5D"/>
    <w:rsid w:val="00611087"/>
    <w:rsid w:val="006110E9"/>
    <w:rsid w:val="00611CAC"/>
    <w:rsid w:val="00612BBB"/>
    <w:rsid w:val="00613285"/>
    <w:rsid w:val="006147D4"/>
    <w:rsid w:val="006147D6"/>
    <w:rsid w:val="006160E5"/>
    <w:rsid w:val="00616B9C"/>
    <w:rsid w:val="00620B98"/>
    <w:rsid w:val="00620DE7"/>
    <w:rsid w:val="00620F65"/>
    <w:rsid w:val="00621037"/>
    <w:rsid w:val="006226BB"/>
    <w:rsid w:val="006228D3"/>
    <w:rsid w:val="00622FD6"/>
    <w:rsid w:val="006230AB"/>
    <w:rsid w:val="00623461"/>
    <w:rsid w:val="00623657"/>
    <w:rsid w:val="00623C36"/>
    <w:rsid w:val="00623DF8"/>
    <w:rsid w:val="006240DF"/>
    <w:rsid w:val="00624DAF"/>
    <w:rsid w:val="006258F3"/>
    <w:rsid w:val="006259C9"/>
    <w:rsid w:val="006264D5"/>
    <w:rsid w:val="00626570"/>
    <w:rsid w:val="006274E8"/>
    <w:rsid w:val="0062769A"/>
    <w:rsid w:val="006276A0"/>
    <w:rsid w:val="00630087"/>
    <w:rsid w:val="0063080F"/>
    <w:rsid w:val="00630B2D"/>
    <w:rsid w:val="00631016"/>
    <w:rsid w:val="0063144B"/>
    <w:rsid w:val="00631ABA"/>
    <w:rsid w:val="00632327"/>
    <w:rsid w:val="00633367"/>
    <w:rsid w:val="00633A8B"/>
    <w:rsid w:val="00633D00"/>
    <w:rsid w:val="00633DA9"/>
    <w:rsid w:val="006358FC"/>
    <w:rsid w:val="006369EC"/>
    <w:rsid w:val="00636E5F"/>
    <w:rsid w:val="00640173"/>
    <w:rsid w:val="006401D4"/>
    <w:rsid w:val="0064108D"/>
    <w:rsid w:val="00641404"/>
    <w:rsid w:val="0064177A"/>
    <w:rsid w:val="006424AD"/>
    <w:rsid w:val="006427BF"/>
    <w:rsid w:val="006427DE"/>
    <w:rsid w:val="006448CB"/>
    <w:rsid w:val="00646656"/>
    <w:rsid w:val="006470F7"/>
    <w:rsid w:val="00647E08"/>
    <w:rsid w:val="006506C1"/>
    <w:rsid w:val="00651307"/>
    <w:rsid w:val="00652137"/>
    <w:rsid w:val="0065264F"/>
    <w:rsid w:val="00652C53"/>
    <w:rsid w:val="00653681"/>
    <w:rsid w:val="00653C09"/>
    <w:rsid w:val="00654544"/>
    <w:rsid w:val="0065466D"/>
    <w:rsid w:val="00655914"/>
    <w:rsid w:val="00656006"/>
    <w:rsid w:val="0065793E"/>
    <w:rsid w:val="00657A09"/>
    <w:rsid w:val="00657A75"/>
    <w:rsid w:val="006605AE"/>
    <w:rsid w:val="006606BE"/>
    <w:rsid w:val="00661422"/>
    <w:rsid w:val="0066165A"/>
    <w:rsid w:val="00662903"/>
    <w:rsid w:val="00662B18"/>
    <w:rsid w:val="00663B52"/>
    <w:rsid w:val="00664676"/>
    <w:rsid w:val="00665769"/>
    <w:rsid w:val="006659C5"/>
    <w:rsid w:val="0066621B"/>
    <w:rsid w:val="006664DC"/>
    <w:rsid w:val="006668BC"/>
    <w:rsid w:val="00666928"/>
    <w:rsid w:val="0066779F"/>
    <w:rsid w:val="00667B30"/>
    <w:rsid w:val="00667E88"/>
    <w:rsid w:val="0067007B"/>
    <w:rsid w:val="00670617"/>
    <w:rsid w:val="0067079D"/>
    <w:rsid w:val="00670E9A"/>
    <w:rsid w:val="00671A70"/>
    <w:rsid w:val="00671F2B"/>
    <w:rsid w:val="00674EB8"/>
    <w:rsid w:val="006751C6"/>
    <w:rsid w:val="006751E3"/>
    <w:rsid w:val="0067772A"/>
    <w:rsid w:val="0067796C"/>
    <w:rsid w:val="006779BD"/>
    <w:rsid w:val="00677C2D"/>
    <w:rsid w:val="006805F6"/>
    <w:rsid w:val="00680C8E"/>
    <w:rsid w:val="00680E30"/>
    <w:rsid w:val="0068259B"/>
    <w:rsid w:val="00682B1D"/>
    <w:rsid w:val="00682C4C"/>
    <w:rsid w:val="00683B83"/>
    <w:rsid w:val="00683C28"/>
    <w:rsid w:val="00684A23"/>
    <w:rsid w:val="00684AD5"/>
    <w:rsid w:val="00684DC0"/>
    <w:rsid w:val="006857C5"/>
    <w:rsid w:val="00685A9B"/>
    <w:rsid w:val="00685F16"/>
    <w:rsid w:val="006867B2"/>
    <w:rsid w:val="006870F8"/>
    <w:rsid w:val="00687233"/>
    <w:rsid w:val="00687D54"/>
    <w:rsid w:val="00690483"/>
    <w:rsid w:val="00690608"/>
    <w:rsid w:val="00691A1D"/>
    <w:rsid w:val="00691FA1"/>
    <w:rsid w:val="00693552"/>
    <w:rsid w:val="00694445"/>
    <w:rsid w:val="006944B5"/>
    <w:rsid w:val="00695DD8"/>
    <w:rsid w:val="00696047"/>
    <w:rsid w:val="00696A86"/>
    <w:rsid w:val="00696E88"/>
    <w:rsid w:val="00696F3C"/>
    <w:rsid w:val="0069720E"/>
    <w:rsid w:val="0069794C"/>
    <w:rsid w:val="00697B75"/>
    <w:rsid w:val="006A061A"/>
    <w:rsid w:val="006A1499"/>
    <w:rsid w:val="006A1906"/>
    <w:rsid w:val="006A3994"/>
    <w:rsid w:val="006A4FB6"/>
    <w:rsid w:val="006A5260"/>
    <w:rsid w:val="006A734C"/>
    <w:rsid w:val="006A7B66"/>
    <w:rsid w:val="006B0E6F"/>
    <w:rsid w:val="006B17A4"/>
    <w:rsid w:val="006B1817"/>
    <w:rsid w:val="006B1914"/>
    <w:rsid w:val="006B1993"/>
    <w:rsid w:val="006B3E50"/>
    <w:rsid w:val="006B43A9"/>
    <w:rsid w:val="006B4728"/>
    <w:rsid w:val="006B47D4"/>
    <w:rsid w:val="006B5017"/>
    <w:rsid w:val="006B5256"/>
    <w:rsid w:val="006B5337"/>
    <w:rsid w:val="006B56B0"/>
    <w:rsid w:val="006B56F5"/>
    <w:rsid w:val="006B6DA3"/>
    <w:rsid w:val="006B7A70"/>
    <w:rsid w:val="006B7BE2"/>
    <w:rsid w:val="006B7E2B"/>
    <w:rsid w:val="006C05BF"/>
    <w:rsid w:val="006C0F62"/>
    <w:rsid w:val="006C0FD1"/>
    <w:rsid w:val="006C195A"/>
    <w:rsid w:val="006C238D"/>
    <w:rsid w:val="006C24D4"/>
    <w:rsid w:val="006C28C6"/>
    <w:rsid w:val="006C36DF"/>
    <w:rsid w:val="006C3E21"/>
    <w:rsid w:val="006C43F9"/>
    <w:rsid w:val="006C4783"/>
    <w:rsid w:val="006C4964"/>
    <w:rsid w:val="006C5365"/>
    <w:rsid w:val="006C640C"/>
    <w:rsid w:val="006C6478"/>
    <w:rsid w:val="006C75A5"/>
    <w:rsid w:val="006D1908"/>
    <w:rsid w:val="006D1A6A"/>
    <w:rsid w:val="006D1C29"/>
    <w:rsid w:val="006D220B"/>
    <w:rsid w:val="006D2BFA"/>
    <w:rsid w:val="006D3A96"/>
    <w:rsid w:val="006D467C"/>
    <w:rsid w:val="006D4B53"/>
    <w:rsid w:val="006D6140"/>
    <w:rsid w:val="006D64E1"/>
    <w:rsid w:val="006D65B0"/>
    <w:rsid w:val="006E0017"/>
    <w:rsid w:val="006E1264"/>
    <w:rsid w:val="006E12FA"/>
    <w:rsid w:val="006E1311"/>
    <w:rsid w:val="006E143D"/>
    <w:rsid w:val="006E148E"/>
    <w:rsid w:val="006E35B9"/>
    <w:rsid w:val="006E36BF"/>
    <w:rsid w:val="006E3C18"/>
    <w:rsid w:val="006E4003"/>
    <w:rsid w:val="006E5F0B"/>
    <w:rsid w:val="006E6ABC"/>
    <w:rsid w:val="006E6CFE"/>
    <w:rsid w:val="006E75E7"/>
    <w:rsid w:val="006F0914"/>
    <w:rsid w:val="006F0932"/>
    <w:rsid w:val="006F10B1"/>
    <w:rsid w:val="006F139B"/>
    <w:rsid w:val="006F19A1"/>
    <w:rsid w:val="006F1C75"/>
    <w:rsid w:val="006F23D5"/>
    <w:rsid w:val="006F30F5"/>
    <w:rsid w:val="006F357C"/>
    <w:rsid w:val="006F35AC"/>
    <w:rsid w:val="006F3A14"/>
    <w:rsid w:val="006F3E0B"/>
    <w:rsid w:val="006F4013"/>
    <w:rsid w:val="006F4324"/>
    <w:rsid w:val="006F4482"/>
    <w:rsid w:val="006F4F7F"/>
    <w:rsid w:val="006F513B"/>
    <w:rsid w:val="006F5146"/>
    <w:rsid w:val="006F51F4"/>
    <w:rsid w:val="006F5A71"/>
    <w:rsid w:val="006F6B21"/>
    <w:rsid w:val="006F6BCA"/>
    <w:rsid w:val="006F753E"/>
    <w:rsid w:val="006F78BB"/>
    <w:rsid w:val="00701196"/>
    <w:rsid w:val="007014D9"/>
    <w:rsid w:val="007016B5"/>
    <w:rsid w:val="007021AB"/>
    <w:rsid w:val="007025FD"/>
    <w:rsid w:val="007029C8"/>
    <w:rsid w:val="00703F04"/>
    <w:rsid w:val="00704565"/>
    <w:rsid w:val="00704F85"/>
    <w:rsid w:val="007052CB"/>
    <w:rsid w:val="00705622"/>
    <w:rsid w:val="00706EC2"/>
    <w:rsid w:val="00706F9C"/>
    <w:rsid w:val="007070BC"/>
    <w:rsid w:val="0070761C"/>
    <w:rsid w:val="00707727"/>
    <w:rsid w:val="00707BD5"/>
    <w:rsid w:val="00707EBD"/>
    <w:rsid w:val="00712F0E"/>
    <w:rsid w:val="007136B9"/>
    <w:rsid w:val="00713EE0"/>
    <w:rsid w:val="007145C3"/>
    <w:rsid w:val="0071590F"/>
    <w:rsid w:val="00717A05"/>
    <w:rsid w:val="00717C3D"/>
    <w:rsid w:val="00720D5D"/>
    <w:rsid w:val="00721347"/>
    <w:rsid w:val="00721634"/>
    <w:rsid w:val="00721918"/>
    <w:rsid w:val="00721F29"/>
    <w:rsid w:val="007225E0"/>
    <w:rsid w:val="00723598"/>
    <w:rsid w:val="00723BD5"/>
    <w:rsid w:val="00723BEE"/>
    <w:rsid w:val="00723E98"/>
    <w:rsid w:val="00724D57"/>
    <w:rsid w:val="00724EDC"/>
    <w:rsid w:val="00725D39"/>
    <w:rsid w:val="007261F6"/>
    <w:rsid w:val="007313A2"/>
    <w:rsid w:val="00731AAD"/>
    <w:rsid w:val="007332F7"/>
    <w:rsid w:val="00733607"/>
    <w:rsid w:val="00733A9B"/>
    <w:rsid w:val="0073465F"/>
    <w:rsid w:val="00735055"/>
    <w:rsid w:val="00736197"/>
    <w:rsid w:val="0073651D"/>
    <w:rsid w:val="00736CB3"/>
    <w:rsid w:val="00736D54"/>
    <w:rsid w:val="00736D89"/>
    <w:rsid w:val="00737041"/>
    <w:rsid w:val="00737657"/>
    <w:rsid w:val="0073783B"/>
    <w:rsid w:val="007409F3"/>
    <w:rsid w:val="00740D08"/>
    <w:rsid w:val="00741077"/>
    <w:rsid w:val="0074145F"/>
    <w:rsid w:val="00741BF0"/>
    <w:rsid w:val="00742022"/>
    <w:rsid w:val="0074603B"/>
    <w:rsid w:val="00750B90"/>
    <w:rsid w:val="00750F86"/>
    <w:rsid w:val="00751712"/>
    <w:rsid w:val="0075175D"/>
    <w:rsid w:val="00753596"/>
    <w:rsid w:val="00753941"/>
    <w:rsid w:val="007543E8"/>
    <w:rsid w:val="00754814"/>
    <w:rsid w:val="007549AA"/>
    <w:rsid w:val="00755D5B"/>
    <w:rsid w:val="00755D62"/>
    <w:rsid w:val="00755F23"/>
    <w:rsid w:val="00756B1C"/>
    <w:rsid w:val="00757687"/>
    <w:rsid w:val="0076045D"/>
    <w:rsid w:val="00760B8A"/>
    <w:rsid w:val="00760DF4"/>
    <w:rsid w:val="00762518"/>
    <w:rsid w:val="00762F3A"/>
    <w:rsid w:val="007642A5"/>
    <w:rsid w:val="00764B26"/>
    <w:rsid w:val="00764B5A"/>
    <w:rsid w:val="00765865"/>
    <w:rsid w:val="0077028F"/>
    <w:rsid w:val="007703B0"/>
    <w:rsid w:val="00770500"/>
    <w:rsid w:val="00772944"/>
    <w:rsid w:val="007729EC"/>
    <w:rsid w:val="0077338B"/>
    <w:rsid w:val="00773E3C"/>
    <w:rsid w:val="00774136"/>
    <w:rsid w:val="007749EC"/>
    <w:rsid w:val="00774AFA"/>
    <w:rsid w:val="0077517F"/>
    <w:rsid w:val="00775E14"/>
    <w:rsid w:val="00776761"/>
    <w:rsid w:val="007769E7"/>
    <w:rsid w:val="00776A41"/>
    <w:rsid w:val="0077790D"/>
    <w:rsid w:val="00777B9F"/>
    <w:rsid w:val="007803D0"/>
    <w:rsid w:val="00780483"/>
    <w:rsid w:val="007805FC"/>
    <w:rsid w:val="00780E3A"/>
    <w:rsid w:val="00781875"/>
    <w:rsid w:val="00781FB5"/>
    <w:rsid w:val="00782058"/>
    <w:rsid w:val="0078294E"/>
    <w:rsid w:val="00783B78"/>
    <w:rsid w:val="00783D17"/>
    <w:rsid w:val="007850AF"/>
    <w:rsid w:val="007859BF"/>
    <w:rsid w:val="00785CC7"/>
    <w:rsid w:val="007865B9"/>
    <w:rsid w:val="00786DAD"/>
    <w:rsid w:val="007909AF"/>
    <w:rsid w:val="00791D31"/>
    <w:rsid w:val="00792253"/>
    <w:rsid w:val="00793DDB"/>
    <w:rsid w:val="00793F33"/>
    <w:rsid w:val="007957AE"/>
    <w:rsid w:val="00795C7C"/>
    <w:rsid w:val="00796976"/>
    <w:rsid w:val="00796A8E"/>
    <w:rsid w:val="007972ED"/>
    <w:rsid w:val="007A006A"/>
    <w:rsid w:val="007A05C7"/>
    <w:rsid w:val="007A0929"/>
    <w:rsid w:val="007A110C"/>
    <w:rsid w:val="007A13F9"/>
    <w:rsid w:val="007A2AA5"/>
    <w:rsid w:val="007A2EF7"/>
    <w:rsid w:val="007A3226"/>
    <w:rsid w:val="007A3A41"/>
    <w:rsid w:val="007A41A5"/>
    <w:rsid w:val="007A572F"/>
    <w:rsid w:val="007A58AC"/>
    <w:rsid w:val="007A764D"/>
    <w:rsid w:val="007B0291"/>
    <w:rsid w:val="007B0777"/>
    <w:rsid w:val="007B0E59"/>
    <w:rsid w:val="007B21A5"/>
    <w:rsid w:val="007B34B5"/>
    <w:rsid w:val="007B374F"/>
    <w:rsid w:val="007B39E4"/>
    <w:rsid w:val="007B3CB3"/>
    <w:rsid w:val="007B4D61"/>
    <w:rsid w:val="007B530E"/>
    <w:rsid w:val="007B563D"/>
    <w:rsid w:val="007B5E2F"/>
    <w:rsid w:val="007B6349"/>
    <w:rsid w:val="007B63DD"/>
    <w:rsid w:val="007B7074"/>
    <w:rsid w:val="007B7C0C"/>
    <w:rsid w:val="007C1D34"/>
    <w:rsid w:val="007C20C0"/>
    <w:rsid w:val="007C2228"/>
    <w:rsid w:val="007C2743"/>
    <w:rsid w:val="007C37BD"/>
    <w:rsid w:val="007C3898"/>
    <w:rsid w:val="007C4F43"/>
    <w:rsid w:val="007C7591"/>
    <w:rsid w:val="007C7B71"/>
    <w:rsid w:val="007D066D"/>
    <w:rsid w:val="007D0AF6"/>
    <w:rsid w:val="007D0E1C"/>
    <w:rsid w:val="007D14A1"/>
    <w:rsid w:val="007D1888"/>
    <w:rsid w:val="007D1E28"/>
    <w:rsid w:val="007D2C20"/>
    <w:rsid w:val="007D313E"/>
    <w:rsid w:val="007D57EC"/>
    <w:rsid w:val="007D5B47"/>
    <w:rsid w:val="007D5EDE"/>
    <w:rsid w:val="007D5F77"/>
    <w:rsid w:val="007D64FB"/>
    <w:rsid w:val="007D6D07"/>
    <w:rsid w:val="007D7F45"/>
    <w:rsid w:val="007E0286"/>
    <w:rsid w:val="007E0D25"/>
    <w:rsid w:val="007E1D6C"/>
    <w:rsid w:val="007E1E15"/>
    <w:rsid w:val="007E3113"/>
    <w:rsid w:val="007E3177"/>
    <w:rsid w:val="007E394F"/>
    <w:rsid w:val="007E3E38"/>
    <w:rsid w:val="007E3ED4"/>
    <w:rsid w:val="007E5195"/>
    <w:rsid w:val="007E59FE"/>
    <w:rsid w:val="007E5DBE"/>
    <w:rsid w:val="007E6461"/>
    <w:rsid w:val="007E65A2"/>
    <w:rsid w:val="007E6957"/>
    <w:rsid w:val="007E7F20"/>
    <w:rsid w:val="007E7F9B"/>
    <w:rsid w:val="007F09DD"/>
    <w:rsid w:val="007F111A"/>
    <w:rsid w:val="007F1782"/>
    <w:rsid w:val="007F19EC"/>
    <w:rsid w:val="007F2904"/>
    <w:rsid w:val="007F293C"/>
    <w:rsid w:val="007F2A72"/>
    <w:rsid w:val="007F3521"/>
    <w:rsid w:val="007F5826"/>
    <w:rsid w:val="007F608C"/>
    <w:rsid w:val="007F66B4"/>
    <w:rsid w:val="007F72FD"/>
    <w:rsid w:val="007F73BE"/>
    <w:rsid w:val="007F787C"/>
    <w:rsid w:val="00800C28"/>
    <w:rsid w:val="00801D8C"/>
    <w:rsid w:val="008030FB"/>
    <w:rsid w:val="00803B88"/>
    <w:rsid w:val="00804E25"/>
    <w:rsid w:val="00804EDC"/>
    <w:rsid w:val="00805066"/>
    <w:rsid w:val="00805368"/>
    <w:rsid w:val="0080619D"/>
    <w:rsid w:val="00806532"/>
    <w:rsid w:val="00806F84"/>
    <w:rsid w:val="00807230"/>
    <w:rsid w:val="00807B4C"/>
    <w:rsid w:val="00811226"/>
    <w:rsid w:val="008149C1"/>
    <w:rsid w:val="008153E3"/>
    <w:rsid w:val="00815DFB"/>
    <w:rsid w:val="00817239"/>
    <w:rsid w:val="0081756C"/>
    <w:rsid w:val="00817938"/>
    <w:rsid w:val="00823028"/>
    <w:rsid w:val="0082327F"/>
    <w:rsid w:val="00823E55"/>
    <w:rsid w:val="00823EAB"/>
    <w:rsid w:val="0082403C"/>
    <w:rsid w:val="00824191"/>
    <w:rsid w:val="008244DB"/>
    <w:rsid w:val="00824788"/>
    <w:rsid w:val="00824C59"/>
    <w:rsid w:val="00830615"/>
    <w:rsid w:val="0083153F"/>
    <w:rsid w:val="0083214E"/>
    <w:rsid w:val="008329E1"/>
    <w:rsid w:val="00833F4F"/>
    <w:rsid w:val="0083408C"/>
    <w:rsid w:val="008349DF"/>
    <w:rsid w:val="00834FEB"/>
    <w:rsid w:val="00835E31"/>
    <w:rsid w:val="00836325"/>
    <w:rsid w:val="008368C0"/>
    <w:rsid w:val="00836A32"/>
    <w:rsid w:val="00836C79"/>
    <w:rsid w:val="008400BA"/>
    <w:rsid w:val="0084084A"/>
    <w:rsid w:val="008416BF"/>
    <w:rsid w:val="00841F0C"/>
    <w:rsid w:val="00842143"/>
    <w:rsid w:val="0084254A"/>
    <w:rsid w:val="00842CD1"/>
    <w:rsid w:val="00843316"/>
    <w:rsid w:val="00843697"/>
    <w:rsid w:val="008438EB"/>
    <w:rsid w:val="008441B5"/>
    <w:rsid w:val="00844739"/>
    <w:rsid w:val="00844CD1"/>
    <w:rsid w:val="00846A18"/>
    <w:rsid w:val="00846B62"/>
    <w:rsid w:val="0084783F"/>
    <w:rsid w:val="0084787C"/>
    <w:rsid w:val="00851535"/>
    <w:rsid w:val="008526E0"/>
    <w:rsid w:val="00852960"/>
    <w:rsid w:val="00853DD2"/>
    <w:rsid w:val="0085454E"/>
    <w:rsid w:val="00854F2F"/>
    <w:rsid w:val="00855029"/>
    <w:rsid w:val="00855DC8"/>
    <w:rsid w:val="00855E9B"/>
    <w:rsid w:val="008574F2"/>
    <w:rsid w:val="008579CE"/>
    <w:rsid w:val="00857D80"/>
    <w:rsid w:val="00860612"/>
    <w:rsid w:val="00860E98"/>
    <w:rsid w:val="00860FD2"/>
    <w:rsid w:val="0086193D"/>
    <w:rsid w:val="00861CB3"/>
    <w:rsid w:val="00861F4A"/>
    <w:rsid w:val="00862074"/>
    <w:rsid w:val="00862809"/>
    <w:rsid w:val="0086300C"/>
    <w:rsid w:val="00865558"/>
    <w:rsid w:val="00865641"/>
    <w:rsid w:val="008656F5"/>
    <w:rsid w:val="00866E84"/>
    <w:rsid w:val="00867D36"/>
    <w:rsid w:val="00867EA9"/>
    <w:rsid w:val="00867F14"/>
    <w:rsid w:val="008704F2"/>
    <w:rsid w:val="008706CC"/>
    <w:rsid w:val="00870721"/>
    <w:rsid w:val="00870EE5"/>
    <w:rsid w:val="008710DD"/>
    <w:rsid w:val="008712F8"/>
    <w:rsid w:val="008728E0"/>
    <w:rsid w:val="00872BE2"/>
    <w:rsid w:val="00872FB4"/>
    <w:rsid w:val="0087335A"/>
    <w:rsid w:val="0087372D"/>
    <w:rsid w:val="00875A83"/>
    <w:rsid w:val="008763EA"/>
    <w:rsid w:val="00876B14"/>
    <w:rsid w:val="00876C88"/>
    <w:rsid w:val="00876EFC"/>
    <w:rsid w:val="0087708D"/>
    <w:rsid w:val="00877DBA"/>
    <w:rsid w:val="00877E5D"/>
    <w:rsid w:val="00880184"/>
    <w:rsid w:val="00880F53"/>
    <w:rsid w:val="00881025"/>
    <w:rsid w:val="00881052"/>
    <w:rsid w:val="008828D9"/>
    <w:rsid w:val="00883F02"/>
    <w:rsid w:val="00884864"/>
    <w:rsid w:val="00885F95"/>
    <w:rsid w:val="008860F2"/>
    <w:rsid w:val="00886275"/>
    <w:rsid w:val="00886716"/>
    <w:rsid w:val="00886C40"/>
    <w:rsid w:val="0088744E"/>
    <w:rsid w:val="008878D3"/>
    <w:rsid w:val="00887C07"/>
    <w:rsid w:val="00891362"/>
    <w:rsid w:val="00892152"/>
    <w:rsid w:val="008925CA"/>
    <w:rsid w:val="00892603"/>
    <w:rsid w:val="0089283E"/>
    <w:rsid w:val="008932EB"/>
    <w:rsid w:val="00893AB9"/>
    <w:rsid w:val="008942F4"/>
    <w:rsid w:val="008949EF"/>
    <w:rsid w:val="00894F38"/>
    <w:rsid w:val="00895302"/>
    <w:rsid w:val="00895440"/>
    <w:rsid w:val="0089697E"/>
    <w:rsid w:val="00896E02"/>
    <w:rsid w:val="00897287"/>
    <w:rsid w:val="008A0186"/>
    <w:rsid w:val="008A0D6D"/>
    <w:rsid w:val="008A1279"/>
    <w:rsid w:val="008A1A46"/>
    <w:rsid w:val="008A20C7"/>
    <w:rsid w:val="008A225B"/>
    <w:rsid w:val="008A3D37"/>
    <w:rsid w:val="008A4569"/>
    <w:rsid w:val="008A576C"/>
    <w:rsid w:val="008A622B"/>
    <w:rsid w:val="008A67E0"/>
    <w:rsid w:val="008A689B"/>
    <w:rsid w:val="008A6D95"/>
    <w:rsid w:val="008B0196"/>
    <w:rsid w:val="008B0499"/>
    <w:rsid w:val="008B065C"/>
    <w:rsid w:val="008B08D8"/>
    <w:rsid w:val="008B0A30"/>
    <w:rsid w:val="008B1358"/>
    <w:rsid w:val="008B1441"/>
    <w:rsid w:val="008B2015"/>
    <w:rsid w:val="008B310F"/>
    <w:rsid w:val="008B3B8D"/>
    <w:rsid w:val="008B3F16"/>
    <w:rsid w:val="008B41D9"/>
    <w:rsid w:val="008B4783"/>
    <w:rsid w:val="008B532D"/>
    <w:rsid w:val="008B59E4"/>
    <w:rsid w:val="008B629C"/>
    <w:rsid w:val="008B639D"/>
    <w:rsid w:val="008B6BA7"/>
    <w:rsid w:val="008B6BD6"/>
    <w:rsid w:val="008B6F8C"/>
    <w:rsid w:val="008B73DB"/>
    <w:rsid w:val="008C0526"/>
    <w:rsid w:val="008C07C9"/>
    <w:rsid w:val="008C0A9B"/>
    <w:rsid w:val="008C0DC4"/>
    <w:rsid w:val="008C1419"/>
    <w:rsid w:val="008C1524"/>
    <w:rsid w:val="008C2076"/>
    <w:rsid w:val="008C25B9"/>
    <w:rsid w:val="008C28A7"/>
    <w:rsid w:val="008C2D7F"/>
    <w:rsid w:val="008C3096"/>
    <w:rsid w:val="008C3923"/>
    <w:rsid w:val="008C464F"/>
    <w:rsid w:val="008C649A"/>
    <w:rsid w:val="008C69FA"/>
    <w:rsid w:val="008C7CAC"/>
    <w:rsid w:val="008D1375"/>
    <w:rsid w:val="008D1F85"/>
    <w:rsid w:val="008D21E2"/>
    <w:rsid w:val="008D36A7"/>
    <w:rsid w:val="008D4AF6"/>
    <w:rsid w:val="008D56E5"/>
    <w:rsid w:val="008E0746"/>
    <w:rsid w:val="008E0892"/>
    <w:rsid w:val="008E1C8D"/>
    <w:rsid w:val="008E1E54"/>
    <w:rsid w:val="008E20CA"/>
    <w:rsid w:val="008E24F6"/>
    <w:rsid w:val="008E2E9E"/>
    <w:rsid w:val="008E30BD"/>
    <w:rsid w:val="008E5C2D"/>
    <w:rsid w:val="008E603E"/>
    <w:rsid w:val="008E61AA"/>
    <w:rsid w:val="008E700E"/>
    <w:rsid w:val="008F0EB9"/>
    <w:rsid w:val="008F1DB1"/>
    <w:rsid w:val="008F1E88"/>
    <w:rsid w:val="008F2F02"/>
    <w:rsid w:val="008F335C"/>
    <w:rsid w:val="008F3A07"/>
    <w:rsid w:val="008F3C03"/>
    <w:rsid w:val="008F4173"/>
    <w:rsid w:val="008F4502"/>
    <w:rsid w:val="008F4962"/>
    <w:rsid w:val="008F4CBF"/>
    <w:rsid w:val="008F4ED9"/>
    <w:rsid w:val="008F5C26"/>
    <w:rsid w:val="008F60C7"/>
    <w:rsid w:val="008F7610"/>
    <w:rsid w:val="008F7931"/>
    <w:rsid w:val="0090028C"/>
    <w:rsid w:val="0090048B"/>
    <w:rsid w:val="00900736"/>
    <w:rsid w:val="0090078B"/>
    <w:rsid w:val="009007F3"/>
    <w:rsid w:val="0090083B"/>
    <w:rsid w:val="00900D66"/>
    <w:rsid w:val="009017CB"/>
    <w:rsid w:val="00901CC6"/>
    <w:rsid w:val="00901F0B"/>
    <w:rsid w:val="00903329"/>
    <w:rsid w:val="00903446"/>
    <w:rsid w:val="00903BC0"/>
    <w:rsid w:val="009075E1"/>
    <w:rsid w:val="00911420"/>
    <w:rsid w:val="0091166C"/>
    <w:rsid w:val="00912460"/>
    <w:rsid w:val="00912A30"/>
    <w:rsid w:val="009130D1"/>
    <w:rsid w:val="0091366C"/>
    <w:rsid w:val="00914426"/>
    <w:rsid w:val="00915045"/>
    <w:rsid w:val="00915E9D"/>
    <w:rsid w:val="0092071C"/>
    <w:rsid w:val="00920849"/>
    <w:rsid w:val="00920F10"/>
    <w:rsid w:val="009217D9"/>
    <w:rsid w:val="0092254D"/>
    <w:rsid w:val="00924555"/>
    <w:rsid w:val="0092589B"/>
    <w:rsid w:val="00926047"/>
    <w:rsid w:val="00926A30"/>
    <w:rsid w:val="009270B8"/>
    <w:rsid w:val="00927D40"/>
    <w:rsid w:val="00930BCD"/>
    <w:rsid w:val="00930C26"/>
    <w:rsid w:val="00931C17"/>
    <w:rsid w:val="00932474"/>
    <w:rsid w:val="00932553"/>
    <w:rsid w:val="00932D3C"/>
    <w:rsid w:val="00933821"/>
    <w:rsid w:val="00933F91"/>
    <w:rsid w:val="00935328"/>
    <w:rsid w:val="00935846"/>
    <w:rsid w:val="00935DA9"/>
    <w:rsid w:val="009360CC"/>
    <w:rsid w:val="0093715F"/>
    <w:rsid w:val="009373AC"/>
    <w:rsid w:val="00937577"/>
    <w:rsid w:val="00937974"/>
    <w:rsid w:val="00940BDF"/>
    <w:rsid w:val="00941486"/>
    <w:rsid w:val="00941944"/>
    <w:rsid w:val="00943421"/>
    <w:rsid w:val="009438A2"/>
    <w:rsid w:val="00943B73"/>
    <w:rsid w:val="00944435"/>
    <w:rsid w:val="00944725"/>
    <w:rsid w:val="00945AB0"/>
    <w:rsid w:val="00946241"/>
    <w:rsid w:val="00946329"/>
    <w:rsid w:val="00946682"/>
    <w:rsid w:val="00946840"/>
    <w:rsid w:val="00946F2B"/>
    <w:rsid w:val="009470F3"/>
    <w:rsid w:val="0095097A"/>
    <w:rsid w:val="00950C16"/>
    <w:rsid w:val="00952478"/>
    <w:rsid w:val="00952F60"/>
    <w:rsid w:val="009535DB"/>
    <w:rsid w:val="00953720"/>
    <w:rsid w:val="0095382F"/>
    <w:rsid w:val="00953C2D"/>
    <w:rsid w:val="009552B4"/>
    <w:rsid w:val="00955C5E"/>
    <w:rsid w:val="0095600E"/>
    <w:rsid w:val="00956E11"/>
    <w:rsid w:val="0095731E"/>
    <w:rsid w:val="00957FD2"/>
    <w:rsid w:val="009600DF"/>
    <w:rsid w:val="0096250A"/>
    <w:rsid w:val="00962FE2"/>
    <w:rsid w:val="0096329B"/>
    <w:rsid w:val="009634CC"/>
    <w:rsid w:val="00965E93"/>
    <w:rsid w:val="00966D62"/>
    <w:rsid w:val="00967869"/>
    <w:rsid w:val="009701B7"/>
    <w:rsid w:val="0097073E"/>
    <w:rsid w:val="009709CE"/>
    <w:rsid w:val="00970B95"/>
    <w:rsid w:val="00971218"/>
    <w:rsid w:val="00971276"/>
    <w:rsid w:val="00971523"/>
    <w:rsid w:val="00971AC4"/>
    <w:rsid w:val="00971B16"/>
    <w:rsid w:val="00971B7B"/>
    <w:rsid w:val="00973368"/>
    <w:rsid w:val="00973A92"/>
    <w:rsid w:val="00974203"/>
    <w:rsid w:val="00974308"/>
    <w:rsid w:val="009754B8"/>
    <w:rsid w:val="00975D8A"/>
    <w:rsid w:val="009763D8"/>
    <w:rsid w:val="009765FE"/>
    <w:rsid w:val="0097681C"/>
    <w:rsid w:val="00976EFE"/>
    <w:rsid w:val="0097707C"/>
    <w:rsid w:val="00977C69"/>
    <w:rsid w:val="0098117A"/>
    <w:rsid w:val="00981628"/>
    <w:rsid w:val="00981A75"/>
    <w:rsid w:val="00981C72"/>
    <w:rsid w:val="009826B7"/>
    <w:rsid w:val="00983100"/>
    <w:rsid w:val="00983169"/>
    <w:rsid w:val="009854C9"/>
    <w:rsid w:val="0098578B"/>
    <w:rsid w:val="00986480"/>
    <w:rsid w:val="00986B43"/>
    <w:rsid w:val="00986C76"/>
    <w:rsid w:val="00987C32"/>
    <w:rsid w:val="00987D1E"/>
    <w:rsid w:val="00987EDC"/>
    <w:rsid w:val="009905A8"/>
    <w:rsid w:val="00990916"/>
    <w:rsid w:val="00991165"/>
    <w:rsid w:val="00991989"/>
    <w:rsid w:val="00992C6E"/>
    <w:rsid w:val="00992F52"/>
    <w:rsid w:val="0099342B"/>
    <w:rsid w:val="009934D3"/>
    <w:rsid w:val="0099373B"/>
    <w:rsid w:val="0099382E"/>
    <w:rsid w:val="00993D17"/>
    <w:rsid w:val="00993F4B"/>
    <w:rsid w:val="00994BDD"/>
    <w:rsid w:val="009952E9"/>
    <w:rsid w:val="009962C0"/>
    <w:rsid w:val="009962FD"/>
    <w:rsid w:val="00996D04"/>
    <w:rsid w:val="0099734A"/>
    <w:rsid w:val="009A0111"/>
    <w:rsid w:val="009A0C7C"/>
    <w:rsid w:val="009A18C9"/>
    <w:rsid w:val="009A2125"/>
    <w:rsid w:val="009A2856"/>
    <w:rsid w:val="009A36C9"/>
    <w:rsid w:val="009A3851"/>
    <w:rsid w:val="009A56C4"/>
    <w:rsid w:val="009A6144"/>
    <w:rsid w:val="009A79E6"/>
    <w:rsid w:val="009B08B7"/>
    <w:rsid w:val="009B2130"/>
    <w:rsid w:val="009B248F"/>
    <w:rsid w:val="009B2DC8"/>
    <w:rsid w:val="009B3215"/>
    <w:rsid w:val="009B356F"/>
    <w:rsid w:val="009B3F1E"/>
    <w:rsid w:val="009B4BA5"/>
    <w:rsid w:val="009B7811"/>
    <w:rsid w:val="009B7E31"/>
    <w:rsid w:val="009C00B2"/>
    <w:rsid w:val="009C06F8"/>
    <w:rsid w:val="009C181E"/>
    <w:rsid w:val="009C1941"/>
    <w:rsid w:val="009C2B1F"/>
    <w:rsid w:val="009C2FE5"/>
    <w:rsid w:val="009C3196"/>
    <w:rsid w:val="009C31C6"/>
    <w:rsid w:val="009C48D9"/>
    <w:rsid w:val="009C48E2"/>
    <w:rsid w:val="009C57AD"/>
    <w:rsid w:val="009C5802"/>
    <w:rsid w:val="009C7CE9"/>
    <w:rsid w:val="009D1648"/>
    <w:rsid w:val="009D2379"/>
    <w:rsid w:val="009D2634"/>
    <w:rsid w:val="009D491B"/>
    <w:rsid w:val="009D4CDC"/>
    <w:rsid w:val="009D540D"/>
    <w:rsid w:val="009D55E8"/>
    <w:rsid w:val="009D569E"/>
    <w:rsid w:val="009D572A"/>
    <w:rsid w:val="009D7629"/>
    <w:rsid w:val="009D7BB1"/>
    <w:rsid w:val="009E159E"/>
    <w:rsid w:val="009E221C"/>
    <w:rsid w:val="009E2AA9"/>
    <w:rsid w:val="009E2BA6"/>
    <w:rsid w:val="009E2E55"/>
    <w:rsid w:val="009E2F8B"/>
    <w:rsid w:val="009E31A6"/>
    <w:rsid w:val="009E3932"/>
    <w:rsid w:val="009E3BE5"/>
    <w:rsid w:val="009E6644"/>
    <w:rsid w:val="009E6BBB"/>
    <w:rsid w:val="009E717C"/>
    <w:rsid w:val="009E7AF0"/>
    <w:rsid w:val="009F348E"/>
    <w:rsid w:val="009F468A"/>
    <w:rsid w:val="009F5327"/>
    <w:rsid w:val="009F5431"/>
    <w:rsid w:val="009F5C5C"/>
    <w:rsid w:val="009F5D09"/>
    <w:rsid w:val="009F5D66"/>
    <w:rsid w:val="009F698E"/>
    <w:rsid w:val="009F7AEF"/>
    <w:rsid w:val="00A00659"/>
    <w:rsid w:val="00A014EB"/>
    <w:rsid w:val="00A021DB"/>
    <w:rsid w:val="00A03F48"/>
    <w:rsid w:val="00A0489D"/>
    <w:rsid w:val="00A052E7"/>
    <w:rsid w:val="00A05E99"/>
    <w:rsid w:val="00A05ECC"/>
    <w:rsid w:val="00A06052"/>
    <w:rsid w:val="00A067AA"/>
    <w:rsid w:val="00A0745A"/>
    <w:rsid w:val="00A07AA2"/>
    <w:rsid w:val="00A11082"/>
    <w:rsid w:val="00A11163"/>
    <w:rsid w:val="00A12C7C"/>
    <w:rsid w:val="00A131E4"/>
    <w:rsid w:val="00A1328D"/>
    <w:rsid w:val="00A13CC0"/>
    <w:rsid w:val="00A13DBE"/>
    <w:rsid w:val="00A14E9F"/>
    <w:rsid w:val="00A15BB5"/>
    <w:rsid w:val="00A16203"/>
    <w:rsid w:val="00A1661B"/>
    <w:rsid w:val="00A16A80"/>
    <w:rsid w:val="00A171DE"/>
    <w:rsid w:val="00A17857"/>
    <w:rsid w:val="00A17AA9"/>
    <w:rsid w:val="00A21109"/>
    <w:rsid w:val="00A213ED"/>
    <w:rsid w:val="00A21F44"/>
    <w:rsid w:val="00A21F7F"/>
    <w:rsid w:val="00A23580"/>
    <w:rsid w:val="00A23D64"/>
    <w:rsid w:val="00A24A27"/>
    <w:rsid w:val="00A25A35"/>
    <w:rsid w:val="00A25E3D"/>
    <w:rsid w:val="00A25F07"/>
    <w:rsid w:val="00A26280"/>
    <w:rsid w:val="00A26780"/>
    <w:rsid w:val="00A274E9"/>
    <w:rsid w:val="00A27563"/>
    <w:rsid w:val="00A30177"/>
    <w:rsid w:val="00A31B0A"/>
    <w:rsid w:val="00A328B7"/>
    <w:rsid w:val="00A33945"/>
    <w:rsid w:val="00A34455"/>
    <w:rsid w:val="00A349E2"/>
    <w:rsid w:val="00A34EFA"/>
    <w:rsid w:val="00A36D95"/>
    <w:rsid w:val="00A42380"/>
    <w:rsid w:val="00A42CE8"/>
    <w:rsid w:val="00A45B98"/>
    <w:rsid w:val="00A4711A"/>
    <w:rsid w:val="00A47D6E"/>
    <w:rsid w:val="00A51804"/>
    <w:rsid w:val="00A51C1C"/>
    <w:rsid w:val="00A530FC"/>
    <w:rsid w:val="00A53874"/>
    <w:rsid w:val="00A53AFE"/>
    <w:rsid w:val="00A540DC"/>
    <w:rsid w:val="00A5583F"/>
    <w:rsid w:val="00A55C81"/>
    <w:rsid w:val="00A562F5"/>
    <w:rsid w:val="00A56DBA"/>
    <w:rsid w:val="00A56EB5"/>
    <w:rsid w:val="00A56ECD"/>
    <w:rsid w:val="00A602D9"/>
    <w:rsid w:val="00A6063A"/>
    <w:rsid w:val="00A612BC"/>
    <w:rsid w:val="00A614E1"/>
    <w:rsid w:val="00A61638"/>
    <w:rsid w:val="00A6184F"/>
    <w:rsid w:val="00A6299E"/>
    <w:rsid w:val="00A62B3C"/>
    <w:rsid w:val="00A62E41"/>
    <w:rsid w:val="00A64146"/>
    <w:rsid w:val="00A64868"/>
    <w:rsid w:val="00A66687"/>
    <w:rsid w:val="00A668E7"/>
    <w:rsid w:val="00A66AE0"/>
    <w:rsid w:val="00A671C5"/>
    <w:rsid w:val="00A6793F"/>
    <w:rsid w:val="00A67AC4"/>
    <w:rsid w:val="00A708D5"/>
    <w:rsid w:val="00A70E88"/>
    <w:rsid w:val="00A71E55"/>
    <w:rsid w:val="00A72F3D"/>
    <w:rsid w:val="00A7437B"/>
    <w:rsid w:val="00A75115"/>
    <w:rsid w:val="00A75927"/>
    <w:rsid w:val="00A76CA9"/>
    <w:rsid w:val="00A7728A"/>
    <w:rsid w:val="00A773E3"/>
    <w:rsid w:val="00A77643"/>
    <w:rsid w:val="00A81199"/>
    <w:rsid w:val="00A8150F"/>
    <w:rsid w:val="00A821B7"/>
    <w:rsid w:val="00A823EC"/>
    <w:rsid w:val="00A8248E"/>
    <w:rsid w:val="00A83450"/>
    <w:rsid w:val="00A84068"/>
    <w:rsid w:val="00A845D6"/>
    <w:rsid w:val="00A846D0"/>
    <w:rsid w:val="00A84DF5"/>
    <w:rsid w:val="00A84FE5"/>
    <w:rsid w:val="00A85663"/>
    <w:rsid w:val="00A859E9"/>
    <w:rsid w:val="00A86A76"/>
    <w:rsid w:val="00A86C47"/>
    <w:rsid w:val="00A87319"/>
    <w:rsid w:val="00A873A8"/>
    <w:rsid w:val="00A87AC5"/>
    <w:rsid w:val="00A9011B"/>
    <w:rsid w:val="00A90CE0"/>
    <w:rsid w:val="00A90D43"/>
    <w:rsid w:val="00A91066"/>
    <w:rsid w:val="00A91807"/>
    <w:rsid w:val="00A92207"/>
    <w:rsid w:val="00A92573"/>
    <w:rsid w:val="00A9268B"/>
    <w:rsid w:val="00A93403"/>
    <w:rsid w:val="00A938BA"/>
    <w:rsid w:val="00A93E01"/>
    <w:rsid w:val="00A94894"/>
    <w:rsid w:val="00A94980"/>
    <w:rsid w:val="00A949E5"/>
    <w:rsid w:val="00A95171"/>
    <w:rsid w:val="00A95428"/>
    <w:rsid w:val="00A958FF"/>
    <w:rsid w:val="00A97A44"/>
    <w:rsid w:val="00AA10E7"/>
    <w:rsid w:val="00AA19A0"/>
    <w:rsid w:val="00AA1B3B"/>
    <w:rsid w:val="00AA2140"/>
    <w:rsid w:val="00AA35F3"/>
    <w:rsid w:val="00AA386E"/>
    <w:rsid w:val="00AA3B3A"/>
    <w:rsid w:val="00AA4D5B"/>
    <w:rsid w:val="00AA580E"/>
    <w:rsid w:val="00AB182E"/>
    <w:rsid w:val="00AB1FBE"/>
    <w:rsid w:val="00AB22A5"/>
    <w:rsid w:val="00AB264A"/>
    <w:rsid w:val="00AB295E"/>
    <w:rsid w:val="00AB2FD5"/>
    <w:rsid w:val="00AB3AE3"/>
    <w:rsid w:val="00AB45B4"/>
    <w:rsid w:val="00AB55E1"/>
    <w:rsid w:val="00AB5844"/>
    <w:rsid w:val="00AB59ED"/>
    <w:rsid w:val="00AB5D8B"/>
    <w:rsid w:val="00AB5F47"/>
    <w:rsid w:val="00AB76C5"/>
    <w:rsid w:val="00AB77F0"/>
    <w:rsid w:val="00AC0619"/>
    <w:rsid w:val="00AC153A"/>
    <w:rsid w:val="00AC170C"/>
    <w:rsid w:val="00AC182C"/>
    <w:rsid w:val="00AC3587"/>
    <w:rsid w:val="00AC3A08"/>
    <w:rsid w:val="00AC3A60"/>
    <w:rsid w:val="00AC42C3"/>
    <w:rsid w:val="00AC49F2"/>
    <w:rsid w:val="00AC4C0C"/>
    <w:rsid w:val="00AC5BF6"/>
    <w:rsid w:val="00AC684E"/>
    <w:rsid w:val="00AC7014"/>
    <w:rsid w:val="00AD0A19"/>
    <w:rsid w:val="00AD1AA1"/>
    <w:rsid w:val="00AD1D49"/>
    <w:rsid w:val="00AD2CFE"/>
    <w:rsid w:val="00AD2F01"/>
    <w:rsid w:val="00AD5AA4"/>
    <w:rsid w:val="00AD64D7"/>
    <w:rsid w:val="00AD7DAF"/>
    <w:rsid w:val="00AE016E"/>
    <w:rsid w:val="00AE0210"/>
    <w:rsid w:val="00AE087F"/>
    <w:rsid w:val="00AE0EDC"/>
    <w:rsid w:val="00AE1B8C"/>
    <w:rsid w:val="00AE1D3D"/>
    <w:rsid w:val="00AE2583"/>
    <w:rsid w:val="00AE2E4F"/>
    <w:rsid w:val="00AE3576"/>
    <w:rsid w:val="00AE3C1B"/>
    <w:rsid w:val="00AE420B"/>
    <w:rsid w:val="00AE48A9"/>
    <w:rsid w:val="00AE4950"/>
    <w:rsid w:val="00AE6068"/>
    <w:rsid w:val="00AE684C"/>
    <w:rsid w:val="00AE705C"/>
    <w:rsid w:val="00AE7E39"/>
    <w:rsid w:val="00AF05C3"/>
    <w:rsid w:val="00AF0D6F"/>
    <w:rsid w:val="00AF171A"/>
    <w:rsid w:val="00AF1AF3"/>
    <w:rsid w:val="00AF2296"/>
    <w:rsid w:val="00AF2F6F"/>
    <w:rsid w:val="00AF3BD0"/>
    <w:rsid w:val="00AF3CD0"/>
    <w:rsid w:val="00AF6154"/>
    <w:rsid w:val="00AF6470"/>
    <w:rsid w:val="00B0089D"/>
    <w:rsid w:val="00B01C2A"/>
    <w:rsid w:val="00B02342"/>
    <w:rsid w:val="00B02A35"/>
    <w:rsid w:val="00B03D1C"/>
    <w:rsid w:val="00B03E4C"/>
    <w:rsid w:val="00B0511C"/>
    <w:rsid w:val="00B05EF3"/>
    <w:rsid w:val="00B0619D"/>
    <w:rsid w:val="00B06ECA"/>
    <w:rsid w:val="00B075E2"/>
    <w:rsid w:val="00B07C51"/>
    <w:rsid w:val="00B10B44"/>
    <w:rsid w:val="00B1198C"/>
    <w:rsid w:val="00B12009"/>
    <w:rsid w:val="00B121D3"/>
    <w:rsid w:val="00B139C7"/>
    <w:rsid w:val="00B13E9A"/>
    <w:rsid w:val="00B140E0"/>
    <w:rsid w:val="00B14BFD"/>
    <w:rsid w:val="00B1571F"/>
    <w:rsid w:val="00B161AB"/>
    <w:rsid w:val="00B162CF"/>
    <w:rsid w:val="00B17094"/>
    <w:rsid w:val="00B17761"/>
    <w:rsid w:val="00B17FA3"/>
    <w:rsid w:val="00B20008"/>
    <w:rsid w:val="00B20EDE"/>
    <w:rsid w:val="00B20F01"/>
    <w:rsid w:val="00B21D3D"/>
    <w:rsid w:val="00B22620"/>
    <w:rsid w:val="00B22ABE"/>
    <w:rsid w:val="00B2342E"/>
    <w:rsid w:val="00B23571"/>
    <w:rsid w:val="00B2383D"/>
    <w:rsid w:val="00B262EC"/>
    <w:rsid w:val="00B26B58"/>
    <w:rsid w:val="00B31B3C"/>
    <w:rsid w:val="00B31E3A"/>
    <w:rsid w:val="00B31EFC"/>
    <w:rsid w:val="00B31F2E"/>
    <w:rsid w:val="00B31F4A"/>
    <w:rsid w:val="00B31FB2"/>
    <w:rsid w:val="00B324CA"/>
    <w:rsid w:val="00B33A74"/>
    <w:rsid w:val="00B34FDD"/>
    <w:rsid w:val="00B353D0"/>
    <w:rsid w:val="00B36B2D"/>
    <w:rsid w:val="00B36CBB"/>
    <w:rsid w:val="00B37D1B"/>
    <w:rsid w:val="00B4132D"/>
    <w:rsid w:val="00B41430"/>
    <w:rsid w:val="00B42A5A"/>
    <w:rsid w:val="00B43014"/>
    <w:rsid w:val="00B44218"/>
    <w:rsid w:val="00B444DE"/>
    <w:rsid w:val="00B45290"/>
    <w:rsid w:val="00B45B5B"/>
    <w:rsid w:val="00B45EEA"/>
    <w:rsid w:val="00B474EA"/>
    <w:rsid w:val="00B506B2"/>
    <w:rsid w:val="00B512D0"/>
    <w:rsid w:val="00B523BF"/>
    <w:rsid w:val="00B52F0B"/>
    <w:rsid w:val="00B5300C"/>
    <w:rsid w:val="00B5451A"/>
    <w:rsid w:val="00B546B0"/>
    <w:rsid w:val="00B54CD8"/>
    <w:rsid w:val="00B54D29"/>
    <w:rsid w:val="00B5516C"/>
    <w:rsid w:val="00B554B9"/>
    <w:rsid w:val="00B558E1"/>
    <w:rsid w:val="00B55A85"/>
    <w:rsid w:val="00B55FED"/>
    <w:rsid w:val="00B57787"/>
    <w:rsid w:val="00B57902"/>
    <w:rsid w:val="00B57C7E"/>
    <w:rsid w:val="00B60EBF"/>
    <w:rsid w:val="00B619CC"/>
    <w:rsid w:val="00B61A3C"/>
    <w:rsid w:val="00B61C95"/>
    <w:rsid w:val="00B61EC8"/>
    <w:rsid w:val="00B61F03"/>
    <w:rsid w:val="00B6378E"/>
    <w:rsid w:val="00B63AA3"/>
    <w:rsid w:val="00B63AF5"/>
    <w:rsid w:val="00B640F8"/>
    <w:rsid w:val="00B648B7"/>
    <w:rsid w:val="00B65498"/>
    <w:rsid w:val="00B6559B"/>
    <w:rsid w:val="00B65A71"/>
    <w:rsid w:val="00B67426"/>
    <w:rsid w:val="00B707C6"/>
    <w:rsid w:val="00B710B2"/>
    <w:rsid w:val="00B71BDE"/>
    <w:rsid w:val="00B72DBA"/>
    <w:rsid w:val="00B7344B"/>
    <w:rsid w:val="00B735FA"/>
    <w:rsid w:val="00B7567B"/>
    <w:rsid w:val="00B7620C"/>
    <w:rsid w:val="00B7783E"/>
    <w:rsid w:val="00B80197"/>
    <w:rsid w:val="00B80530"/>
    <w:rsid w:val="00B80898"/>
    <w:rsid w:val="00B8159D"/>
    <w:rsid w:val="00B81D88"/>
    <w:rsid w:val="00B81E64"/>
    <w:rsid w:val="00B8329A"/>
    <w:rsid w:val="00B84344"/>
    <w:rsid w:val="00B84967"/>
    <w:rsid w:val="00B84D07"/>
    <w:rsid w:val="00B84F12"/>
    <w:rsid w:val="00B856B3"/>
    <w:rsid w:val="00B85AE8"/>
    <w:rsid w:val="00B86CF6"/>
    <w:rsid w:val="00B87E93"/>
    <w:rsid w:val="00B87FD4"/>
    <w:rsid w:val="00B90414"/>
    <w:rsid w:val="00B92A86"/>
    <w:rsid w:val="00B9327A"/>
    <w:rsid w:val="00B934E9"/>
    <w:rsid w:val="00B93D1E"/>
    <w:rsid w:val="00B94E7C"/>
    <w:rsid w:val="00B94F7D"/>
    <w:rsid w:val="00B9552F"/>
    <w:rsid w:val="00B96A23"/>
    <w:rsid w:val="00B96C37"/>
    <w:rsid w:val="00B97283"/>
    <w:rsid w:val="00B9730C"/>
    <w:rsid w:val="00B97883"/>
    <w:rsid w:val="00B97D0D"/>
    <w:rsid w:val="00BA0C02"/>
    <w:rsid w:val="00BA0E5F"/>
    <w:rsid w:val="00BA12B7"/>
    <w:rsid w:val="00BA1330"/>
    <w:rsid w:val="00BA1A70"/>
    <w:rsid w:val="00BA1B9C"/>
    <w:rsid w:val="00BA29B4"/>
    <w:rsid w:val="00BA30D0"/>
    <w:rsid w:val="00BA3929"/>
    <w:rsid w:val="00BA3E86"/>
    <w:rsid w:val="00BA40C1"/>
    <w:rsid w:val="00BA4131"/>
    <w:rsid w:val="00BA5461"/>
    <w:rsid w:val="00BA672A"/>
    <w:rsid w:val="00BA67E8"/>
    <w:rsid w:val="00BA6EDB"/>
    <w:rsid w:val="00BA6F6E"/>
    <w:rsid w:val="00BA747F"/>
    <w:rsid w:val="00BA79E7"/>
    <w:rsid w:val="00BA7AD2"/>
    <w:rsid w:val="00BB16F8"/>
    <w:rsid w:val="00BB1B16"/>
    <w:rsid w:val="00BB1DA4"/>
    <w:rsid w:val="00BB35FE"/>
    <w:rsid w:val="00BB392E"/>
    <w:rsid w:val="00BB3DA4"/>
    <w:rsid w:val="00BB40C4"/>
    <w:rsid w:val="00BB4C51"/>
    <w:rsid w:val="00BB56EF"/>
    <w:rsid w:val="00BB6021"/>
    <w:rsid w:val="00BB6649"/>
    <w:rsid w:val="00BB673E"/>
    <w:rsid w:val="00BB6837"/>
    <w:rsid w:val="00BB6BA7"/>
    <w:rsid w:val="00BB72A9"/>
    <w:rsid w:val="00BB77CE"/>
    <w:rsid w:val="00BB7AF7"/>
    <w:rsid w:val="00BB7F50"/>
    <w:rsid w:val="00BC0B9B"/>
    <w:rsid w:val="00BC47F1"/>
    <w:rsid w:val="00BC522F"/>
    <w:rsid w:val="00BC56F6"/>
    <w:rsid w:val="00BC7249"/>
    <w:rsid w:val="00BC761F"/>
    <w:rsid w:val="00BD0C95"/>
    <w:rsid w:val="00BD0EEA"/>
    <w:rsid w:val="00BD118F"/>
    <w:rsid w:val="00BD187F"/>
    <w:rsid w:val="00BD18F5"/>
    <w:rsid w:val="00BD1A0D"/>
    <w:rsid w:val="00BD1E5F"/>
    <w:rsid w:val="00BD2A6B"/>
    <w:rsid w:val="00BD400F"/>
    <w:rsid w:val="00BD4C78"/>
    <w:rsid w:val="00BD4F00"/>
    <w:rsid w:val="00BD53E6"/>
    <w:rsid w:val="00BD59EA"/>
    <w:rsid w:val="00BD6A1D"/>
    <w:rsid w:val="00BD6F8D"/>
    <w:rsid w:val="00BD6FE1"/>
    <w:rsid w:val="00BD7A60"/>
    <w:rsid w:val="00BE05C9"/>
    <w:rsid w:val="00BE0AE6"/>
    <w:rsid w:val="00BE3463"/>
    <w:rsid w:val="00BE445E"/>
    <w:rsid w:val="00BE4A95"/>
    <w:rsid w:val="00BE54FE"/>
    <w:rsid w:val="00BE57C7"/>
    <w:rsid w:val="00BE6D97"/>
    <w:rsid w:val="00BE6ECE"/>
    <w:rsid w:val="00BF0316"/>
    <w:rsid w:val="00BF04E2"/>
    <w:rsid w:val="00BF1646"/>
    <w:rsid w:val="00BF290D"/>
    <w:rsid w:val="00BF2C42"/>
    <w:rsid w:val="00BF3760"/>
    <w:rsid w:val="00BF5348"/>
    <w:rsid w:val="00BF5863"/>
    <w:rsid w:val="00BF641E"/>
    <w:rsid w:val="00BF6E79"/>
    <w:rsid w:val="00BF700A"/>
    <w:rsid w:val="00BF7B24"/>
    <w:rsid w:val="00C01325"/>
    <w:rsid w:val="00C01590"/>
    <w:rsid w:val="00C024AB"/>
    <w:rsid w:val="00C03E5E"/>
    <w:rsid w:val="00C044D9"/>
    <w:rsid w:val="00C05745"/>
    <w:rsid w:val="00C05FA2"/>
    <w:rsid w:val="00C0669F"/>
    <w:rsid w:val="00C07F8E"/>
    <w:rsid w:val="00C10CAA"/>
    <w:rsid w:val="00C11E7D"/>
    <w:rsid w:val="00C12D50"/>
    <w:rsid w:val="00C134E9"/>
    <w:rsid w:val="00C13E85"/>
    <w:rsid w:val="00C1494F"/>
    <w:rsid w:val="00C1500B"/>
    <w:rsid w:val="00C15B6C"/>
    <w:rsid w:val="00C17F1E"/>
    <w:rsid w:val="00C20D19"/>
    <w:rsid w:val="00C20FC4"/>
    <w:rsid w:val="00C21272"/>
    <w:rsid w:val="00C2168B"/>
    <w:rsid w:val="00C21ADA"/>
    <w:rsid w:val="00C2209F"/>
    <w:rsid w:val="00C224D5"/>
    <w:rsid w:val="00C2262E"/>
    <w:rsid w:val="00C2589F"/>
    <w:rsid w:val="00C25CA0"/>
    <w:rsid w:val="00C25D42"/>
    <w:rsid w:val="00C26366"/>
    <w:rsid w:val="00C2693B"/>
    <w:rsid w:val="00C26A3D"/>
    <w:rsid w:val="00C26ABD"/>
    <w:rsid w:val="00C27DD9"/>
    <w:rsid w:val="00C27F15"/>
    <w:rsid w:val="00C3057D"/>
    <w:rsid w:val="00C30F64"/>
    <w:rsid w:val="00C31487"/>
    <w:rsid w:val="00C3327B"/>
    <w:rsid w:val="00C34247"/>
    <w:rsid w:val="00C35CFF"/>
    <w:rsid w:val="00C36CEB"/>
    <w:rsid w:val="00C371B0"/>
    <w:rsid w:val="00C37224"/>
    <w:rsid w:val="00C37CBE"/>
    <w:rsid w:val="00C40309"/>
    <w:rsid w:val="00C41A7C"/>
    <w:rsid w:val="00C41B11"/>
    <w:rsid w:val="00C42564"/>
    <w:rsid w:val="00C43D57"/>
    <w:rsid w:val="00C43F6A"/>
    <w:rsid w:val="00C441CD"/>
    <w:rsid w:val="00C443C8"/>
    <w:rsid w:val="00C44F8A"/>
    <w:rsid w:val="00C4504E"/>
    <w:rsid w:val="00C4584C"/>
    <w:rsid w:val="00C45E2B"/>
    <w:rsid w:val="00C46807"/>
    <w:rsid w:val="00C477E0"/>
    <w:rsid w:val="00C47AA6"/>
    <w:rsid w:val="00C47C3F"/>
    <w:rsid w:val="00C47CB0"/>
    <w:rsid w:val="00C47CED"/>
    <w:rsid w:val="00C502CD"/>
    <w:rsid w:val="00C50F6C"/>
    <w:rsid w:val="00C510A7"/>
    <w:rsid w:val="00C519D8"/>
    <w:rsid w:val="00C52764"/>
    <w:rsid w:val="00C53584"/>
    <w:rsid w:val="00C53A1B"/>
    <w:rsid w:val="00C57D7C"/>
    <w:rsid w:val="00C61924"/>
    <w:rsid w:val="00C61CCC"/>
    <w:rsid w:val="00C621F7"/>
    <w:rsid w:val="00C62230"/>
    <w:rsid w:val="00C623D5"/>
    <w:rsid w:val="00C63130"/>
    <w:rsid w:val="00C63204"/>
    <w:rsid w:val="00C641F3"/>
    <w:rsid w:val="00C6475A"/>
    <w:rsid w:val="00C654A7"/>
    <w:rsid w:val="00C654AB"/>
    <w:rsid w:val="00C65B11"/>
    <w:rsid w:val="00C65FDF"/>
    <w:rsid w:val="00C6761E"/>
    <w:rsid w:val="00C70AC7"/>
    <w:rsid w:val="00C70E5E"/>
    <w:rsid w:val="00C71B15"/>
    <w:rsid w:val="00C71D86"/>
    <w:rsid w:val="00C72E60"/>
    <w:rsid w:val="00C72EDE"/>
    <w:rsid w:val="00C7355A"/>
    <w:rsid w:val="00C74A2B"/>
    <w:rsid w:val="00C75EF3"/>
    <w:rsid w:val="00C760D2"/>
    <w:rsid w:val="00C7708C"/>
    <w:rsid w:val="00C77BB8"/>
    <w:rsid w:val="00C801A9"/>
    <w:rsid w:val="00C80DAB"/>
    <w:rsid w:val="00C812CF"/>
    <w:rsid w:val="00C81609"/>
    <w:rsid w:val="00C816B3"/>
    <w:rsid w:val="00C8173C"/>
    <w:rsid w:val="00C82188"/>
    <w:rsid w:val="00C84116"/>
    <w:rsid w:val="00C84233"/>
    <w:rsid w:val="00C84839"/>
    <w:rsid w:val="00C867E1"/>
    <w:rsid w:val="00C8696D"/>
    <w:rsid w:val="00C872A1"/>
    <w:rsid w:val="00C87BD3"/>
    <w:rsid w:val="00C87C6F"/>
    <w:rsid w:val="00C90969"/>
    <w:rsid w:val="00C90F7C"/>
    <w:rsid w:val="00C91C9E"/>
    <w:rsid w:val="00C91EA6"/>
    <w:rsid w:val="00C9234D"/>
    <w:rsid w:val="00C9245E"/>
    <w:rsid w:val="00C926B3"/>
    <w:rsid w:val="00C93281"/>
    <w:rsid w:val="00C94238"/>
    <w:rsid w:val="00C94E08"/>
    <w:rsid w:val="00C952CC"/>
    <w:rsid w:val="00C96637"/>
    <w:rsid w:val="00C96927"/>
    <w:rsid w:val="00C9710D"/>
    <w:rsid w:val="00C97CF0"/>
    <w:rsid w:val="00CA01F3"/>
    <w:rsid w:val="00CA105D"/>
    <w:rsid w:val="00CA19A5"/>
    <w:rsid w:val="00CA2F1D"/>
    <w:rsid w:val="00CA303D"/>
    <w:rsid w:val="00CA475A"/>
    <w:rsid w:val="00CA55D3"/>
    <w:rsid w:val="00CA6F89"/>
    <w:rsid w:val="00CA73AD"/>
    <w:rsid w:val="00CB05DD"/>
    <w:rsid w:val="00CB2445"/>
    <w:rsid w:val="00CB27F5"/>
    <w:rsid w:val="00CB28D8"/>
    <w:rsid w:val="00CB28FD"/>
    <w:rsid w:val="00CB5534"/>
    <w:rsid w:val="00CB5D85"/>
    <w:rsid w:val="00CB5FFD"/>
    <w:rsid w:val="00CB6143"/>
    <w:rsid w:val="00CB62A4"/>
    <w:rsid w:val="00CB6366"/>
    <w:rsid w:val="00CB6A2D"/>
    <w:rsid w:val="00CB6C39"/>
    <w:rsid w:val="00CB6F19"/>
    <w:rsid w:val="00CB7522"/>
    <w:rsid w:val="00CC1E77"/>
    <w:rsid w:val="00CC1E7D"/>
    <w:rsid w:val="00CC2C2D"/>
    <w:rsid w:val="00CC3A2E"/>
    <w:rsid w:val="00CC45AD"/>
    <w:rsid w:val="00CC4EA2"/>
    <w:rsid w:val="00CC5222"/>
    <w:rsid w:val="00CC63C5"/>
    <w:rsid w:val="00CC66E7"/>
    <w:rsid w:val="00CC7517"/>
    <w:rsid w:val="00CC765A"/>
    <w:rsid w:val="00CC7670"/>
    <w:rsid w:val="00CC7868"/>
    <w:rsid w:val="00CC78E0"/>
    <w:rsid w:val="00CC7FD5"/>
    <w:rsid w:val="00CD0072"/>
    <w:rsid w:val="00CD07A1"/>
    <w:rsid w:val="00CD08D3"/>
    <w:rsid w:val="00CD0EF3"/>
    <w:rsid w:val="00CD15CC"/>
    <w:rsid w:val="00CD22FD"/>
    <w:rsid w:val="00CD308B"/>
    <w:rsid w:val="00CD3C89"/>
    <w:rsid w:val="00CD5392"/>
    <w:rsid w:val="00CD5809"/>
    <w:rsid w:val="00CD5922"/>
    <w:rsid w:val="00CD5AB1"/>
    <w:rsid w:val="00CD618B"/>
    <w:rsid w:val="00CD6BF1"/>
    <w:rsid w:val="00CD6C6B"/>
    <w:rsid w:val="00CD6DC1"/>
    <w:rsid w:val="00CD7308"/>
    <w:rsid w:val="00CD7FC4"/>
    <w:rsid w:val="00CE0140"/>
    <w:rsid w:val="00CE04D9"/>
    <w:rsid w:val="00CE05E4"/>
    <w:rsid w:val="00CE06F4"/>
    <w:rsid w:val="00CE08A5"/>
    <w:rsid w:val="00CE0C13"/>
    <w:rsid w:val="00CE0FC2"/>
    <w:rsid w:val="00CE1A56"/>
    <w:rsid w:val="00CE1C03"/>
    <w:rsid w:val="00CE1D58"/>
    <w:rsid w:val="00CE2166"/>
    <w:rsid w:val="00CE2CC3"/>
    <w:rsid w:val="00CE32BE"/>
    <w:rsid w:val="00CE3938"/>
    <w:rsid w:val="00CE3E6A"/>
    <w:rsid w:val="00CE43E3"/>
    <w:rsid w:val="00CE4BA2"/>
    <w:rsid w:val="00CE4C13"/>
    <w:rsid w:val="00CE4D44"/>
    <w:rsid w:val="00CE4D82"/>
    <w:rsid w:val="00CE4F7F"/>
    <w:rsid w:val="00CE5F36"/>
    <w:rsid w:val="00CE6DBA"/>
    <w:rsid w:val="00CE7192"/>
    <w:rsid w:val="00CE7470"/>
    <w:rsid w:val="00CE777F"/>
    <w:rsid w:val="00CF0485"/>
    <w:rsid w:val="00CF0A5D"/>
    <w:rsid w:val="00CF0A78"/>
    <w:rsid w:val="00CF1B81"/>
    <w:rsid w:val="00CF3076"/>
    <w:rsid w:val="00CF39FE"/>
    <w:rsid w:val="00CF440F"/>
    <w:rsid w:val="00CF5914"/>
    <w:rsid w:val="00CF60DA"/>
    <w:rsid w:val="00CF6FF3"/>
    <w:rsid w:val="00CF77DF"/>
    <w:rsid w:val="00D002AE"/>
    <w:rsid w:val="00D00DB6"/>
    <w:rsid w:val="00D025BD"/>
    <w:rsid w:val="00D02A33"/>
    <w:rsid w:val="00D03A24"/>
    <w:rsid w:val="00D04F12"/>
    <w:rsid w:val="00D0515B"/>
    <w:rsid w:val="00D059B5"/>
    <w:rsid w:val="00D059CC"/>
    <w:rsid w:val="00D07640"/>
    <w:rsid w:val="00D11EA6"/>
    <w:rsid w:val="00D11F37"/>
    <w:rsid w:val="00D121A9"/>
    <w:rsid w:val="00D1234E"/>
    <w:rsid w:val="00D12C40"/>
    <w:rsid w:val="00D15F7F"/>
    <w:rsid w:val="00D160E6"/>
    <w:rsid w:val="00D16868"/>
    <w:rsid w:val="00D177C1"/>
    <w:rsid w:val="00D17E03"/>
    <w:rsid w:val="00D20E47"/>
    <w:rsid w:val="00D21023"/>
    <w:rsid w:val="00D21904"/>
    <w:rsid w:val="00D22205"/>
    <w:rsid w:val="00D22301"/>
    <w:rsid w:val="00D2263E"/>
    <w:rsid w:val="00D22CAD"/>
    <w:rsid w:val="00D236CF"/>
    <w:rsid w:val="00D243FF"/>
    <w:rsid w:val="00D24780"/>
    <w:rsid w:val="00D2489E"/>
    <w:rsid w:val="00D249DE"/>
    <w:rsid w:val="00D24DAF"/>
    <w:rsid w:val="00D25043"/>
    <w:rsid w:val="00D2511B"/>
    <w:rsid w:val="00D251CA"/>
    <w:rsid w:val="00D26133"/>
    <w:rsid w:val="00D277E3"/>
    <w:rsid w:val="00D302AC"/>
    <w:rsid w:val="00D30E35"/>
    <w:rsid w:val="00D312CF"/>
    <w:rsid w:val="00D320F4"/>
    <w:rsid w:val="00D3241E"/>
    <w:rsid w:val="00D32FE9"/>
    <w:rsid w:val="00D33D2B"/>
    <w:rsid w:val="00D34B2A"/>
    <w:rsid w:val="00D354E0"/>
    <w:rsid w:val="00D37A60"/>
    <w:rsid w:val="00D40910"/>
    <w:rsid w:val="00D40E38"/>
    <w:rsid w:val="00D40F35"/>
    <w:rsid w:val="00D4151A"/>
    <w:rsid w:val="00D41B44"/>
    <w:rsid w:val="00D42CB8"/>
    <w:rsid w:val="00D43A58"/>
    <w:rsid w:val="00D44505"/>
    <w:rsid w:val="00D45A35"/>
    <w:rsid w:val="00D45FF0"/>
    <w:rsid w:val="00D470F5"/>
    <w:rsid w:val="00D4771D"/>
    <w:rsid w:val="00D50F80"/>
    <w:rsid w:val="00D518F2"/>
    <w:rsid w:val="00D5296D"/>
    <w:rsid w:val="00D533B0"/>
    <w:rsid w:val="00D536CC"/>
    <w:rsid w:val="00D546D0"/>
    <w:rsid w:val="00D555C5"/>
    <w:rsid w:val="00D556F0"/>
    <w:rsid w:val="00D55FCB"/>
    <w:rsid w:val="00D60889"/>
    <w:rsid w:val="00D60B43"/>
    <w:rsid w:val="00D60D47"/>
    <w:rsid w:val="00D63438"/>
    <w:rsid w:val="00D63858"/>
    <w:rsid w:val="00D63CE0"/>
    <w:rsid w:val="00D6649A"/>
    <w:rsid w:val="00D66552"/>
    <w:rsid w:val="00D66ADC"/>
    <w:rsid w:val="00D66D4A"/>
    <w:rsid w:val="00D674ED"/>
    <w:rsid w:val="00D678FB"/>
    <w:rsid w:val="00D67F2C"/>
    <w:rsid w:val="00D70387"/>
    <w:rsid w:val="00D712FE"/>
    <w:rsid w:val="00D732C2"/>
    <w:rsid w:val="00D73304"/>
    <w:rsid w:val="00D7385B"/>
    <w:rsid w:val="00D748C9"/>
    <w:rsid w:val="00D76293"/>
    <w:rsid w:val="00D763BD"/>
    <w:rsid w:val="00D779B6"/>
    <w:rsid w:val="00D80897"/>
    <w:rsid w:val="00D80B40"/>
    <w:rsid w:val="00D82350"/>
    <w:rsid w:val="00D82384"/>
    <w:rsid w:val="00D83146"/>
    <w:rsid w:val="00D83326"/>
    <w:rsid w:val="00D83BFA"/>
    <w:rsid w:val="00D83DF2"/>
    <w:rsid w:val="00D84F38"/>
    <w:rsid w:val="00D855BF"/>
    <w:rsid w:val="00D867E3"/>
    <w:rsid w:val="00D9078C"/>
    <w:rsid w:val="00D9131F"/>
    <w:rsid w:val="00D91475"/>
    <w:rsid w:val="00D916D4"/>
    <w:rsid w:val="00D91993"/>
    <w:rsid w:val="00D940E7"/>
    <w:rsid w:val="00D9422E"/>
    <w:rsid w:val="00D94654"/>
    <w:rsid w:val="00D951ED"/>
    <w:rsid w:val="00D96EC1"/>
    <w:rsid w:val="00D970E6"/>
    <w:rsid w:val="00D97146"/>
    <w:rsid w:val="00D97D62"/>
    <w:rsid w:val="00DA055C"/>
    <w:rsid w:val="00DA0D07"/>
    <w:rsid w:val="00DA1F90"/>
    <w:rsid w:val="00DA2ADB"/>
    <w:rsid w:val="00DA2FEC"/>
    <w:rsid w:val="00DA3DD7"/>
    <w:rsid w:val="00DA42F8"/>
    <w:rsid w:val="00DA4647"/>
    <w:rsid w:val="00DA5723"/>
    <w:rsid w:val="00DA6ED5"/>
    <w:rsid w:val="00DA72E3"/>
    <w:rsid w:val="00DA7602"/>
    <w:rsid w:val="00DB019E"/>
    <w:rsid w:val="00DB123E"/>
    <w:rsid w:val="00DB1A25"/>
    <w:rsid w:val="00DB2025"/>
    <w:rsid w:val="00DB2D68"/>
    <w:rsid w:val="00DB4EE6"/>
    <w:rsid w:val="00DB5A9E"/>
    <w:rsid w:val="00DB61E7"/>
    <w:rsid w:val="00DB75AA"/>
    <w:rsid w:val="00DB7843"/>
    <w:rsid w:val="00DB7BE4"/>
    <w:rsid w:val="00DC050E"/>
    <w:rsid w:val="00DC287F"/>
    <w:rsid w:val="00DC2BCD"/>
    <w:rsid w:val="00DC3933"/>
    <w:rsid w:val="00DC3C86"/>
    <w:rsid w:val="00DC3E02"/>
    <w:rsid w:val="00DC3E2E"/>
    <w:rsid w:val="00DC3E69"/>
    <w:rsid w:val="00DC4451"/>
    <w:rsid w:val="00DC4733"/>
    <w:rsid w:val="00DC5577"/>
    <w:rsid w:val="00DC56F9"/>
    <w:rsid w:val="00DC5B09"/>
    <w:rsid w:val="00DC5F09"/>
    <w:rsid w:val="00DC6191"/>
    <w:rsid w:val="00DC6828"/>
    <w:rsid w:val="00DC687E"/>
    <w:rsid w:val="00DC7577"/>
    <w:rsid w:val="00DC76C8"/>
    <w:rsid w:val="00DD0120"/>
    <w:rsid w:val="00DD0C5D"/>
    <w:rsid w:val="00DD1888"/>
    <w:rsid w:val="00DD1909"/>
    <w:rsid w:val="00DD1D82"/>
    <w:rsid w:val="00DD2DE1"/>
    <w:rsid w:val="00DD2E73"/>
    <w:rsid w:val="00DD32A5"/>
    <w:rsid w:val="00DD3F00"/>
    <w:rsid w:val="00DD4783"/>
    <w:rsid w:val="00DD4EE9"/>
    <w:rsid w:val="00DD5007"/>
    <w:rsid w:val="00DD5F06"/>
    <w:rsid w:val="00DD5F31"/>
    <w:rsid w:val="00DE0225"/>
    <w:rsid w:val="00DE0AA3"/>
    <w:rsid w:val="00DE20C9"/>
    <w:rsid w:val="00DE2FA7"/>
    <w:rsid w:val="00DE4998"/>
    <w:rsid w:val="00DE5AB4"/>
    <w:rsid w:val="00DE61A6"/>
    <w:rsid w:val="00DE7472"/>
    <w:rsid w:val="00DE7799"/>
    <w:rsid w:val="00DF00D4"/>
    <w:rsid w:val="00DF1365"/>
    <w:rsid w:val="00DF1667"/>
    <w:rsid w:val="00DF1957"/>
    <w:rsid w:val="00DF23C9"/>
    <w:rsid w:val="00DF273B"/>
    <w:rsid w:val="00DF2FFC"/>
    <w:rsid w:val="00DF395C"/>
    <w:rsid w:val="00DF3AD6"/>
    <w:rsid w:val="00DF43A0"/>
    <w:rsid w:val="00DF5073"/>
    <w:rsid w:val="00DF60FE"/>
    <w:rsid w:val="00DF6182"/>
    <w:rsid w:val="00DF6544"/>
    <w:rsid w:val="00DF6832"/>
    <w:rsid w:val="00DF6BD6"/>
    <w:rsid w:val="00DF703E"/>
    <w:rsid w:val="00DF7540"/>
    <w:rsid w:val="00DF7A88"/>
    <w:rsid w:val="00DF7ACC"/>
    <w:rsid w:val="00E0173C"/>
    <w:rsid w:val="00E023A0"/>
    <w:rsid w:val="00E02D83"/>
    <w:rsid w:val="00E02F64"/>
    <w:rsid w:val="00E03538"/>
    <w:rsid w:val="00E06908"/>
    <w:rsid w:val="00E06CF2"/>
    <w:rsid w:val="00E07ACB"/>
    <w:rsid w:val="00E07DA1"/>
    <w:rsid w:val="00E10C10"/>
    <w:rsid w:val="00E10CF2"/>
    <w:rsid w:val="00E10F86"/>
    <w:rsid w:val="00E1161E"/>
    <w:rsid w:val="00E11855"/>
    <w:rsid w:val="00E119BA"/>
    <w:rsid w:val="00E11CE7"/>
    <w:rsid w:val="00E11EC1"/>
    <w:rsid w:val="00E12811"/>
    <w:rsid w:val="00E128A2"/>
    <w:rsid w:val="00E130C7"/>
    <w:rsid w:val="00E13402"/>
    <w:rsid w:val="00E134C0"/>
    <w:rsid w:val="00E14212"/>
    <w:rsid w:val="00E14AA0"/>
    <w:rsid w:val="00E14D2C"/>
    <w:rsid w:val="00E1598F"/>
    <w:rsid w:val="00E15EC6"/>
    <w:rsid w:val="00E16913"/>
    <w:rsid w:val="00E17060"/>
    <w:rsid w:val="00E178FD"/>
    <w:rsid w:val="00E17A9A"/>
    <w:rsid w:val="00E17AB9"/>
    <w:rsid w:val="00E202B6"/>
    <w:rsid w:val="00E202DC"/>
    <w:rsid w:val="00E2051B"/>
    <w:rsid w:val="00E2125D"/>
    <w:rsid w:val="00E22903"/>
    <w:rsid w:val="00E235C9"/>
    <w:rsid w:val="00E237A4"/>
    <w:rsid w:val="00E24422"/>
    <w:rsid w:val="00E2467A"/>
    <w:rsid w:val="00E24A8C"/>
    <w:rsid w:val="00E24B8B"/>
    <w:rsid w:val="00E24E53"/>
    <w:rsid w:val="00E25A4F"/>
    <w:rsid w:val="00E272A9"/>
    <w:rsid w:val="00E27492"/>
    <w:rsid w:val="00E27D1E"/>
    <w:rsid w:val="00E27D90"/>
    <w:rsid w:val="00E30413"/>
    <w:rsid w:val="00E30969"/>
    <w:rsid w:val="00E30991"/>
    <w:rsid w:val="00E321C2"/>
    <w:rsid w:val="00E33072"/>
    <w:rsid w:val="00E337D5"/>
    <w:rsid w:val="00E33A24"/>
    <w:rsid w:val="00E34067"/>
    <w:rsid w:val="00E34210"/>
    <w:rsid w:val="00E34C74"/>
    <w:rsid w:val="00E3559F"/>
    <w:rsid w:val="00E35989"/>
    <w:rsid w:val="00E373B9"/>
    <w:rsid w:val="00E373C3"/>
    <w:rsid w:val="00E41327"/>
    <w:rsid w:val="00E41365"/>
    <w:rsid w:val="00E41370"/>
    <w:rsid w:val="00E4160D"/>
    <w:rsid w:val="00E41E8F"/>
    <w:rsid w:val="00E4282D"/>
    <w:rsid w:val="00E4285E"/>
    <w:rsid w:val="00E42C1D"/>
    <w:rsid w:val="00E437A1"/>
    <w:rsid w:val="00E46008"/>
    <w:rsid w:val="00E46DEF"/>
    <w:rsid w:val="00E46EF8"/>
    <w:rsid w:val="00E4791F"/>
    <w:rsid w:val="00E5010D"/>
    <w:rsid w:val="00E50427"/>
    <w:rsid w:val="00E5063D"/>
    <w:rsid w:val="00E507D8"/>
    <w:rsid w:val="00E52701"/>
    <w:rsid w:val="00E5500A"/>
    <w:rsid w:val="00E555BE"/>
    <w:rsid w:val="00E569B1"/>
    <w:rsid w:val="00E56A14"/>
    <w:rsid w:val="00E56A6C"/>
    <w:rsid w:val="00E56C44"/>
    <w:rsid w:val="00E57B63"/>
    <w:rsid w:val="00E60CBD"/>
    <w:rsid w:val="00E60FC4"/>
    <w:rsid w:val="00E6101F"/>
    <w:rsid w:val="00E634AF"/>
    <w:rsid w:val="00E6527D"/>
    <w:rsid w:val="00E65A4E"/>
    <w:rsid w:val="00E65F90"/>
    <w:rsid w:val="00E6616A"/>
    <w:rsid w:val="00E6685C"/>
    <w:rsid w:val="00E703B7"/>
    <w:rsid w:val="00E7069B"/>
    <w:rsid w:val="00E713E5"/>
    <w:rsid w:val="00E715CE"/>
    <w:rsid w:val="00E71E23"/>
    <w:rsid w:val="00E735AE"/>
    <w:rsid w:val="00E73AFC"/>
    <w:rsid w:val="00E73B27"/>
    <w:rsid w:val="00E74311"/>
    <w:rsid w:val="00E7445D"/>
    <w:rsid w:val="00E74669"/>
    <w:rsid w:val="00E74CEE"/>
    <w:rsid w:val="00E74FF9"/>
    <w:rsid w:val="00E75852"/>
    <w:rsid w:val="00E75B6E"/>
    <w:rsid w:val="00E7611A"/>
    <w:rsid w:val="00E7638E"/>
    <w:rsid w:val="00E76C67"/>
    <w:rsid w:val="00E77114"/>
    <w:rsid w:val="00E7776D"/>
    <w:rsid w:val="00E77D8E"/>
    <w:rsid w:val="00E80783"/>
    <w:rsid w:val="00E82AE5"/>
    <w:rsid w:val="00E84FE6"/>
    <w:rsid w:val="00E8533F"/>
    <w:rsid w:val="00E85504"/>
    <w:rsid w:val="00E864F6"/>
    <w:rsid w:val="00E868D2"/>
    <w:rsid w:val="00E87DA7"/>
    <w:rsid w:val="00E90A18"/>
    <w:rsid w:val="00E93800"/>
    <w:rsid w:val="00E93F6F"/>
    <w:rsid w:val="00E945DA"/>
    <w:rsid w:val="00E95A9D"/>
    <w:rsid w:val="00E96618"/>
    <w:rsid w:val="00EA012A"/>
    <w:rsid w:val="00EA0170"/>
    <w:rsid w:val="00EA01B9"/>
    <w:rsid w:val="00EA1AE1"/>
    <w:rsid w:val="00EA1D48"/>
    <w:rsid w:val="00EA32AA"/>
    <w:rsid w:val="00EA342D"/>
    <w:rsid w:val="00EA34F4"/>
    <w:rsid w:val="00EA3925"/>
    <w:rsid w:val="00EA41FC"/>
    <w:rsid w:val="00EA4CB8"/>
    <w:rsid w:val="00EA6086"/>
    <w:rsid w:val="00EA63A0"/>
    <w:rsid w:val="00EA6483"/>
    <w:rsid w:val="00EA706E"/>
    <w:rsid w:val="00EB05A9"/>
    <w:rsid w:val="00EB28F4"/>
    <w:rsid w:val="00EB2DC3"/>
    <w:rsid w:val="00EB31F5"/>
    <w:rsid w:val="00EB68CD"/>
    <w:rsid w:val="00EB6A2B"/>
    <w:rsid w:val="00EB6E19"/>
    <w:rsid w:val="00EB718A"/>
    <w:rsid w:val="00EB7DED"/>
    <w:rsid w:val="00EC0201"/>
    <w:rsid w:val="00EC03C9"/>
    <w:rsid w:val="00EC04DE"/>
    <w:rsid w:val="00EC0943"/>
    <w:rsid w:val="00EC0D03"/>
    <w:rsid w:val="00EC169C"/>
    <w:rsid w:val="00EC181E"/>
    <w:rsid w:val="00EC1BE4"/>
    <w:rsid w:val="00EC2394"/>
    <w:rsid w:val="00EC2DE2"/>
    <w:rsid w:val="00EC3B63"/>
    <w:rsid w:val="00EC4FF4"/>
    <w:rsid w:val="00EC52C3"/>
    <w:rsid w:val="00EC6659"/>
    <w:rsid w:val="00EC7AA5"/>
    <w:rsid w:val="00ED0127"/>
    <w:rsid w:val="00ED0DF2"/>
    <w:rsid w:val="00ED1B5F"/>
    <w:rsid w:val="00ED1BAF"/>
    <w:rsid w:val="00ED216D"/>
    <w:rsid w:val="00ED3C52"/>
    <w:rsid w:val="00ED4984"/>
    <w:rsid w:val="00ED4AC7"/>
    <w:rsid w:val="00ED5253"/>
    <w:rsid w:val="00ED5AFB"/>
    <w:rsid w:val="00ED5B1C"/>
    <w:rsid w:val="00ED69A1"/>
    <w:rsid w:val="00ED6A14"/>
    <w:rsid w:val="00ED6CDB"/>
    <w:rsid w:val="00ED732A"/>
    <w:rsid w:val="00ED7FA3"/>
    <w:rsid w:val="00EE0A56"/>
    <w:rsid w:val="00EE0DF5"/>
    <w:rsid w:val="00EE1289"/>
    <w:rsid w:val="00EE1C44"/>
    <w:rsid w:val="00EE2477"/>
    <w:rsid w:val="00EE2673"/>
    <w:rsid w:val="00EE37CB"/>
    <w:rsid w:val="00EE4080"/>
    <w:rsid w:val="00EE4BB9"/>
    <w:rsid w:val="00EE539D"/>
    <w:rsid w:val="00EE655E"/>
    <w:rsid w:val="00EE6835"/>
    <w:rsid w:val="00EE7307"/>
    <w:rsid w:val="00EF0B9B"/>
    <w:rsid w:val="00EF0DA8"/>
    <w:rsid w:val="00EF12E8"/>
    <w:rsid w:val="00EF17D7"/>
    <w:rsid w:val="00EF1ECF"/>
    <w:rsid w:val="00EF1F79"/>
    <w:rsid w:val="00EF38C1"/>
    <w:rsid w:val="00EF4843"/>
    <w:rsid w:val="00EF4C8F"/>
    <w:rsid w:val="00EF512F"/>
    <w:rsid w:val="00EF6417"/>
    <w:rsid w:val="00EF7789"/>
    <w:rsid w:val="00EF79DA"/>
    <w:rsid w:val="00EF7CB8"/>
    <w:rsid w:val="00F00148"/>
    <w:rsid w:val="00F0026B"/>
    <w:rsid w:val="00F026E2"/>
    <w:rsid w:val="00F035BE"/>
    <w:rsid w:val="00F03898"/>
    <w:rsid w:val="00F03CDF"/>
    <w:rsid w:val="00F03CE4"/>
    <w:rsid w:val="00F03E48"/>
    <w:rsid w:val="00F045AB"/>
    <w:rsid w:val="00F04A38"/>
    <w:rsid w:val="00F04BDD"/>
    <w:rsid w:val="00F07016"/>
    <w:rsid w:val="00F07890"/>
    <w:rsid w:val="00F07FB3"/>
    <w:rsid w:val="00F10AFB"/>
    <w:rsid w:val="00F11500"/>
    <w:rsid w:val="00F119A5"/>
    <w:rsid w:val="00F120AF"/>
    <w:rsid w:val="00F123D8"/>
    <w:rsid w:val="00F12862"/>
    <w:rsid w:val="00F12F18"/>
    <w:rsid w:val="00F12F30"/>
    <w:rsid w:val="00F13CE3"/>
    <w:rsid w:val="00F14300"/>
    <w:rsid w:val="00F14452"/>
    <w:rsid w:val="00F148EE"/>
    <w:rsid w:val="00F14F41"/>
    <w:rsid w:val="00F15256"/>
    <w:rsid w:val="00F15C0A"/>
    <w:rsid w:val="00F1701B"/>
    <w:rsid w:val="00F17CF4"/>
    <w:rsid w:val="00F21B36"/>
    <w:rsid w:val="00F225F3"/>
    <w:rsid w:val="00F2310B"/>
    <w:rsid w:val="00F23479"/>
    <w:rsid w:val="00F23E82"/>
    <w:rsid w:val="00F24A71"/>
    <w:rsid w:val="00F25A0E"/>
    <w:rsid w:val="00F25C5D"/>
    <w:rsid w:val="00F2604A"/>
    <w:rsid w:val="00F2616F"/>
    <w:rsid w:val="00F278DD"/>
    <w:rsid w:val="00F27E23"/>
    <w:rsid w:val="00F27F7C"/>
    <w:rsid w:val="00F3039F"/>
    <w:rsid w:val="00F30E9D"/>
    <w:rsid w:val="00F31240"/>
    <w:rsid w:val="00F31F8F"/>
    <w:rsid w:val="00F32A48"/>
    <w:rsid w:val="00F32AC0"/>
    <w:rsid w:val="00F32B7A"/>
    <w:rsid w:val="00F334AF"/>
    <w:rsid w:val="00F33546"/>
    <w:rsid w:val="00F33D94"/>
    <w:rsid w:val="00F34ADB"/>
    <w:rsid w:val="00F3524C"/>
    <w:rsid w:val="00F35ED2"/>
    <w:rsid w:val="00F36D8B"/>
    <w:rsid w:val="00F36E55"/>
    <w:rsid w:val="00F374E7"/>
    <w:rsid w:val="00F37A55"/>
    <w:rsid w:val="00F37B2B"/>
    <w:rsid w:val="00F37B47"/>
    <w:rsid w:val="00F405D7"/>
    <w:rsid w:val="00F41920"/>
    <w:rsid w:val="00F41F2B"/>
    <w:rsid w:val="00F42FED"/>
    <w:rsid w:val="00F46E2E"/>
    <w:rsid w:val="00F475A8"/>
    <w:rsid w:val="00F478C8"/>
    <w:rsid w:val="00F5091E"/>
    <w:rsid w:val="00F51032"/>
    <w:rsid w:val="00F51923"/>
    <w:rsid w:val="00F51C63"/>
    <w:rsid w:val="00F51CDE"/>
    <w:rsid w:val="00F51D0F"/>
    <w:rsid w:val="00F51E48"/>
    <w:rsid w:val="00F52510"/>
    <w:rsid w:val="00F54695"/>
    <w:rsid w:val="00F54C3C"/>
    <w:rsid w:val="00F5575A"/>
    <w:rsid w:val="00F55A1F"/>
    <w:rsid w:val="00F565F2"/>
    <w:rsid w:val="00F57150"/>
    <w:rsid w:val="00F57225"/>
    <w:rsid w:val="00F61898"/>
    <w:rsid w:val="00F62023"/>
    <w:rsid w:val="00F626BE"/>
    <w:rsid w:val="00F629C6"/>
    <w:rsid w:val="00F633D1"/>
    <w:rsid w:val="00F637E7"/>
    <w:rsid w:val="00F639C4"/>
    <w:rsid w:val="00F66A77"/>
    <w:rsid w:val="00F67C18"/>
    <w:rsid w:val="00F72121"/>
    <w:rsid w:val="00F72285"/>
    <w:rsid w:val="00F73D30"/>
    <w:rsid w:val="00F74438"/>
    <w:rsid w:val="00F74DE0"/>
    <w:rsid w:val="00F74F38"/>
    <w:rsid w:val="00F75064"/>
    <w:rsid w:val="00F763DE"/>
    <w:rsid w:val="00F76A94"/>
    <w:rsid w:val="00F76C82"/>
    <w:rsid w:val="00F777DD"/>
    <w:rsid w:val="00F801DE"/>
    <w:rsid w:val="00F80307"/>
    <w:rsid w:val="00F80633"/>
    <w:rsid w:val="00F807C2"/>
    <w:rsid w:val="00F810B7"/>
    <w:rsid w:val="00F81DB1"/>
    <w:rsid w:val="00F82083"/>
    <w:rsid w:val="00F8357A"/>
    <w:rsid w:val="00F84BCE"/>
    <w:rsid w:val="00F85059"/>
    <w:rsid w:val="00F86C2A"/>
    <w:rsid w:val="00F87192"/>
    <w:rsid w:val="00F874A6"/>
    <w:rsid w:val="00F879D2"/>
    <w:rsid w:val="00F907FB"/>
    <w:rsid w:val="00F910D7"/>
    <w:rsid w:val="00F92031"/>
    <w:rsid w:val="00F92175"/>
    <w:rsid w:val="00F9227F"/>
    <w:rsid w:val="00F92485"/>
    <w:rsid w:val="00F92EB4"/>
    <w:rsid w:val="00F934ED"/>
    <w:rsid w:val="00F9597F"/>
    <w:rsid w:val="00F96023"/>
    <w:rsid w:val="00F969DF"/>
    <w:rsid w:val="00F96D96"/>
    <w:rsid w:val="00F97193"/>
    <w:rsid w:val="00F97B49"/>
    <w:rsid w:val="00F97E72"/>
    <w:rsid w:val="00FA0340"/>
    <w:rsid w:val="00FA0C4C"/>
    <w:rsid w:val="00FA0EE4"/>
    <w:rsid w:val="00FA1BC8"/>
    <w:rsid w:val="00FA1EF1"/>
    <w:rsid w:val="00FA2E2A"/>
    <w:rsid w:val="00FA40AE"/>
    <w:rsid w:val="00FA5F6D"/>
    <w:rsid w:val="00FA7810"/>
    <w:rsid w:val="00FB090F"/>
    <w:rsid w:val="00FB173F"/>
    <w:rsid w:val="00FB28EE"/>
    <w:rsid w:val="00FB2B45"/>
    <w:rsid w:val="00FB2F51"/>
    <w:rsid w:val="00FB3393"/>
    <w:rsid w:val="00FB510B"/>
    <w:rsid w:val="00FB6162"/>
    <w:rsid w:val="00FC0B1F"/>
    <w:rsid w:val="00FC122F"/>
    <w:rsid w:val="00FC2502"/>
    <w:rsid w:val="00FC250D"/>
    <w:rsid w:val="00FC37BB"/>
    <w:rsid w:val="00FC3899"/>
    <w:rsid w:val="00FC3DE6"/>
    <w:rsid w:val="00FC4ABC"/>
    <w:rsid w:val="00FC50B8"/>
    <w:rsid w:val="00FC522A"/>
    <w:rsid w:val="00FC55D6"/>
    <w:rsid w:val="00FC599F"/>
    <w:rsid w:val="00FC78DD"/>
    <w:rsid w:val="00FD0711"/>
    <w:rsid w:val="00FD08BB"/>
    <w:rsid w:val="00FD09DF"/>
    <w:rsid w:val="00FD1D18"/>
    <w:rsid w:val="00FD1D26"/>
    <w:rsid w:val="00FD35BB"/>
    <w:rsid w:val="00FD3662"/>
    <w:rsid w:val="00FD3D2F"/>
    <w:rsid w:val="00FD403D"/>
    <w:rsid w:val="00FD4141"/>
    <w:rsid w:val="00FD51CC"/>
    <w:rsid w:val="00FD5279"/>
    <w:rsid w:val="00FD5563"/>
    <w:rsid w:val="00FD69A5"/>
    <w:rsid w:val="00FD75F5"/>
    <w:rsid w:val="00FD79F8"/>
    <w:rsid w:val="00FE0042"/>
    <w:rsid w:val="00FE1184"/>
    <w:rsid w:val="00FE262E"/>
    <w:rsid w:val="00FE286B"/>
    <w:rsid w:val="00FE2B84"/>
    <w:rsid w:val="00FE2C4F"/>
    <w:rsid w:val="00FE2D0B"/>
    <w:rsid w:val="00FE33CC"/>
    <w:rsid w:val="00FE3E8C"/>
    <w:rsid w:val="00FE413A"/>
    <w:rsid w:val="00FE5105"/>
    <w:rsid w:val="00FE52F2"/>
    <w:rsid w:val="00FE62A6"/>
    <w:rsid w:val="00FE7E5E"/>
    <w:rsid w:val="00FE7EBA"/>
    <w:rsid w:val="00FF18B1"/>
    <w:rsid w:val="00FF2EC0"/>
    <w:rsid w:val="00FF2EE1"/>
    <w:rsid w:val="00FF46FF"/>
    <w:rsid w:val="00FF522C"/>
    <w:rsid w:val="00FF68DD"/>
    <w:rsid w:val="00FF772D"/>
    <w:rsid w:val="00FF7BA4"/>
    <w:rsid w:val="00FF7D26"/>
    <w:rsid w:val="01994D9F"/>
    <w:rsid w:val="02B5895B"/>
    <w:rsid w:val="04192E2E"/>
    <w:rsid w:val="06865638"/>
    <w:rsid w:val="0D05429F"/>
    <w:rsid w:val="0D21A024"/>
    <w:rsid w:val="0F86BECD"/>
    <w:rsid w:val="0FB85CA0"/>
    <w:rsid w:val="0FF74090"/>
    <w:rsid w:val="110B5F0F"/>
    <w:rsid w:val="121DB847"/>
    <w:rsid w:val="122777C0"/>
    <w:rsid w:val="12718087"/>
    <w:rsid w:val="13D2CCC9"/>
    <w:rsid w:val="1429F515"/>
    <w:rsid w:val="16079537"/>
    <w:rsid w:val="170FE16D"/>
    <w:rsid w:val="17C1FD9C"/>
    <w:rsid w:val="19E18C83"/>
    <w:rsid w:val="19FA4F3E"/>
    <w:rsid w:val="1A6B741B"/>
    <w:rsid w:val="1B015B89"/>
    <w:rsid w:val="1B2CDE20"/>
    <w:rsid w:val="1BA0EA1D"/>
    <w:rsid w:val="1BCA2A33"/>
    <w:rsid w:val="1DF1CF9D"/>
    <w:rsid w:val="20289A78"/>
    <w:rsid w:val="20390099"/>
    <w:rsid w:val="2085A703"/>
    <w:rsid w:val="2195C271"/>
    <w:rsid w:val="2497FA00"/>
    <w:rsid w:val="26D6CE75"/>
    <w:rsid w:val="2AC08345"/>
    <w:rsid w:val="2AC0E8CE"/>
    <w:rsid w:val="2C7476CB"/>
    <w:rsid w:val="2CA2ED43"/>
    <w:rsid w:val="313E1CC4"/>
    <w:rsid w:val="318800AC"/>
    <w:rsid w:val="32EF7718"/>
    <w:rsid w:val="34632BFA"/>
    <w:rsid w:val="348FDF6E"/>
    <w:rsid w:val="364696CD"/>
    <w:rsid w:val="38AFE636"/>
    <w:rsid w:val="3AD74F66"/>
    <w:rsid w:val="3C0FD469"/>
    <w:rsid w:val="3DB76B58"/>
    <w:rsid w:val="3E98C80F"/>
    <w:rsid w:val="402F9762"/>
    <w:rsid w:val="4358F9B4"/>
    <w:rsid w:val="44B54261"/>
    <w:rsid w:val="45274BBC"/>
    <w:rsid w:val="47603DD4"/>
    <w:rsid w:val="47973CBC"/>
    <w:rsid w:val="47E72724"/>
    <w:rsid w:val="48AEB0BB"/>
    <w:rsid w:val="48EA1DBB"/>
    <w:rsid w:val="491F6BC8"/>
    <w:rsid w:val="4ABC7AB5"/>
    <w:rsid w:val="4B4EEE53"/>
    <w:rsid w:val="4B9A0B43"/>
    <w:rsid w:val="4C058F13"/>
    <w:rsid w:val="4C9219E0"/>
    <w:rsid w:val="4DF5F245"/>
    <w:rsid w:val="521A9852"/>
    <w:rsid w:val="535A9511"/>
    <w:rsid w:val="536D6121"/>
    <w:rsid w:val="54D136BB"/>
    <w:rsid w:val="555F6B4F"/>
    <w:rsid w:val="568F9C11"/>
    <w:rsid w:val="57DED980"/>
    <w:rsid w:val="57E29992"/>
    <w:rsid w:val="58710DA6"/>
    <w:rsid w:val="58CF3544"/>
    <w:rsid w:val="5B1FF305"/>
    <w:rsid w:val="5E711EFE"/>
    <w:rsid w:val="5F12E13C"/>
    <w:rsid w:val="60BF2B8D"/>
    <w:rsid w:val="61A1F7EE"/>
    <w:rsid w:val="621386B9"/>
    <w:rsid w:val="626320E3"/>
    <w:rsid w:val="62D1D30B"/>
    <w:rsid w:val="6335B32A"/>
    <w:rsid w:val="63499F55"/>
    <w:rsid w:val="64A988B6"/>
    <w:rsid w:val="6629228B"/>
    <w:rsid w:val="691ED6A2"/>
    <w:rsid w:val="6A750D55"/>
    <w:rsid w:val="6C150651"/>
    <w:rsid w:val="6C6BF0B2"/>
    <w:rsid w:val="6E1999DD"/>
    <w:rsid w:val="6E1B8186"/>
    <w:rsid w:val="6F0C3CA9"/>
    <w:rsid w:val="6FB3D938"/>
    <w:rsid w:val="74C6B330"/>
    <w:rsid w:val="756A3F80"/>
    <w:rsid w:val="77A3E099"/>
    <w:rsid w:val="78210D9D"/>
    <w:rsid w:val="78284881"/>
    <w:rsid w:val="787C0B3B"/>
    <w:rsid w:val="7BD39D88"/>
    <w:rsid w:val="7CBD303F"/>
    <w:rsid w:val="7E6ED1E0"/>
    <w:rsid w:val="7F5521D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f" fillcolor="white" stroke="f">
      <v:fill color="white" on="f"/>
      <v:stroke on="f"/>
      <v:textbox inset="5.85pt,.7pt,5.85pt,.7pt"/>
    </o:shapedefaults>
    <o:shapelayout v:ext="edit">
      <o:idmap v:ext="edit" data="1"/>
    </o:shapelayout>
  </w:shapeDefaults>
  <w:decimalSymbol w:val="."/>
  <w:listSeparator w:val=","/>
  <w14:docId w14:val="7A0458CD"/>
  <w15:docId w15:val="{A746B8E6-0C54-4896-94AD-BD921AD41E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1C9E"/>
    <w:rPr>
      <w:rFonts w:eastAsia="MS Gothic"/>
      <w:noProof/>
      <w:sz w:val="24"/>
      <w:szCs w:val="24"/>
    </w:rPr>
  </w:style>
  <w:style w:type="paragraph" w:styleId="Heading1">
    <w:name w:val="heading 1"/>
    <w:aliases w:val="H1,h1,app heading 1,l1,Memo Heading 1,h11,h12,h13,h14,h15,h16"/>
    <w:basedOn w:val="Normal"/>
    <w:next w:val="Normal"/>
    <w:link w:val="Heading1Char"/>
    <w:qFormat/>
    <w:rsid w:val="00875A83"/>
    <w:pPr>
      <w:keepNext/>
      <w:tabs>
        <w:tab w:val="left" w:pos="0"/>
      </w:tabs>
      <w:spacing w:before="240" w:after="60"/>
      <w:outlineLvl w:val="0"/>
    </w:pPr>
    <w:rPr>
      <w:rFonts w:ascii="Arial" w:hAnsi="Arial"/>
      <w:b/>
      <w:bCs/>
      <w:noProof w:val="0"/>
      <w:kern w:val="28"/>
      <w:lang w:val="x-none" w:eastAsia="ja-JP"/>
    </w:rPr>
  </w:style>
  <w:style w:type="paragraph" w:styleId="Heading2">
    <w:name w:val="heading 2"/>
    <w:aliases w:val="DO NOT USE_h2,h2,h21,H2,Head2A,2,UNDERRUBRIK 1-2"/>
    <w:basedOn w:val="Normal"/>
    <w:next w:val="Normal"/>
    <w:link w:val="Heading2Char"/>
    <w:qFormat/>
    <w:rsid w:val="00A8150F"/>
    <w:pPr>
      <w:keepNext/>
      <w:spacing w:before="120" w:after="120"/>
      <w:outlineLvl w:val="1"/>
    </w:pPr>
    <w:rPr>
      <w:rFonts w:ascii="Arial" w:hAnsi="Arial"/>
    </w:rPr>
  </w:style>
  <w:style w:type="paragraph" w:styleId="Heading3">
    <w:name w:val="heading 3"/>
    <w:aliases w:val="Underrubrik2,H3,no break,Memo Heading 3"/>
    <w:basedOn w:val="Normal"/>
    <w:next w:val="Normal"/>
    <w:qFormat/>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2">
    <w:name w:val="Body Text 2"/>
    <w:basedOn w:val="Normal"/>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after="180"/>
      <w:jc w:val="center"/>
    </w:pPr>
    <w:rPr>
      <w:rFonts w:ascii="Arial" w:hAnsi="Arial"/>
      <w:b/>
    </w:rPr>
  </w:style>
  <w:style w:type="paragraph" w:customStyle="1" w:styleId="B1">
    <w:name w:val="B1"/>
    <w:basedOn w:val="List"/>
    <w:link w:val="B1Char"/>
    <w:qFormat/>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style>
  <w:style w:type="paragraph" w:customStyle="1" w:styleId="lptext">
    <w:name w:val="löptext"/>
    <w:basedOn w:val="Normal"/>
    <w:pPr>
      <w:spacing w:before="100" w:after="100"/>
      <w:ind w:left="860"/>
    </w:pPr>
    <w:rPr>
      <w:rFonts w:ascii="Times" w:hAnsi="Times"/>
    </w:rPr>
  </w:style>
  <w:style w:type="character" w:styleId="FootnoteReference">
    <w:name w:val="footnote reference"/>
    <w:semiHidden/>
    <w:rPr>
      <w:rFonts w:eastAsia="Arial Unicode MS" w:cs="Arial"/>
      <w:b/>
      <w:noProof w:val="0"/>
      <w:kern w:val="2"/>
      <w:position w:val="6"/>
      <w:sz w:val="16"/>
      <w:lang w:val="en-GB" w:eastAsia="zh-CN" w:bidi="ar-SA"/>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3"/>
      </w:numPr>
      <w:spacing w:after="180"/>
    </w:pPr>
    <w:rPr>
      <w:noProof w:val="0"/>
      <w:lang w:eastAsia="ja-JP"/>
    </w:rPr>
  </w:style>
  <w:style w:type="paragraph" w:styleId="BodyTextIndent2">
    <w:name w:val="Body Text Indent 2"/>
    <w:basedOn w:val="Normal"/>
    <w:pPr>
      <w:widowControl w:val="0"/>
      <w:autoSpaceDE w:val="0"/>
      <w:autoSpaceDN w:val="0"/>
      <w:adjustRightInd w:val="0"/>
      <w:ind w:left="1656"/>
      <w:jc w:val="both"/>
      <w:textAlignment w:val="baseline"/>
    </w:pPr>
    <w:rPr>
      <w:noProof w:val="0"/>
      <w:kern w:val="2"/>
      <w:lang w:eastAsia="ja-JP"/>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noProof w:val="0"/>
      <w:lang w:val="de-DE"/>
    </w:rPr>
  </w:style>
  <w:style w:type="paragraph" w:styleId="List2">
    <w:name w:val="List 2"/>
    <w:basedOn w:val="List"/>
    <w:pPr>
      <w:ind w:left="851"/>
    </w:pPr>
    <w:rPr>
      <w:noProof w:val="0"/>
      <w:lang w:eastAsia="ja-JP"/>
    </w:r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basedOn w:val="DefaultParagraphFont"/>
    <w:rPr>
      <w:rFonts w:eastAsia="Arial Unicode MS" w:cs="Arial"/>
      <w:noProof w:val="0"/>
      <w:kern w:val="2"/>
      <w:sz w:val="21"/>
      <w:lang w:val="en-GB" w:eastAsia="zh-CN" w:bidi="ar-SA"/>
    </w:rPr>
  </w:style>
  <w:style w:type="paragraph" w:styleId="BodyText3">
    <w:name w:val="Body Text 3"/>
    <w:basedOn w:val="Normal"/>
    <w:pPr>
      <w:jc w:val="both"/>
    </w:pPr>
    <w:rPr>
      <w:noProof w:val="0"/>
      <w:lang w:eastAsia="ja-JP"/>
    </w:r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noProof w:val="0"/>
      <w:sz w:val="18"/>
      <w:lang w:eastAsia="ja-JP"/>
    </w:rPr>
  </w:style>
  <w:style w:type="paragraph" w:customStyle="1" w:styleId="text">
    <w:name w:val="text"/>
    <w:basedOn w:val="Normal"/>
    <w:pPr>
      <w:spacing w:after="240"/>
      <w:jc w:val="both"/>
    </w:pPr>
    <w:rPr>
      <w:noProof w:val="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noProof w:val="0"/>
      <w:lang w:eastAsia="ja-JP"/>
    </w:rPr>
  </w:style>
  <w:style w:type="paragraph" w:customStyle="1" w:styleId="B2">
    <w:name w:val="B2"/>
    <w:basedOn w:val="List2"/>
    <w:link w:val="B2Char"/>
    <w:qFormat/>
    <w:pPr>
      <w:overflowPunct w:val="0"/>
      <w:autoSpaceDE w:val="0"/>
      <w:autoSpaceDN w:val="0"/>
      <w:adjustRightInd w:val="0"/>
      <w:textAlignment w:val="baseline"/>
    </w:pPr>
    <w:rPr>
      <w:lang w:eastAsia="en-US"/>
    </w:r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Arial Unicode MS" w:cs="Arial"/>
      <w:noProof w:val="0"/>
      <w:color w:val="0000FF"/>
      <w:kern w:val="2"/>
      <w:sz w:val="21"/>
      <w:u w:val="single"/>
      <w:lang w:val="en-GB" w:eastAsia="zh-CN" w:bidi="ar-SA"/>
    </w:rPr>
  </w:style>
  <w:style w:type="character" w:styleId="FollowedHyperlink">
    <w:name w:val="FollowedHyperlink"/>
    <w:rPr>
      <w:rFonts w:eastAsia="Arial Unicode MS" w:cs="Arial"/>
      <w:noProof w:val="0"/>
      <w:color w:val="800080"/>
      <w:kern w:val="2"/>
      <w:sz w:val="21"/>
      <w:u w:val="single"/>
      <w:lang w:val="en-GB" w:eastAsia="zh-CN" w:bidi="ar-SA"/>
    </w:rPr>
  </w:style>
  <w:style w:type="paragraph" w:styleId="BodyTextIndent">
    <w:name w:val="Body Text Indent"/>
    <w:basedOn w:val="Normal"/>
    <w:pPr>
      <w:ind w:left="360"/>
    </w:pPr>
    <w:rPr>
      <w:bCs/>
      <w:noProof w:val="0"/>
      <w:lang w:eastAsia="ja-JP"/>
    </w:rPr>
  </w:style>
  <w:style w:type="character" w:styleId="CommentReference">
    <w:name w:val="annotation reference"/>
    <w:semiHidden/>
    <w:rPr>
      <w:rFonts w:eastAsia="Arial Unicode MS" w:cs="Arial"/>
      <w:noProof w:val="0"/>
      <w:kern w:val="2"/>
      <w:sz w:val="16"/>
      <w:szCs w:val="16"/>
      <w:lang w:val="en-GB" w:eastAsia="zh-CN" w:bidi="ar-SA"/>
    </w:rPr>
  </w:style>
  <w:style w:type="paragraph" w:customStyle="1" w:styleId="1">
    <w:name w:val="吹き出し1"/>
    <w:basedOn w:val="Normal"/>
    <w:semiHidden/>
    <w:rPr>
      <w:rFonts w:ascii="Arial" w:hAnsi="Arial"/>
      <w:sz w:val="18"/>
      <w:szCs w:val="18"/>
    </w:rPr>
  </w:style>
  <w:style w:type="paragraph" w:customStyle="1" w:styleId="Reference">
    <w:name w:val="Reference"/>
    <w:basedOn w:val="Normal"/>
    <w:pPr>
      <w:widowControl w:val="0"/>
      <w:ind w:left="283" w:hanging="283"/>
      <w:jc w:val="both"/>
    </w:pPr>
    <w:rPr>
      <w:rFonts w:ascii="Arial" w:eastAsia="MS Mincho" w:hAnsi="Arial"/>
      <w:noProof w:val="0"/>
      <w:kern w:val="2"/>
      <w:sz w:val="21"/>
      <w:lang w:val="de-DE" w:eastAsia="ja-JP"/>
    </w:rPr>
  </w:style>
  <w:style w:type="paragraph" w:styleId="CommentText">
    <w:name w:val="annotation text"/>
    <w:basedOn w:val="Normal"/>
    <w:link w:val="CommentTextChar"/>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MS PGothic" w:eastAsia="MS PGothic" w:hAnsi="Century"/>
      <w:noProof/>
    </w:rPr>
  </w:style>
  <w:style w:type="character" w:customStyle="1" w:styleId="a0">
    <w:name w:val="図表番号 (文字)"/>
    <w:aliases w:val="cap (文字),cap Char (文字) (文字)1"/>
    <w:rPr>
      <w:rFonts w:eastAsia="MS Gothic" w:cs="Arial"/>
      <w:b/>
      <w:noProof w:val="0"/>
      <w:kern w:val="2"/>
      <w:sz w:val="24"/>
      <w:szCs w:val="24"/>
      <w:lang w:val="en-GB" w:eastAsia="en-US" w:bidi="ar-SA"/>
    </w:rPr>
  </w:style>
  <w:style w:type="paragraph" w:customStyle="1" w:styleId="Normal1CharChar">
    <w:name w:val="Normal1 Char Char"/>
    <w:semiHidden/>
    <w:pPr>
      <w:keepNext/>
      <w:numPr>
        <w:numId w:val="4"/>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0">
    <w:name w:val="コメント内容1"/>
    <w:basedOn w:val="CommentText"/>
    <w:next w:val="CommentText"/>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宋体" w:hAnsi="Arial" w:cs="Arial"/>
      <w:noProof/>
      <w:color w:val="0000FF"/>
      <w:kern w:val="2"/>
    </w:rPr>
  </w:style>
  <w:style w:type="paragraph" w:customStyle="1" w:styleId="2">
    <w:name w:val="吹き出し2"/>
    <w:basedOn w:val="Normal"/>
    <w:semiHidden/>
    <w:unhideWhenUsed/>
    <w:rPr>
      <w:sz w:val="18"/>
      <w:szCs w:val="18"/>
    </w:rPr>
  </w:style>
  <w:style w:type="paragraph" w:styleId="NormalWeb">
    <w:name w:val="Normal (Web)"/>
    <w:basedOn w:val="Normal"/>
    <w:uiPriority w:val="99"/>
    <w:unhideWhenUsed/>
    <w:qFormat/>
    <w:pPr>
      <w:spacing w:before="100" w:beforeAutospacing="1" w:after="100" w:afterAutospacing="1"/>
    </w:pPr>
    <w:rPr>
      <w:rFonts w:ascii="宋体" w:eastAsia="宋体" w:hAnsi="宋体" w:cs="宋体"/>
      <w:noProof w:val="0"/>
      <w:lang w:eastAsia="zh-CN"/>
    </w:r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noProof w:val="0"/>
      <w:kern w:val="2"/>
      <w:sz w:val="22"/>
      <w:lang w:eastAsia="ko-KR"/>
    </w:rPr>
  </w:style>
  <w:style w:type="paragraph" w:customStyle="1" w:styleId="11">
    <w:name w:val="列出段落1"/>
    <w:basedOn w:val="Normal"/>
    <w:qFormat/>
    <w:pPr>
      <w:ind w:firstLineChars="200" w:firstLine="420"/>
    </w:pPr>
    <w:rPr>
      <w:rFonts w:ascii="宋体" w:eastAsia="宋体" w:hAnsi="宋体" w:cs="宋体"/>
      <w:noProof w:val="0"/>
      <w:lang w:eastAsia="zh-CN"/>
    </w:rPr>
  </w:style>
  <w:style w:type="character" w:customStyle="1" w:styleId="a1">
    <w:name w:val="(文字) (文字)"/>
    <w:semiHidden/>
    <w:rPr>
      <w:rFonts w:eastAsia="MS Gothic" w:cs="Arial"/>
      <w:noProof w:val="0"/>
      <w:kern w:val="2"/>
      <w:sz w:val="18"/>
      <w:szCs w:val="18"/>
      <w:lang w:val="en-GB" w:eastAsia="en-US" w:bidi="ar-SA"/>
    </w:rPr>
  </w:style>
  <w:style w:type="paragraph" w:customStyle="1" w:styleId="20">
    <w:name w:val="列出段落2"/>
    <w:basedOn w:val="Normal"/>
    <w:qFormat/>
    <w:pPr>
      <w:ind w:firstLineChars="200" w:firstLine="420"/>
    </w:pPr>
    <w:rPr>
      <w:rFonts w:ascii="宋体" w:eastAsia="宋体" w:hAnsi="宋体" w:cs="宋体"/>
      <w:noProof w:val="0"/>
      <w:lang w:eastAsia="zh-CN"/>
    </w:rPr>
  </w:style>
  <w:style w:type="paragraph" w:customStyle="1" w:styleId="DisplayEquationAurora">
    <w:name w:val="Display Equation (Aurora)"/>
    <w:basedOn w:val="Normal"/>
    <w:pPr>
      <w:widowControl w:val="0"/>
      <w:tabs>
        <w:tab w:val="center" w:pos="4153"/>
        <w:tab w:val="right" w:pos="8306"/>
      </w:tabs>
      <w:jc w:val="both"/>
    </w:pPr>
    <w:rPr>
      <w:rFonts w:ascii="Calibri" w:eastAsia="宋体" w:hAnsi="Calibri"/>
      <w:noProof w:val="0"/>
      <w:kern w:val="2"/>
      <w:sz w:val="21"/>
      <w:szCs w:val="22"/>
      <w:lang w:eastAsia="zh-CN"/>
    </w:rPr>
  </w:style>
  <w:style w:type="character" w:customStyle="1" w:styleId="DisplayEquationAuroraChar">
    <w:name w:val="Display Equation (Aurora) Char"/>
    <w:rPr>
      <w:rFonts w:ascii="Calibri" w:eastAsia="宋体"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宋体" w:hAnsi="Arial" w:cs="Arial"/>
      <w:noProof/>
      <w:color w:val="0000FF"/>
      <w:kern w:val="2"/>
    </w:rPr>
  </w:style>
  <w:style w:type="paragraph" w:customStyle="1" w:styleId="21">
    <w:name w:val="コメント内容2"/>
    <w:basedOn w:val="CommentText"/>
    <w:next w:val="CommentText"/>
    <w:semiHidden/>
    <w:unhideWhenUsed/>
    <w:rPr>
      <w:b/>
      <w:bCs/>
      <w:sz w:val="24"/>
      <w:szCs w:val="24"/>
    </w:rPr>
  </w:style>
  <w:style w:type="character" w:customStyle="1" w:styleId="12">
    <w:name w:val="(文字) (文字)1"/>
    <w:semiHidden/>
    <w:rPr>
      <w:rFonts w:eastAsia="MS Gothic" w:cs="Arial"/>
      <w:noProof w:val="0"/>
      <w:kern w:val="2"/>
      <w:sz w:val="21"/>
      <w:lang w:val="en-GB" w:eastAsia="en-US" w:bidi="ar-SA"/>
    </w:rPr>
  </w:style>
  <w:style w:type="character" w:customStyle="1" w:styleId="Char">
    <w:name w:val="批注主题 Char"/>
    <w:basedOn w:val="12"/>
    <w:rPr>
      <w:rFonts w:eastAsia="MS Gothic" w:cs="Arial"/>
      <w:noProof w:val="0"/>
      <w:kern w:val="2"/>
      <w:sz w:val="21"/>
      <w:lang w:val="en-GB" w:eastAsia="en-US" w:bidi="ar-SA"/>
    </w:rPr>
  </w:style>
  <w:style w:type="paragraph" w:styleId="ListParagraph">
    <w:name w:val="List Paragraph"/>
    <w:aliases w:val="- Bullets,목록 단락,?? ??,?????,????,Lista1,中等深浅网格 1 - 着色 21,列表段落,列出段落,¥¡¡¡¡ì¬º¥¹¥È¶ÎÂä,ÁÐ³ö¶ÎÂä,¥ê¥¹¥È¶ÎÂä,列表段落1,—ño’i—Ž,1st level - Bullet List Paragraph,Lettre d'introduction,Paragrafo elenco,Normal bullet 2,Bullet list,列表段落11,목록단락,列"/>
    <w:basedOn w:val="Normal"/>
    <w:link w:val="ListParagraphChar"/>
    <w:uiPriority w:val="34"/>
    <w:qFormat/>
    <w:pPr>
      <w:ind w:firstLineChars="200" w:firstLine="420"/>
    </w:pPr>
    <w:rPr>
      <w:rFonts w:ascii="宋体" w:eastAsia="宋体" w:hAnsi="宋体" w:cs="宋体"/>
      <w:lang w:eastAsia="zh-CN"/>
    </w:rPr>
  </w:style>
  <w:style w:type="paragraph" w:styleId="BalloonText">
    <w:name w:val="Balloon Text"/>
    <w:basedOn w:val="Normal"/>
    <w:semiHidden/>
    <w:rsid w:val="005D2D32"/>
    <w:rPr>
      <w:rFonts w:ascii="Arial" w:hAnsi="Arial"/>
      <w:sz w:val="18"/>
      <w:szCs w:val="18"/>
    </w:rPr>
  </w:style>
  <w:style w:type="character" w:customStyle="1" w:styleId="Heading1Char">
    <w:name w:val="Heading 1 Char"/>
    <w:aliases w:val="H1 Char,h1 Char,app heading 1 Char,l1 Char,Memo Heading 1 Char,h11 Char,h12 Char,h13 Char,h14 Char,h15 Char,h16 Char"/>
    <w:link w:val="Heading1"/>
    <w:rsid w:val="00875A83"/>
    <w:rPr>
      <w:rFonts w:ascii="Arial" w:eastAsia="MS Gothic" w:hAnsi="Arial"/>
      <w:b/>
      <w:bCs/>
      <w:kern w:val="28"/>
      <w:sz w:val="24"/>
      <w:szCs w:val="24"/>
      <w:lang w:val="x-none" w:eastAsia="ja-JP"/>
    </w:rPr>
  </w:style>
  <w:style w:type="paragraph" w:customStyle="1" w:styleId="TAH">
    <w:name w:val="TAH"/>
    <w:basedOn w:val="TAC"/>
    <w:link w:val="TAHCar"/>
    <w:qFormat/>
    <w:rsid w:val="000D061F"/>
    <w:rPr>
      <w:b/>
    </w:rPr>
  </w:style>
  <w:style w:type="paragraph" w:customStyle="1" w:styleId="TAC">
    <w:name w:val="TAC"/>
    <w:basedOn w:val="Normal"/>
    <w:link w:val="TACChar"/>
    <w:qFormat/>
    <w:rsid w:val="000D061F"/>
    <w:pPr>
      <w:keepNext/>
      <w:keepLines/>
      <w:jc w:val="center"/>
    </w:pPr>
    <w:rPr>
      <w:rFonts w:ascii="Arial" w:eastAsia="宋体" w:hAnsi="Arial"/>
      <w:noProof w:val="0"/>
      <w:sz w:val="18"/>
      <w:szCs w:val="20"/>
      <w:lang w:val="en-GB"/>
    </w:rPr>
  </w:style>
  <w:style w:type="table" w:styleId="TableGrid">
    <w:name w:val="Table Grid"/>
    <w:basedOn w:val="TableNormal"/>
    <w:uiPriority w:val="59"/>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A3994"/>
    <w:rPr>
      <w:b/>
      <w:bCs/>
      <w:sz w:val="24"/>
      <w:szCs w:val="24"/>
    </w:rPr>
  </w:style>
  <w:style w:type="character" w:customStyle="1" w:styleId="CommentTextChar">
    <w:name w:val="Comment Text Char"/>
    <w:link w:val="CommentText"/>
    <w:semiHidden/>
    <w:rsid w:val="006A3994"/>
    <w:rPr>
      <w:rFonts w:eastAsia="MS Gothic" w:cs="Arial"/>
      <w:noProof/>
      <w:kern w:val="2"/>
      <w:sz w:val="21"/>
      <w:lang w:val="en-GB" w:eastAsia="en-US" w:bidi="ar-SA"/>
    </w:rPr>
  </w:style>
  <w:style w:type="character" w:customStyle="1" w:styleId="CommentSubjectChar">
    <w:name w:val="Comment Subject Char"/>
    <w:link w:val="CommentSubject"/>
    <w:uiPriority w:val="99"/>
    <w:semiHidden/>
    <w:rsid w:val="006A3994"/>
    <w:rPr>
      <w:rFonts w:eastAsia="MS Gothic" w:cs="Arial"/>
      <w:b/>
      <w:bCs/>
      <w:noProof/>
      <w:kern w:val="2"/>
      <w:sz w:val="24"/>
      <w:szCs w:val="24"/>
      <w:lang w:val="en-GB" w:eastAsia="en-US" w:bidi="ar-SA"/>
    </w:rPr>
  </w:style>
  <w:style w:type="paragraph" w:styleId="Revision">
    <w:name w:val="Revision"/>
    <w:hidden/>
    <w:uiPriority w:val="99"/>
    <w:semiHidden/>
    <w:rsid w:val="00010B9D"/>
    <w:rPr>
      <w:rFonts w:eastAsia="MS Gothic"/>
      <w:noProof/>
      <w:sz w:val="24"/>
      <w:szCs w:val="24"/>
    </w:rPr>
  </w:style>
  <w:style w:type="paragraph" w:customStyle="1" w:styleId="TAL">
    <w:name w:val="TAL"/>
    <w:basedOn w:val="Normal"/>
    <w:rsid w:val="00B2383D"/>
    <w:pPr>
      <w:keepNext/>
      <w:keepLines/>
    </w:pPr>
    <w:rPr>
      <w:rFonts w:ascii="Arial" w:eastAsia="宋体" w:hAnsi="Arial"/>
      <w:noProof w:val="0"/>
      <w:sz w:val="18"/>
      <w:szCs w:val="20"/>
      <w:lang w:val="en-GB"/>
    </w:rPr>
  </w:style>
  <w:style w:type="character" w:customStyle="1" w:styleId="Heading2Char">
    <w:name w:val="Heading 2 Char"/>
    <w:aliases w:val="DO NOT USE_h2 Char,h2 Char,h21 Char,H2 Char,Head2A Char,2 Char,UNDERRUBRIK 1-2 Char"/>
    <w:link w:val="Heading2"/>
    <w:rsid w:val="00A8150F"/>
    <w:rPr>
      <w:rFonts w:ascii="Arial" w:eastAsia="MS Gothic" w:hAnsi="Arial"/>
      <w:noProof/>
      <w:sz w:val="24"/>
      <w:szCs w:val="24"/>
    </w:rPr>
  </w:style>
  <w:style w:type="character" w:styleId="PlaceholderText">
    <w:name w:val="Placeholder Text"/>
    <w:basedOn w:val="DefaultParagraphFont"/>
    <w:uiPriority w:val="67"/>
    <w:rsid w:val="004E4632"/>
    <w:rPr>
      <w:color w:val="808080"/>
    </w:rPr>
  </w:style>
  <w:style w:type="paragraph" w:customStyle="1" w:styleId="a2">
    <w:name w:val="스타일 양쪽"/>
    <w:basedOn w:val="Normal"/>
    <w:rsid w:val="00811226"/>
    <w:pPr>
      <w:spacing w:after="120" w:line="300" w:lineRule="auto"/>
      <w:ind w:firstLine="284"/>
      <w:jc w:val="both"/>
    </w:pPr>
    <w:rPr>
      <w:rFonts w:eastAsia="Malgun Gothic" w:cs="Batang"/>
      <w:noProof w:val="0"/>
      <w:sz w:val="20"/>
      <w:szCs w:val="20"/>
      <w:lang w:eastAsia="ko-KR"/>
    </w:rPr>
  </w:style>
  <w:style w:type="character" w:customStyle="1" w:styleId="TACChar">
    <w:name w:val="TAC Char"/>
    <w:link w:val="TAC"/>
    <w:qFormat/>
    <w:rsid w:val="001B2363"/>
    <w:rPr>
      <w:rFonts w:ascii="Arial" w:eastAsia="宋体" w:hAnsi="Arial"/>
      <w:sz w:val="18"/>
      <w:lang w:val="en-GB"/>
    </w:rPr>
  </w:style>
  <w:style w:type="character" w:customStyle="1" w:styleId="THChar">
    <w:name w:val="TH Char"/>
    <w:link w:val="TH"/>
    <w:qFormat/>
    <w:rsid w:val="00191CDD"/>
    <w:rPr>
      <w:rFonts w:ascii="Arial" w:eastAsia="MS Gothic" w:hAnsi="Arial"/>
      <w:b/>
      <w:noProof/>
      <w:sz w:val="24"/>
      <w:szCs w:val="24"/>
    </w:rPr>
  </w:style>
  <w:style w:type="character" w:customStyle="1" w:styleId="ListParagraphChar">
    <w:name w:val="List Paragraph Char"/>
    <w:aliases w:val="- Bullets Char,목록 단락 Char,?? ?? Char,????? Char,???? Char,Lista1 Char,中等深浅网格 1 - 着色 21 Char,列表段落 Char,列出段落 Char,¥¡¡¡¡ì¬º¥¹¥È¶ÎÂä Char,ÁÐ³ö¶ÎÂä Char,¥ê¥¹¥È¶ÎÂä Char,列表段落1 Char,—ño’i—Ž Char,1st level - Bullet List Paragraph Char"/>
    <w:link w:val="ListParagraph"/>
    <w:uiPriority w:val="34"/>
    <w:qFormat/>
    <w:locked/>
    <w:rsid w:val="00B5300C"/>
    <w:rPr>
      <w:rFonts w:ascii="宋体" w:eastAsia="宋体" w:hAnsi="宋体" w:cs="宋体"/>
      <w:noProof/>
      <w:sz w:val="24"/>
      <w:szCs w:val="24"/>
      <w:lang w:eastAsia="zh-CN"/>
    </w:rPr>
  </w:style>
  <w:style w:type="paragraph" w:customStyle="1" w:styleId="Body">
    <w:name w:val="Body"/>
    <w:basedOn w:val="Normal"/>
    <w:uiPriority w:val="99"/>
    <w:rsid w:val="003F3B36"/>
    <w:pPr>
      <w:spacing w:after="200" w:line="276" w:lineRule="auto"/>
      <w:ind w:left="450"/>
      <w:jc w:val="both"/>
    </w:pPr>
    <w:rPr>
      <w:rFonts w:asciiTheme="minorHAnsi" w:eastAsiaTheme="minorEastAsia" w:hAnsiTheme="minorHAnsi" w:cstheme="minorBidi"/>
      <w:noProof w:val="0"/>
      <w:sz w:val="22"/>
      <w:szCs w:val="22"/>
      <w:lang w:eastAsia="zh-CN"/>
    </w:rPr>
  </w:style>
  <w:style w:type="paragraph" w:customStyle="1" w:styleId="TdocHeader2">
    <w:name w:val="Tdoc_Header_2"/>
    <w:basedOn w:val="Normal"/>
    <w:rsid w:val="001D6B7D"/>
    <w:pPr>
      <w:widowControl w:val="0"/>
      <w:tabs>
        <w:tab w:val="left" w:pos="1701"/>
        <w:tab w:val="right" w:pos="9072"/>
        <w:tab w:val="right" w:pos="10206"/>
      </w:tabs>
      <w:jc w:val="both"/>
    </w:pPr>
    <w:rPr>
      <w:rFonts w:ascii="Arial" w:eastAsia="Batang" w:hAnsi="Arial"/>
      <w:b/>
      <w:noProof w:val="0"/>
      <w:sz w:val="18"/>
      <w:szCs w:val="20"/>
      <w:lang w:val="en-GB"/>
    </w:rPr>
  </w:style>
  <w:style w:type="character" w:customStyle="1" w:styleId="TAHCar">
    <w:name w:val="TAH Car"/>
    <w:link w:val="TAH"/>
    <w:qFormat/>
    <w:locked/>
    <w:rsid w:val="006F6B21"/>
    <w:rPr>
      <w:rFonts w:ascii="Arial" w:eastAsia="宋体" w:hAnsi="Arial"/>
      <w:b/>
      <w:sz w:val="18"/>
      <w:lang w:val="en-GB"/>
    </w:rPr>
  </w:style>
  <w:style w:type="character" w:customStyle="1" w:styleId="B1Char">
    <w:name w:val="B1 Char"/>
    <w:link w:val="B1"/>
    <w:rsid w:val="00BE0AE6"/>
    <w:rPr>
      <w:rFonts w:eastAsia="MS Gothic"/>
      <w:noProof/>
      <w:sz w:val="24"/>
      <w:szCs w:val="24"/>
    </w:rPr>
  </w:style>
  <w:style w:type="character" w:customStyle="1" w:styleId="B2Char">
    <w:name w:val="B2 Char"/>
    <w:link w:val="B2"/>
    <w:qFormat/>
    <w:rsid w:val="0002538B"/>
    <w:rPr>
      <w:rFonts w:eastAsia="MS Gothic"/>
      <w:sz w:val="24"/>
      <w:szCs w:val="24"/>
    </w:rPr>
  </w:style>
  <w:style w:type="paragraph" w:customStyle="1" w:styleId="Eqn">
    <w:name w:val="Eqn"/>
    <w:basedOn w:val="Normal"/>
    <w:qFormat/>
    <w:rsid w:val="005410A4"/>
    <w:pPr>
      <w:tabs>
        <w:tab w:val="center" w:pos="4608"/>
        <w:tab w:val="right" w:pos="9216"/>
      </w:tabs>
      <w:autoSpaceDE w:val="0"/>
      <w:autoSpaceDN w:val="0"/>
      <w:adjustRightInd w:val="0"/>
      <w:snapToGrid w:val="0"/>
      <w:spacing w:after="120"/>
      <w:jc w:val="both"/>
    </w:pPr>
    <w:rPr>
      <w:rFonts w:eastAsia="宋体"/>
      <w:noProof w:val="0"/>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9903">
      <w:bodyDiv w:val="1"/>
      <w:marLeft w:val="0"/>
      <w:marRight w:val="0"/>
      <w:marTop w:val="0"/>
      <w:marBottom w:val="0"/>
      <w:divBdr>
        <w:top w:val="none" w:sz="0" w:space="0" w:color="auto"/>
        <w:left w:val="none" w:sz="0" w:space="0" w:color="auto"/>
        <w:bottom w:val="none" w:sz="0" w:space="0" w:color="auto"/>
        <w:right w:val="none" w:sz="0" w:space="0" w:color="auto"/>
      </w:divBdr>
    </w:div>
    <w:div w:id="5376408">
      <w:bodyDiv w:val="1"/>
      <w:marLeft w:val="0"/>
      <w:marRight w:val="0"/>
      <w:marTop w:val="0"/>
      <w:marBottom w:val="0"/>
      <w:divBdr>
        <w:top w:val="none" w:sz="0" w:space="0" w:color="auto"/>
        <w:left w:val="none" w:sz="0" w:space="0" w:color="auto"/>
        <w:bottom w:val="none" w:sz="0" w:space="0" w:color="auto"/>
        <w:right w:val="none" w:sz="0" w:space="0" w:color="auto"/>
      </w:divBdr>
    </w:div>
    <w:div w:id="40370751">
      <w:bodyDiv w:val="1"/>
      <w:marLeft w:val="0"/>
      <w:marRight w:val="0"/>
      <w:marTop w:val="0"/>
      <w:marBottom w:val="0"/>
      <w:divBdr>
        <w:top w:val="none" w:sz="0" w:space="0" w:color="auto"/>
        <w:left w:val="none" w:sz="0" w:space="0" w:color="auto"/>
        <w:bottom w:val="none" w:sz="0" w:space="0" w:color="auto"/>
        <w:right w:val="none" w:sz="0" w:space="0" w:color="auto"/>
      </w:divBdr>
    </w:div>
    <w:div w:id="53160112">
      <w:bodyDiv w:val="1"/>
      <w:marLeft w:val="0"/>
      <w:marRight w:val="0"/>
      <w:marTop w:val="0"/>
      <w:marBottom w:val="0"/>
      <w:divBdr>
        <w:top w:val="none" w:sz="0" w:space="0" w:color="auto"/>
        <w:left w:val="none" w:sz="0" w:space="0" w:color="auto"/>
        <w:bottom w:val="none" w:sz="0" w:space="0" w:color="auto"/>
        <w:right w:val="none" w:sz="0" w:space="0" w:color="auto"/>
      </w:divBdr>
    </w:div>
    <w:div w:id="56707672">
      <w:bodyDiv w:val="1"/>
      <w:marLeft w:val="0"/>
      <w:marRight w:val="0"/>
      <w:marTop w:val="0"/>
      <w:marBottom w:val="0"/>
      <w:divBdr>
        <w:top w:val="none" w:sz="0" w:space="0" w:color="auto"/>
        <w:left w:val="none" w:sz="0" w:space="0" w:color="auto"/>
        <w:bottom w:val="none" w:sz="0" w:space="0" w:color="auto"/>
        <w:right w:val="none" w:sz="0" w:space="0" w:color="auto"/>
      </w:divBdr>
    </w:div>
    <w:div w:id="60063643">
      <w:bodyDiv w:val="1"/>
      <w:marLeft w:val="0"/>
      <w:marRight w:val="0"/>
      <w:marTop w:val="0"/>
      <w:marBottom w:val="0"/>
      <w:divBdr>
        <w:top w:val="none" w:sz="0" w:space="0" w:color="auto"/>
        <w:left w:val="none" w:sz="0" w:space="0" w:color="auto"/>
        <w:bottom w:val="none" w:sz="0" w:space="0" w:color="auto"/>
        <w:right w:val="none" w:sz="0" w:space="0" w:color="auto"/>
      </w:divBdr>
      <w:divsChild>
        <w:div w:id="421681135">
          <w:marLeft w:val="547"/>
          <w:marRight w:val="0"/>
          <w:marTop w:val="0"/>
          <w:marBottom w:val="0"/>
          <w:divBdr>
            <w:top w:val="none" w:sz="0" w:space="0" w:color="auto"/>
            <w:left w:val="none" w:sz="0" w:space="0" w:color="auto"/>
            <w:bottom w:val="none" w:sz="0" w:space="0" w:color="auto"/>
            <w:right w:val="none" w:sz="0" w:space="0" w:color="auto"/>
          </w:divBdr>
        </w:div>
      </w:divsChild>
    </w:div>
    <w:div w:id="86198009">
      <w:bodyDiv w:val="1"/>
      <w:marLeft w:val="0"/>
      <w:marRight w:val="0"/>
      <w:marTop w:val="0"/>
      <w:marBottom w:val="0"/>
      <w:divBdr>
        <w:top w:val="none" w:sz="0" w:space="0" w:color="auto"/>
        <w:left w:val="none" w:sz="0" w:space="0" w:color="auto"/>
        <w:bottom w:val="none" w:sz="0" w:space="0" w:color="auto"/>
        <w:right w:val="none" w:sz="0" w:space="0" w:color="auto"/>
      </w:divBdr>
    </w:div>
    <w:div w:id="105661493">
      <w:bodyDiv w:val="1"/>
      <w:marLeft w:val="0"/>
      <w:marRight w:val="0"/>
      <w:marTop w:val="0"/>
      <w:marBottom w:val="0"/>
      <w:divBdr>
        <w:top w:val="none" w:sz="0" w:space="0" w:color="auto"/>
        <w:left w:val="none" w:sz="0" w:space="0" w:color="auto"/>
        <w:bottom w:val="none" w:sz="0" w:space="0" w:color="auto"/>
        <w:right w:val="none" w:sz="0" w:space="0" w:color="auto"/>
      </w:divBdr>
      <w:divsChild>
        <w:div w:id="676540082">
          <w:marLeft w:val="418"/>
          <w:marRight w:val="0"/>
          <w:marTop w:val="86"/>
          <w:marBottom w:val="0"/>
          <w:divBdr>
            <w:top w:val="none" w:sz="0" w:space="0" w:color="auto"/>
            <w:left w:val="none" w:sz="0" w:space="0" w:color="auto"/>
            <w:bottom w:val="none" w:sz="0" w:space="0" w:color="auto"/>
            <w:right w:val="none" w:sz="0" w:space="0" w:color="auto"/>
          </w:divBdr>
        </w:div>
        <w:div w:id="895555017">
          <w:marLeft w:val="706"/>
          <w:marRight w:val="0"/>
          <w:marTop w:val="86"/>
          <w:marBottom w:val="0"/>
          <w:divBdr>
            <w:top w:val="none" w:sz="0" w:space="0" w:color="auto"/>
            <w:left w:val="none" w:sz="0" w:space="0" w:color="auto"/>
            <w:bottom w:val="none" w:sz="0" w:space="0" w:color="auto"/>
            <w:right w:val="none" w:sz="0" w:space="0" w:color="auto"/>
          </w:divBdr>
        </w:div>
        <w:div w:id="891042488">
          <w:marLeft w:val="418"/>
          <w:marRight w:val="0"/>
          <w:marTop w:val="86"/>
          <w:marBottom w:val="0"/>
          <w:divBdr>
            <w:top w:val="none" w:sz="0" w:space="0" w:color="auto"/>
            <w:left w:val="none" w:sz="0" w:space="0" w:color="auto"/>
            <w:bottom w:val="none" w:sz="0" w:space="0" w:color="auto"/>
            <w:right w:val="none" w:sz="0" w:space="0" w:color="auto"/>
          </w:divBdr>
        </w:div>
        <w:div w:id="391584845">
          <w:marLeft w:val="706"/>
          <w:marRight w:val="0"/>
          <w:marTop w:val="86"/>
          <w:marBottom w:val="0"/>
          <w:divBdr>
            <w:top w:val="none" w:sz="0" w:space="0" w:color="auto"/>
            <w:left w:val="none" w:sz="0" w:space="0" w:color="auto"/>
            <w:bottom w:val="none" w:sz="0" w:space="0" w:color="auto"/>
            <w:right w:val="none" w:sz="0" w:space="0" w:color="auto"/>
          </w:divBdr>
        </w:div>
        <w:div w:id="1380401982">
          <w:marLeft w:val="706"/>
          <w:marRight w:val="0"/>
          <w:marTop w:val="86"/>
          <w:marBottom w:val="0"/>
          <w:divBdr>
            <w:top w:val="none" w:sz="0" w:space="0" w:color="auto"/>
            <w:left w:val="none" w:sz="0" w:space="0" w:color="auto"/>
            <w:bottom w:val="none" w:sz="0" w:space="0" w:color="auto"/>
            <w:right w:val="none" w:sz="0" w:space="0" w:color="auto"/>
          </w:divBdr>
        </w:div>
        <w:div w:id="1395355593">
          <w:marLeft w:val="418"/>
          <w:marRight w:val="0"/>
          <w:marTop w:val="86"/>
          <w:marBottom w:val="0"/>
          <w:divBdr>
            <w:top w:val="none" w:sz="0" w:space="0" w:color="auto"/>
            <w:left w:val="none" w:sz="0" w:space="0" w:color="auto"/>
            <w:bottom w:val="none" w:sz="0" w:space="0" w:color="auto"/>
            <w:right w:val="none" w:sz="0" w:space="0" w:color="auto"/>
          </w:divBdr>
        </w:div>
        <w:div w:id="192380153">
          <w:marLeft w:val="706"/>
          <w:marRight w:val="0"/>
          <w:marTop w:val="86"/>
          <w:marBottom w:val="0"/>
          <w:divBdr>
            <w:top w:val="none" w:sz="0" w:space="0" w:color="auto"/>
            <w:left w:val="none" w:sz="0" w:space="0" w:color="auto"/>
            <w:bottom w:val="none" w:sz="0" w:space="0" w:color="auto"/>
            <w:right w:val="none" w:sz="0" w:space="0" w:color="auto"/>
          </w:divBdr>
        </w:div>
        <w:div w:id="2120564397">
          <w:marLeft w:val="418"/>
          <w:marRight w:val="0"/>
          <w:marTop w:val="86"/>
          <w:marBottom w:val="0"/>
          <w:divBdr>
            <w:top w:val="none" w:sz="0" w:space="0" w:color="auto"/>
            <w:left w:val="none" w:sz="0" w:space="0" w:color="auto"/>
            <w:bottom w:val="none" w:sz="0" w:space="0" w:color="auto"/>
            <w:right w:val="none" w:sz="0" w:space="0" w:color="auto"/>
          </w:divBdr>
        </w:div>
      </w:divsChild>
    </w:div>
    <w:div w:id="170880689">
      <w:bodyDiv w:val="1"/>
      <w:marLeft w:val="0"/>
      <w:marRight w:val="0"/>
      <w:marTop w:val="0"/>
      <w:marBottom w:val="0"/>
      <w:divBdr>
        <w:top w:val="none" w:sz="0" w:space="0" w:color="auto"/>
        <w:left w:val="none" w:sz="0" w:space="0" w:color="auto"/>
        <w:bottom w:val="none" w:sz="0" w:space="0" w:color="auto"/>
        <w:right w:val="none" w:sz="0" w:space="0" w:color="auto"/>
      </w:divBdr>
    </w:div>
    <w:div w:id="173040494">
      <w:bodyDiv w:val="1"/>
      <w:marLeft w:val="0"/>
      <w:marRight w:val="0"/>
      <w:marTop w:val="0"/>
      <w:marBottom w:val="0"/>
      <w:divBdr>
        <w:top w:val="none" w:sz="0" w:space="0" w:color="auto"/>
        <w:left w:val="none" w:sz="0" w:space="0" w:color="auto"/>
        <w:bottom w:val="none" w:sz="0" w:space="0" w:color="auto"/>
        <w:right w:val="none" w:sz="0" w:space="0" w:color="auto"/>
      </w:divBdr>
    </w:div>
    <w:div w:id="176817603">
      <w:bodyDiv w:val="1"/>
      <w:marLeft w:val="0"/>
      <w:marRight w:val="0"/>
      <w:marTop w:val="0"/>
      <w:marBottom w:val="0"/>
      <w:divBdr>
        <w:top w:val="none" w:sz="0" w:space="0" w:color="auto"/>
        <w:left w:val="none" w:sz="0" w:space="0" w:color="auto"/>
        <w:bottom w:val="none" w:sz="0" w:space="0" w:color="auto"/>
        <w:right w:val="none" w:sz="0" w:space="0" w:color="auto"/>
      </w:divBdr>
    </w:div>
    <w:div w:id="182324741">
      <w:bodyDiv w:val="1"/>
      <w:marLeft w:val="0"/>
      <w:marRight w:val="0"/>
      <w:marTop w:val="0"/>
      <w:marBottom w:val="0"/>
      <w:divBdr>
        <w:top w:val="none" w:sz="0" w:space="0" w:color="auto"/>
        <w:left w:val="none" w:sz="0" w:space="0" w:color="auto"/>
        <w:bottom w:val="none" w:sz="0" w:space="0" w:color="auto"/>
        <w:right w:val="none" w:sz="0" w:space="0" w:color="auto"/>
      </w:divBdr>
      <w:divsChild>
        <w:div w:id="1255434696">
          <w:marLeft w:val="979"/>
          <w:marRight w:val="0"/>
          <w:marTop w:val="67"/>
          <w:marBottom w:val="0"/>
          <w:divBdr>
            <w:top w:val="none" w:sz="0" w:space="0" w:color="auto"/>
            <w:left w:val="none" w:sz="0" w:space="0" w:color="auto"/>
            <w:bottom w:val="none" w:sz="0" w:space="0" w:color="auto"/>
            <w:right w:val="none" w:sz="0" w:space="0" w:color="auto"/>
          </w:divBdr>
        </w:div>
        <w:div w:id="814179993">
          <w:marLeft w:val="1267"/>
          <w:marRight w:val="0"/>
          <w:marTop w:val="58"/>
          <w:marBottom w:val="0"/>
          <w:divBdr>
            <w:top w:val="none" w:sz="0" w:space="0" w:color="auto"/>
            <w:left w:val="none" w:sz="0" w:space="0" w:color="auto"/>
            <w:bottom w:val="none" w:sz="0" w:space="0" w:color="auto"/>
            <w:right w:val="none" w:sz="0" w:space="0" w:color="auto"/>
          </w:divBdr>
        </w:div>
        <w:div w:id="1844664290">
          <w:marLeft w:val="1267"/>
          <w:marRight w:val="0"/>
          <w:marTop w:val="58"/>
          <w:marBottom w:val="0"/>
          <w:divBdr>
            <w:top w:val="none" w:sz="0" w:space="0" w:color="auto"/>
            <w:left w:val="none" w:sz="0" w:space="0" w:color="auto"/>
            <w:bottom w:val="none" w:sz="0" w:space="0" w:color="auto"/>
            <w:right w:val="none" w:sz="0" w:space="0" w:color="auto"/>
          </w:divBdr>
        </w:div>
        <w:div w:id="1980844467">
          <w:marLeft w:val="1267"/>
          <w:marRight w:val="0"/>
          <w:marTop w:val="58"/>
          <w:marBottom w:val="0"/>
          <w:divBdr>
            <w:top w:val="none" w:sz="0" w:space="0" w:color="auto"/>
            <w:left w:val="none" w:sz="0" w:space="0" w:color="auto"/>
            <w:bottom w:val="none" w:sz="0" w:space="0" w:color="auto"/>
            <w:right w:val="none" w:sz="0" w:space="0" w:color="auto"/>
          </w:divBdr>
        </w:div>
        <w:div w:id="419958627">
          <w:marLeft w:val="979"/>
          <w:marRight w:val="0"/>
          <w:marTop w:val="67"/>
          <w:marBottom w:val="0"/>
          <w:divBdr>
            <w:top w:val="none" w:sz="0" w:space="0" w:color="auto"/>
            <w:left w:val="none" w:sz="0" w:space="0" w:color="auto"/>
            <w:bottom w:val="none" w:sz="0" w:space="0" w:color="auto"/>
            <w:right w:val="none" w:sz="0" w:space="0" w:color="auto"/>
          </w:divBdr>
        </w:div>
        <w:div w:id="1805150121">
          <w:marLeft w:val="1267"/>
          <w:marRight w:val="0"/>
          <w:marTop w:val="58"/>
          <w:marBottom w:val="0"/>
          <w:divBdr>
            <w:top w:val="none" w:sz="0" w:space="0" w:color="auto"/>
            <w:left w:val="none" w:sz="0" w:space="0" w:color="auto"/>
            <w:bottom w:val="none" w:sz="0" w:space="0" w:color="auto"/>
            <w:right w:val="none" w:sz="0" w:space="0" w:color="auto"/>
          </w:divBdr>
        </w:div>
        <w:div w:id="1447701430">
          <w:marLeft w:val="1267"/>
          <w:marRight w:val="0"/>
          <w:marTop w:val="58"/>
          <w:marBottom w:val="0"/>
          <w:divBdr>
            <w:top w:val="none" w:sz="0" w:space="0" w:color="auto"/>
            <w:left w:val="none" w:sz="0" w:space="0" w:color="auto"/>
            <w:bottom w:val="none" w:sz="0" w:space="0" w:color="auto"/>
            <w:right w:val="none" w:sz="0" w:space="0" w:color="auto"/>
          </w:divBdr>
        </w:div>
        <w:div w:id="2116366621">
          <w:marLeft w:val="979"/>
          <w:marRight w:val="0"/>
          <w:marTop w:val="67"/>
          <w:marBottom w:val="0"/>
          <w:divBdr>
            <w:top w:val="none" w:sz="0" w:space="0" w:color="auto"/>
            <w:left w:val="none" w:sz="0" w:space="0" w:color="auto"/>
            <w:bottom w:val="none" w:sz="0" w:space="0" w:color="auto"/>
            <w:right w:val="none" w:sz="0" w:space="0" w:color="auto"/>
          </w:divBdr>
        </w:div>
        <w:div w:id="1533608361">
          <w:marLeft w:val="1267"/>
          <w:marRight w:val="0"/>
          <w:marTop w:val="58"/>
          <w:marBottom w:val="0"/>
          <w:divBdr>
            <w:top w:val="none" w:sz="0" w:space="0" w:color="auto"/>
            <w:left w:val="none" w:sz="0" w:space="0" w:color="auto"/>
            <w:bottom w:val="none" w:sz="0" w:space="0" w:color="auto"/>
            <w:right w:val="none" w:sz="0" w:space="0" w:color="auto"/>
          </w:divBdr>
        </w:div>
        <w:div w:id="1084841409">
          <w:marLeft w:val="1267"/>
          <w:marRight w:val="0"/>
          <w:marTop w:val="58"/>
          <w:marBottom w:val="0"/>
          <w:divBdr>
            <w:top w:val="none" w:sz="0" w:space="0" w:color="auto"/>
            <w:left w:val="none" w:sz="0" w:space="0" w:color="auto"/>
            <w:bottom w:val="none" w:sz="0" w:space="0" w:color="auto"/>
            <w:right w:val="none" w:sz="0" w:space="0" w:color="auto"/>
          </w:divBdr>
        </w:div>
        <w:div w:id="2066753871">
          <w:marLeft w:val="1267"/>
          <w:marRight w:val="0"/>
          <w:marTop w:val="58"/>
          <w:marBottom w:val="0"/>
          <w:divBdr>
            <w:top w:val="none" w:sz="0" w:space="0" w:color="auto"/>
            <w:left w:val="none" w:sz="0" w:space="0" w:color="auto"/>
            <w:bottom w:val="none" w:sz="0" w:space="0" w:color="auto"/>
            <w:right w:val="none" w:sz="0" w:space="0" w:color="auto"/>
          </w:divBdr>
        </w:div>
        <w:div w:id="1620800320">
          <w:marLeft w:val="1267"/>
          <w:marRight w:val="0"/>
          <w:marTop w:val="58"/>
          <w:marBottom w:val="0"/>
          <w:divBdr>
            <w:top w:val="none" w:sz="0" w:space="0" w:color="auto"/>
            <w:left w:val="none" w:sz="0" w:space="0" w:color="auto"/>
            <w:bottom w:val="none" w:sz="0" w:space="0" w:color="auto"/>
            <w:right w:val="none" w:sz="0" w:space="0" w:color="auto"/>
          </w:divBdr>
        </w:div>
        <w:div w:id="1012730181">
          <w:marLeft w:val="1267"/>
          <w:marRight w:val="0"/>
          <w:marTop w:val="58"/>
          <w:marBottom w:val="0"/>
          <w:divBdr>
            <w:top w:val="none" w:sz="0" w:space="0" w:color="auto"/>
            <w:left w:val="none" w:sz="0" w:space="0" w:color="auto"/>
            <w:bottom w:val="none" w:sz="0" w:space="0" w:color="auto"/>
            <w:right w:val="none" w:sz="0" w:space="0" w:color="auto"/>
          </w:divBdr>
        </w:div>
        <w:div w:id="1211461473">
          <w:marLeft w:val="979"/>
          <w:marRight w:val="0"/>
          <w:marTop w:val="67"/>
          <w:marBottom w:val="0"/>
          <w:divBdr>
            <w:top w:val="none" w:sz="0" w:space="0" w:color="auto"/>
            <w:left w:val="none" w:sz="0" w:space="0" w:color="auto"/>
            <w:bottom w:val="none" w:sz="0" w:space="0" w:color="auto"/>
            <w:right w:val="none" w:sz="0" w:space="0" w:color="auto"/>
          </w:divBdr>
        </w:div>
        <w:div w:id="2101947345">
          <w:marLeft w:val="979"/>
          <w:marRight w:val="0"/>
          <w:marTop w:val="67"/>
          <w:marBottom w:val="0"/>
          <w:divBdr>
            <w:top w:val="none" w:sz="0" w:space="0" w:color="auto"/>
            <w:left w:val="none" w:sz="0" w:space="0" w:color="auto"/>
            <w:bottom w:val="none" w:sz="0" w:space="0" w:color="auto"/>
            <w:right w:val="none" w:sz="0" w:space="0" w:color="auto"/>
          </w:divBdr>
        </w:div>
        <w:div w:id="972827855">
          <w:marLeft w:val="1267"/>
          <w:marRight w:val="0"/>
          <w:marTop w:val="58"/>
          <w:marBottom w:val="0"/>
          <w:divBdr>
            <w:top w:val="none" w:sz="0" w:space="0" w:color="auto"/>
            <w:left w:val="none" w:sz="0" w:space="0" w:color="auto"/>
            <w:bottom w:val="none" w:sz="0" w:space="0" w:color="auto"/>
            <w:right w:val="none" w:sz="0" w:space="0" w:color="auto"/>
          </w:divBdr>
        </w:div>
      </w:divsChild>
    </w:div>
    <w:div w:id="202669653">
      <w:bodyDiv w:val="1"/>
      <w:marLeft w:val="0"/>
      <w:marRight w:val="0"/>
      <w:marTop w:val="0"/>
      <w:marBottom w:val="0"/>
      <w:divBdr>
        <w:top w:val="none" w:sz="0" w:space="0" w:color="auto"/>
        <w:left w:val="none" w:sz="0" w:space="0" w:color="auto"/>
        <w:bottom w:val="none" w:sz="0" w:space="0" w:color="auto"/>
        <w:right w:val="none" w:sz="0" w:space="0" w:color="auto"/>
      </w:divBdr>
    </w:div>
    <w:div w:id="231812062">
      <w:bodyDiv w:val="1"/>
      <w:marLeft w:val="0"/>
      <w:marRight w:val="0"/>
      <w:marTop w:val="0"/>
      <w:marBottom w:val="0"/>
      <w:divBdr>
        <w:top w:val="none" w:sz="0" w:space="0" w:color="auto"/>
        <w:left w:val="none" w:sz="0" w:space="0" w:color="auto"/>
        <w:bottom w:val="none" w:sz="0" w:space="0" w:color="auto"/>
        <w:right w:val="none" w:sz="0" w:space="0" w:color="auto"/>
      </w:divBdr>
    </w:div>
    <w:div w:id="264189147">
      <w:bodyDiv w:val="1"/>
      <w:marLeft w:val="0"/>
      <w:marRight w:val="0"/>
      <w:marTop w:val="0"/>
      <w:marBottom w:val="0"/>
      <w:divBdr>
        <w:top w:val="none" w:sz="0" w:space="0" w:color="auto"/>
        <w:left w:val="none" w:sz="0" w:space="0" w:color="auto"/>
        <w:bottom w:val="none" w:sz="0" w:space="0" w:color="auto"/>
        <w:right w:val="none" w:sz="0" w:space="0" w:color="auto"/>
      </w:divBdr>
    </w:div>
    <w:div w:id="267590527">
      <w:bodyDiv w:val="1"/>
      <w:marLeft w:val="0"/>
      <w:marRight w:val="0"/>
      <w:marTop w:val="0"/>
      <w:marBottom w:val="0"/>
      <w:divBdr>
        <w:top w:val="none" w:sz="0" w:space="0" w:color="auto"/>
        <w:left w:val="none" w:sz="0" w:space="0" w:color="auto"/>
        <w:bottom w:val="none" w:sz="0" w:space="0" w:color="auto"/>
        <w:right w:val="none" w:sz="0" w:space="0" w:color="auto"/>
      </w:divBdr>
    </w:div>
    <w:div w:id="282152162">
      <w:bodyDiv w:val="1"/>
      <w:marLeft w:val="0"/>
      <w:marRight w:val="0"/>
      <w:marTop w:val="0"/>
      <w:marBottom w:val="0"/>
      <w:divBdr>
        <w:top w:val="none" w:sz="0" w:space="0" w:color="auto"/>
        <w:left w:val="none" w:sz="0" w:space="0" w:color="auto"/>
        <w:bottom w:val="none" w:sz="0" w:space="0" w:color="auto"/>
        <w:right w:val="none" w:sz="0" w:space="0" w:color="auto"/>
      </w:divBdr>
    </w:div>
    <w:div w:id="354304478">
      <w:bodyDiv w:val="1"/>
      <w:marLeft w:val="0"/>
      <w:marRight w:val="0"/>
      <w:marTop w:val="0"/>
      <w:marBottom w:val="0"/>
      <w:divBdr>
        <w:top w:val="none" w:sz="0" w:space="0" w:color="auto"/>
        <w:left w:val="none" w:sz="0" w:space="0" w:color="auto"/>
        <w:bottom w:val="none" w:sz="0" w:space="0" w:color="auto"/>
        <w:right w:val="none" w:sz="0" w:space="0" w:color="auto"/>
      </w:divBdr>
      <w:divsChild>
        <w:div w:id="622298">
          <w:marLeft w:val="1166"/>
          <w:marRight w:val="0"/>
          <w:marTop w:val="96"/>
          <w:marBottom w:val="0"/>
          <w:divBdr>
            <w:top w:val="none" w:sz="0" w:space="0" w:color="auto"/>
            <w:left w:val="none" w:sz="0" w:space="0" w:color="auto"/>
            <w:bottom w:val="none" w:sz="0" w:space="0" w:color="auto"/>
            <w:right w:val="none" w:sz="0" w:space="0" w:color="auto"/>
          </w:divBdr>
        </w:div>
      </w:divsChild>
    </w:div>
    <w:div w:id="354502937">
      <w:bodyDiv w:val="1"/>
      <w:marLeft w:val="0"/>
      <w:marRight w:val="0"/>
      <w:marTop w:val="0"/>
      <w:marBottom w:val="0"/>
      <w:divBdr>
        <w:top w:val="none" w:sz="0" w:space="0" w:color="auto"/>
        <w:left w:val="none" w:sz="0" w:space="0" w:color="auto"/>
        <w:bottom w:val="none" w:sz="0" w:space="0" w:color="auto"/>
        <w:right w:val="none" w:sz="0" w:space="0" w:color="auto"/>
      </w:divBdr>
    </w:div>
    <w:div w:id="364864998">
      <w:bodyDiv w:val="1"/>
      <w:marLeft w:val="0"/>
      <w:marRight w:val="0"/>
      <w:marTop w:val="0"/>
      <w:marBottom w:val="0"/>
      <w:divBdr>
        <w:top w:val="none" w:sz="0" w:space="0" w:color="auto"/>
        <w:left w:val="none" w:sz="0" w:space="0" w:color="auto"/>
        <w:bottom w:val="none" w:sz="0" w:space="0" w:color="auto"/>
        <w:right w:val="none" w:sz="0" w:space="0" w:color="auto"/>
      </w:divBdr>
      <w:divsChild>
        <w:div w:id="1651132501">
          <w:marLeft w:val="979"/>
          <w:marRight w:val="0"/>
          <w:marTop w:val="67"/>
          <w:marBottom w:val="0"/>
          <w:divBdr>
            <w:top w:val="none" w:sz="0" w:space="0" w:color="auto"/>
            <w:left w:val="none" w:sz="0" w:space="0" w:color="auto"/>
            <w:bottom w:val="none" w:sz="0" w:space="0" w:color="auto"/>
            <w:right w:val="none" w:sz="0" w:space="0" w:color="auto"/>
          </w:divBdr>
        </w:div>
        <w:div w:id="535309537">
          <w:marLeft w:val="1267"/>
          <w:marRight w:val="0"/>
          <w:marTop w:val="58"/>
          <w:marBottom w:val="0"/>
          <w:divBdr>
            <w:top w:val="none" w:sz="0" w:space="0" w:color="auto"/>
            <w:left w:val="none" w:sz="0" w:space="0" w:color="auto"/>
            <w:bottom w:val="none" w:sz="0" w:space="0" w:color="auto"/>
            <w:right w:val="none" w:sz="0" w:space="0" w:color="auto"/>
          </w:divBdr>
        </w:div>
        <w:div w:id="1392541274">
          <w:marLeft w:val="1267"/>
          <w:marRight w:val="0"/>
          <w:marTop w:val="58"/>
          <w:marBottom w:val="0"/>
          <w:divBdr>
            <w:top w:val="none" w:sz="0" w:space="0" w:color="auto"/>
            <w:left w:val="none" w:sz="0" w:space="0" w:color="auto"/>
            <w:bottom w:val="none" w:sz="0" w:space="0" w:color="auto"/>
            <w:right w:val="none" w:sz="0" w:space="0" w:color="auto"/>
          </w:divBdr>
        </w:div>
        <w:div w:id="1101680339">
          <w:marLeft w:val="1267"/>
          <w:marRight w:val="0"/>
          <w:marTop w:val="58"/>
          <w:marBottom w:val="0"/>
          <w:divBdr>
            <w:top w:val="none" w:sz="0" w:space="0" w:color="auto"/>
            <w:left w:val="none" w:sz="0" w:space="0" w:color="auto"/>
            <w:bottom w:val="none" w:sz="0" w:space="0" w:color="auto"/>
            <w:right w:val="none" w:sz="0" w:space="0" w:color="auto"/>
          </w:divBdr>
        </w:div>
      </w:divsChild>
    </w:div>
    <w:div w:id="375159186">
      <w:bodyDiv w:val="1"/>
      <w:marLeft w:val="0"/>
      <w:marRight w:val="0"/>
      <w:marTop w:val="0"/>
      <w:marBottom w:val="0"/>
      <w:divBdr>
        <w:top w:val="none" w:sz="0" w:space="0" w:color="auto"/>
        <w:left w:val="none" w:sz="0" w:space="0" w:color="auto"/>
        <w:bottom w:val="none" w:sz="0" w:space="0" w:color="auto"/>
        <w:right w:val="none" w:sz="0" w:space="0" w:color="auto"/>
      </w:divBdr>
    </w:div>
    <w:div w:id="385639739">
      <w:bodyDiv w:val="1"/>
      <w:marLeft w:val="0"/>
      <w:marRight w:val="0"/>
      <w:marTop w:val="0"/>
      <w:marBottom w:val="0"/>
      <w:divBdr>
        <w:top w:val="none" w:sz="0" w:space="0" w:color="auto"/>
        <w:left w:val="none" w:sz="0" w:space="0" w:color="auto"/>
        <w:bottom w:val="none" w:sz="0" w:space="0" w:color="auto"/>
        <w:right w:val="none" w:sz="0" w:space="0" w:color="auto"/>
      </w:divBdr>
    </w:div>
    <w:div w:id="407650728">
      <w:bodyDiv w:val="1"/>
      <w:marLeft w:val="0"/>
      <w:marRight w:val="0"/>
      <w:marTop w:val="0"/>
      <w:marBottom w:val="0"/>
      <w:divBdr>
        <w:top w:val="none" w:sz="0" w:space="0" w:color="auto"/>
        <w:left w:val="none" w:sz="0" w:space="0" w:color="auto"/>
        <w:bottom w:val="none" w:sz="0" w:space="0" w:color="auto"/>
        <w:right w:val="none" w:sz="0" w:space="0" w:color="auto"/>
      </w:divBdr>
    </w:div>
    <w:div w:id="414132333">
      <w:bodyDiv w:val="1"/>
      <w:marLeft w:val="0"/>
      <w:marRight w:val="0"/>
      <w:marTop w:val="0"/>
      <w:marBottom w:val="0"/>
      <w:divBdr>
        <w:top w:val="none" w:sz="0" w:space="0" w:color="auto"/>
        <w:left w:val="none" w:sz="0" w:space="0" w:color="auto"/>
        <w:bottom w:val="none" w:sz="0" w:space="0" w:color="auto"/>
        <w:right w:val="none" w:sz="0" w:space="0" w:color="auto"/>
      </w:divBdr>
    </w:div>
    <w:div w:id="419259760">
      <w:bodyDiv w:val="1"/>
      <w:marLeft w:val="0"/>
      <w:marRight w:val="0"/>
      <w:marTop w:val="0"/>
      <w:marBottom w:val="0"/>
      <w:divBdr>
        <w:top w:val="none" w:sz="0" w:space="0" w:color="auto"/>
        <w:left w:val="none" w:sz="0" w:space="0" w:color="auto"/>
        <w:bottom w:val="none" w:sz="0" w:space="0" w:color="auto"/>
        <w:right w:val="none" w:sz="0" w:space="0" w:color="auto"/>
      </w:divBdr>
    </w:div>
    <w:div w:id="443809888">
      <w:bodyDiv w:val="1"/>
      <w:marLeft w:val="0"/>
      <w:marRight w:val="0"/>
      <w:marTop w:val="0"/>
      <w:marBottom w:val="0"/>
      <w:divBdr>
        <w:top w:val="none" w:sz="0" w:space="0" w:color="auto"/>
        <w:left w:val="none" w:sz="0" w:space="0" w:color="auto"/>
        <w:bottom w:val="none" w:sz="0" w:space="0" w:color="auto"/>
        <w:right w:val="none" w:sz="0" w:space="0" w:color="auto"/>
      </w:divBdr>
    </w:div>
    <w:div w:id="479810654">
      <w:bodyDiv w:val="1"/>
      <w:marLeft w:val="0"/>
      <w:marRight w:val="0"/>
      <w:marTop w:val="0"/>
      <w:marBottom w:val="0"/>
      <w:divBdr>
        <w:top w:val="none" w:sz="0" w:space="0" w:color="auto"/>
        <w:left w:val="none" w:sz="0" w:space="0" w:color="auto"/>
        <w:bottom w:val="none" w:sz="0" w:space="0" w:color="auto"/>
        <w:right w:val="none" w:sz="0" w:space="0" w:color="auto"/>
      </w:divBdr>
    </w:div>
    <w:div w:id="491021306">
      <w:bodyDiv w:val="1"/>
      <w:marLeft w:val="0"/>
      <w:marRight w:val="0"/>
      <w:marTop w:val="0"/>
      <w:marBottom w:val="0"/>
      <w:divBdr>
        <w:top w:val="none" w:sz="0" w:space="0" w:color="auto"/>
        <w:left w:val="none" w:sz="0" w:space="0" w:color="auto"/>
        <w:bottom w:val="none" w:sz="0" w:space="0" w:color="auto"/>
        <w:right w:val="none" w:sz="0" w:space="0" w:color="auto"/>
      </w:divBdr>
    </w:div>
    <w:div w:id="522595297">
      <w:bodyDiv w:val="1"/>
      <w:marLeft w:val="0"/>
      <w:marRight w:val="0"/>
      <w:marTop w:val="0"/>
      <w:marBottom w:val="0"/>
      <w:divBdr>
        <w:top w:val="none" w:sz="0" w:space="0" w:color="auto"/>
        <w:left w:val="none" w:sz="0" w:space="0" w:color="auto"/>
        <w:bottom w:val="none" w:sz="0" w:space="0" w:color="auto"/>
        <w:right w:val="none" w:sz="0" w:space="0" w:color="auto"/>
      </w:divBdr>
    </w:div>
    <w:div w:id="539973861">
      <w:bodyDiv w:val="1"/>
      <w:marLeft w:val="0"/>
      <w:marRight w:val="0"/>
      <w:marTop w:val="0"/>
      <w:marBottom w:val="0"/>
      <w:divBdr>
        <w:top w:val="none" w:sz="0" w:space="0" w:color="auto"/>
        <w:left w:val="none" w:sz="0" w:space="0" w:color="auto"/>
        <w:bottom w:val="none" w:sz="0" w:space="0" w:color="auto"/>
        <w:right w:val="none" w:sz="0" w:space="0" w:color="auto"/>
      </w:divBdr>
      <w:divsChild>
        <w:div w:id="888766374">
          <w:marLeft w:val="547"/>
          <w:marRight w:val="0"/>
          <w:marTop w:val="0"/>
          <w:marBottom w:val="0"/>
          <w:divBdr>
            <w:top w:val="none" w:sz="0" w:space="0" w:color="auto"/>
            <w:left w:val="none" w:sz="0" w:space="0" w:color="auto"/>
            <w:bottom w:val="none" w:sz="0" w:space="0" w:color="auto"/>
            <w:right w:val="none" w:sz="0" w:space="0" w:color="auto"/>
          </w:divBdr>
        </w:div>
      </w:divsChild>
    </w:div>
    <w:div w:id="550726286">
      <w:bodyDiv w:val="1"/>
      <w:marLeft w:val="0"/>
      <w:marRight w:val="0"/>
      <w:marTop w:val="0"/>
      <w:marBottom w:val="0"/>
      <w:divBdr>
        <w:top w:val="none" w:sz="0" w:space="0" w:color="auto"/>
        <w:left w:val="none" w:sz="0" w:space="0" w:color="auto"/>
        <w:bottom w:val="none" w:sz="0" w:space="0" w:color="auto"/>
        <w:right w:val="none" w:sz="0" w:space="0" w:color="auto"/>
      </w:divBdr>
    </w:div>
    <w:div w:id="561990301">
      <w:bodyDiv w:val="1"/>
      <w:marLeft w:val="0"/>
      <w:marRight w:val="0"/>
      <w:marTop w:val="0"/>
      <w:marBottom w:val="0"/>
      <w:divBdr>
        <w:top w:val="none" w:sz="0" w:space="0" w:color="auto"/>
        <w:left w:val="none" w:sz="0" w:space="0" w:color="auto"/>
        <w:bottom w:val="none" w:sz="0" w:space="0" w:color="auto"/>
        <w:right w:val="none" w:sz="0" w:space="0" w:color="auto"/>
      </w:divBdr>
    </w:div>
    <w:div w:id="569123411">
      <w:bodyDiv w:val="1"/>
      <w:marLeft w:val="0"/>
      <w:marRight w:val="0"/>
      <w:marTop w:val="0"/>
      <w:marBottom w:val="0"/>
      <w:divBdr>
        <w:top w:val="none" w:sz="0" w:space="0" w:color="auto"/>
        <w:left w:val="none" w:sz="0" w:space="0" w:color="auto"/>
        <w:bottom w:val="none" w:sz="0" w:space="0" w:color="auto"/>
        <w:right w:val="none" w:sz="0" w:space="0" w:color="auto"/>
      </w:divBdr>
    </w:div>
    <w:div w:id="605357040">
      <w:bodyDiv w:val="1"/>
      <w:marLeft w:val="0"/>
      <w:marRight w:val="0"/>
      <w:marTop w:val="0"/>
      <w:marBottom w:val="0"/>
      <w:divBdr>
        <w:top w:val="none" w:sz="0" w:space="0" w:color="auto"/>
        <w:left w:val="none" w:sz="0" w:space="0" w:color="auto"/>
        <w:bottom w:val="none" w:sz="0" w:space="0" w:color="auto"/>
        <w:right w:val="none" w:sz="0" w:space="0" w:color="auto"/>
      </w:divBdr>
      <w:divsChild>
        <w:div w:id="1543785481">
          <w:marLeft w:val="1166"/>
          <w:marRight w:val="0"/>
          <w:marTop w:val="96"/>
          <w:marBottom w:val="0"/>
          <w:divBdr>
            <w:top w:val="none" w:sz="0" w:space="0" w:color="auto"/>
            <w:left w:val="none" w:sz="0" w:space="0" w:color="auto"/>
            <w:bottom w:val="none" w:sz="0" w:space="0" w:color="auto"/>
            <w:right w:val="none" w:sz="0" w:space="0" w:color="auto"/>
          </w:divBdr>
        </w:div>
      </w:divsChild>
    </w:div>
    <w:div w:id="658775622">
      <w:bodyDiv w:val="1"/>
      <w:marLeft w:val="0"/>
      <w:marRight w:val="0"/>
      <w:marTop w:val="0"/>
      <w:marBottom w:val="0"/>
      <w:divBdr>
        <w:top w:val="none" w:sz="0" w:space="0" w:color="auto"/>
        <w:left w:val="none" w:sz="0" w:space="0" w:color="auto"/>
        <w:bottom w:val="none" w:sz="0" w:space="0" w:color="auto"/>
        <w:right w:val="none" w:sz="0" w:space="0" w:color="auto"/>
      </w:divBdr>
      <w:divsChild>
        <w:div w:id="450169951">
          <w:marLeft w:val="1267"/>
          <w:marRight w:val="0"/>
          <w:marTop w:val="58"/>
          <w:marBottom w:val="0"/>
          <w:divBdr>
            <w:top w:val="none" w:sz="0" w:space="0" w:color="auto"/>
            <w:left w:val="none" w:sz="0" w:space="0" w:color="auto"/>
            <w:bottom w:val="none" w:sz="0" w:space="0" w:color="auto"/>
            <w:right w:val="none" w:sz="0" w:space="0" w:color="auto"/>
          </w:divBdr>
        </w:div>
        <w:div w:id="848638113">
          <w:marLeft w:val="1267"/>
          <w:marRight w:val="0"/>
          <w:marTop w:val="58"/>
          <w:marBottom w:val="0"/>
          <w:divBdr>
            <w:top w:val="none" w:sz="0" w:space="0" w:color="auto"/>
            <w:left w:val="none" w:sz="0" w:space="0" w:color="auto"/>
            <w:bottom w:val="none" w:sz="0" w:space="0" w:color="auto"/>
            <w:right w:val="none" w:sz="0" w:space="0" w:color="auto"/>
          </w:divBdr>
        </w:div>
      </w:divsChild>
    </w:div>
    <w:div w:id="705105091">
      <w:bodyDiv w:val="1"/>
      <w:marLeft w:val="0"/>
      <w:marRight w:val="0"/>
      <w:marTop w:val="0"/>
      <w:marBottom w:val="0"/>
      <w:divBdr>
        <w:top w:val="none" w:sz="0" w:space="0" w:color="auto"/>
        <w:left w:val="none" w:sz="0" w:space="0" w:color="auto"/>
        <w:bottom w:val="none" w:sz="0" w:space="0" w:color="auto"/>
        <w:right w:val="none" w:sz="0" w:space="0" w:color="auto"/>
      </w:divBdr>
    </w:div>
    <w:div w:id="760905521">
      <w:bodyDiv w:val="1"/>
      <w:marLeft w:val="0"/>
      <w:marRight w:val="0"/>
      <w:marTop w:val="0"/>
      <w:marBottom w:val="0"/>
      <w:divBdr>
        <w:top w:val="none" w:sz="0" w:space="0" w:color="auto"/>
        <w:left w:val="none" w:sz="0" w:space="0" w:color="auto"/>
        <w:bottom w:val="none" w:sz="0" w:space="0" w:color="auto"/>
        <w:right w:val="none" w:sz="0" w:space="0" w:color="auto"/>
      </w:divBdr>
    </w:div>
    <w:div w:id="762604054">
      <w:bodyDiv w:val="1"/>
      <w:marLeft w:val="0"/>
      <w:marRight w:val="0"/>
      <w:marTop w:val="0"/>
      <w:marBottom w:val="0"/>
      <w:divBdr>
        <w:top w:val="none" w:sz="0" w:space="0" w:color="auto"/>
        <w:left w:val="none" w:sz="0" w:space="0" w:color="auto"/>
        <w:bottom w:val="none" w:sz="0" w:space="0" w:color="auto"/>
        <w:right w:val="none" w:sz="0" w:space="0" w:color="auto"/>
      </w:divBdr>
    </w:div>
    <w:div w:id="773865369">
      <w:bodyDiv w:val="1"/>
      <w:marLeft w:val="0"/>
      <w:marRight w:val="0"/>
      <w:marTop w:val="0"/>
      <w:marBottom w:val="0"/>
      <w:divBdr>
        <w:top w:val="none" w:sz="0" w:space="0" w:color="auto"/>
        <w:left w:val="none" w:sz="0" w:space="0" w:color="auto"/>
        <w:bottom w:val="none" w:sz="0" w:space="0" w:color="auto"/>
        <w:right w:val="none" w:sz="0" w:space="0" w:color="auto"/>
      </w:divBdr>
    </w:div>
    <w:div w:id="775368444">
      <w:bodyDiv w:val="1"/>
      <w:marLeft w:val="0"/>
      <w:marRight w:val="0"/>
      <w:marTop w:val="0"/>
      <w:marBottom w:val="0"/>
      <w:divBdr>
        <w:top w:val="none" w:sz="0" w:space="0" w:color="auto"/>
        <w:left w:val="none" w:sz="0" w:space="0" w:color="auto"/>
        <w:bottom w:val="none" w:sz="0" w:space="0" w:color="auto"/>
        <w:right w:val="none" w:sz="0" w:space="0" w:color="auto"/>
      </w:divBdr>
    </w:div>
    <w:div w:id="788012667">
      <w:bodyDiv w:val="1"/>
      <w:marLeft w:val="0"/>
      <w:marRight w:val="0"/>
      <w:marTop w:val="0"/>
      <w:marBottom w:val="0"/>
      <w:divBdr>
        <w:top w:val="none" w:sz="0" w:space="0" w:color="auto"/>
        <w:left w:val="none" w:sz="0" w:space="0" w:color="auto"/>
        <w:bottom w:val="none" w:sz="0" w:space="0" w:color="auto"/>
        <w:right w:val="none" w:sz="0" w:space="0" w:color="auto"/>
      </w:divBdr>
    </w:div>
    <w:div w:id="789863257">
      <w:bodyDiv w:val="1"/>
      <w:marLeft w:val="0"/>
      <w:marRight w:val="0"/>
      <w:marTop w:val="0"/>
      <w:marBottom w:val="0"/>
      <w:divBdr>
        <w:top w:val="none" w:sz="0" w:space="0" w:color="auto"/>
        <w:left w:val="none" w:sz="0" w:space="0" w:color="auto"/>
        <w:bottom w:val="none" w:sz="0" w:space="0" w:color="auto"/>
        <w:right w:val="none" w:sz="0" w:space="0" w:color="auto"/>
      </w:divBdr>
    </w:div>
    <w:div w:id="815754773">
      <w:bodyDiv w:val="1"/>
      <w:marLeft w:val="0"/>
      <w:marRight w:val="0"/>
      <w:marTop w:val="0"/>
      <w:marBottom w:val="0"/>
      <w:divBdr>
        <w:top w:val="none" w:sz="0" w:space="0" w:color="auto"/>
        <w:left w:val="none" w:sz="0" w:space="0" w:color="auto"/>
        <w:bottom w:val="none" w:sz="0" w:space="0" w:color="auto"/>
        <w:right w:val="none" w:sz="0" w:space="0" w:color="auto"/>
      </w:divBdr>
      <w:divsChild>
        <w:div w:id="1270159948">
          <w:marLeft w:val="360"/>
          <w:marRight w:val="0"/>
          <w:marTop w:val="200"/>
          <w:marBottom w:val="0"/>
          <w:divBdr>
            <w:top w:val="none" w:sz="0" w:space="0" w:color="auto"/>
            <w:left w:val="none" w:sz="0" w:space="0" w:color="auto"/>
            <w:bottom w:val="none" w:sz="0" w:space="0" w:color="auto"/>
            <w:right w:val="none" w:sz="0" w:space="0" w:color="auto"/>
          </w:divBdr>
        </w:div>
        <w:div w:id="1622834081">
          <w:marLeft w:val="1080"/>
          <w:marRight w:val="0"/>
          <w:marTop w:val="100"/>
          <w:marBottom w:val="0"/>
          <w:divBdr>
            <w:top w:val="none" w:sz="0" w:space="0" w:color="auto"/>
            <w:left w:val="none" w:sz="0" w:space="0" w:color="auto"/>
            <w:bottom w:val="none" w:sz="0" w:space="0" w:color="auto"/>
            <w:right w:val="none" w:sz="0" w:space="0" w:color="auto"/>
          </w:divBdr>
        </w:div>
        <w:div w:id="70322722">
          <w:marLeft w:val="1080"/>
          <w:marRight w:val="0"/>
          <w:marTop w:val="100"/>
          <w:marBottom w:val="0"/>
          <w:divBdr>
            <w:top w:val="none" w:sz="0" w:space="0" w:color="auto"/>
            <w:left w:val="none" w:sz="0" w:space="0" w:color="auto"/>
            <w:bottom w:val="none" w:sz="0" w:space="0" w:color="auto"/>
            <w:right w:val="none" w:sz="0" w:space="0" w:color="auto"/>
          </w:divBdr>
        </w:div>
        <w:div w:id="1866210277">
          <w:marLeft w:val="1080"/>
          <w:marRight w:val="0"/>
          <w:marTop w:val="100"/>
          <w:marBottom w:val="0"/>
          <w:divBdr>
            <w:top w:val="none" w:sz="0" w:space="0" w:color="auto"/>
            <w:left w:val="none" w:sz="0" w:space="0" w:color="auto"/>
            <w:bottom w:val="none" w:sz="0" w:space="0" w:color="auto"/>
            <w:right w:val="none" w:sz="0" w:space="0" w:color="auto"/>
          </w:divBdr>
        </w:div>
        <w:div w:id="1450974228">
          <w:marLeft w:val="360"/>
          <w:marRight w:val="0"/>
          <w:marTop w:val="200"/>
          <w:marBottom w:val="0"/>
          <w:divBdr>
            <w:top w:val="none" w:sz="0" w:space="0" w:color="auto"/>
            <w:left w:val="none" w:sz="0" w:space="0" w:color="auto"/>
            <w:bottom w:val="none" w:sz="0" w:space="0" w:color="auto"/>
            <w:right w:val="none" w:sz="0" w:space="0" w:color="auto"/>
          </w:divBdr>
        </w:div>
      </w:divsChild>
    </w:div>
    <w:div w:id="821581548">
      <w:bodyDiv w:val="1"/>
      <w:marLeft w:val="0"/>
      <w:marRight w:val="0"/>
      <w:marTop w:val="0"/>
      <w:marBottom w:val="0"/>
      <w:divBdr>
        <w:top w:val="none" w:sz="0" w:space="0" w:color="auto"/>
        <w:left w:val="none" w:sz="0" w:space="0" w:color="auto"/>
        <w:bottom w:val="none" w:sz="0" w:space="0" w:color="auto"/>
        <w:right w:val="none" w:sz="0" w:space="0" w:color="auto"/>
      </w:divBdr>
    </w:div>
    <w:div w:id="837578714">
      <w:bodyDiv w:val="1"/>
      <w:marLeft w:val="0"/>
      <w:marRight w:val="0"/>
      <w:marTop w:val="0"/>
      <w:marBottom w:val="0"/>
      <w:divBdr>
        <w:top w:val="none" w:sz="0" w:space="0" w:color="auto"/>
        <w:left w:val="none" w:sz="0" w:space="0" w:color="auto"/>
        <w:bottom w:val="none" w:sz="0" w:space="0" w:color="auto"/>
        <w:right w:val="none" w:sz="0" w:space="0" w:color="auto"/>
      </w:divBdr>
    </w:div>
    <w:div w:id="856314116">
      <w:bodyDiv w:val="1"/>
      <w:marLeft w:val="0"/>
      <w:marRight w:val="0"/>
      <w:marTop w:val="0"/>
      <w:marBottom w:val="0"/>
      <w:divBdr>
        <w:top w:val="none" w:sz="0" w:space="0" w:color="auto"/>
        <w:left w:val="none" w:sz="0" w:space="0" w:color="auto"/>
        <w:bottom w:val="none" w:sz="0" w:space="0" w:color="auto"/>
        <w:right w:val="none" w:sz="0" w:space="0" w:color="auto"/>
      </w:divBdr>
    </w:div>
    <w:div w:id="856386055">
      <w:bodyDiv w:val="1"/>
      <w:marLeft w:val="0"/>
      <w:marRight w:val="0"/>
      <w:marTop w:val="0"/>
      <w:marBottom w:val="0"/>
      <w:divBdr>
        <w:top w:val="none" w:sz="0" w:space="0" w:color="auto"/>
        <w:left w:val="none" w:sz="0" w:space="0" w:color="auto"/>
        <w:bottom w:val="none" w:sz="0" w:space="0" w:color="auto"/>
        <w:right w:val="none" w:sz="0" w:space="0" w:color="auto"/>
      </w:divBdr>
    </w:div>
    <w:div w:id="890656160">
      <w:bodyDiv w:val="1"/>
      <w:marLeft w:val="0"/>
      <w:marRight w:val="0"/>
      <w:marTop w:val="0"/>
      <w:marBottom w:val="0"/>
      <w:divBdr>
        <w:top w:val="none" w:sz="0" w:space="0" w:color="auto"/>
        <w:left w:val="none" w:sz="0" w:space="0" w:color="auto"/>
        <w:bottom w:val="none" w:sz="0" w:space="0" w:color="auto"/>
        <w:right w:val="none" w:sz="0" w:space="0" w:color="auto"/>
      </w:divBdr>
    </w:div>
    <w:div w:id="891766908">
      <w:bodyDiv w:val="1"/>
      <w:marLeft w:val="0"/>
      <w:marRight w:val="0"/>
      <w:marTop w:val="0"/>
      <w:marBottom w:val="0"/>
      <w:divBdr>
        <w:top w:val="none" w:sz="0" w:space="0" w:color="auto"/>
        <w:left w:val="none" w:sz="0" w:space="0" w:color="auto"/>
        <w:bottom w:val="none" w:sz="0" w:space="0" w:color="auto"/>
        <w:right w:val="none" w:sz="0" w:space="0" w:color="auto"/>
      </w:divBdr>
    </w:div>
    <w:div w:id="911506722">
      <w:bodyDiv w:val="1"/>
      <w:marLeft w:val="0"/>
      <w:marRight w:val="0"/>
      <w:marTop w:val="0"/>
      <w:marBottom w:val="0"/>
      <w:divBdr>
        <w:top w:val="none" w:sz="0" w:space="0" w:color="auto"/>
        <w:left w:val="none" w:sz="0" w:space="0" w:color="auto"/>
        <w:bottom w:val="none" w:sz="0" w:space="0" w:color="auto"/>
        <w:right w:val="none" w:sz="0" w:space="0" w:color="auto"/>
      </w:divBdr>
    </w:div>
    <w:div w:id="912088911">
      <w:bodyDiv w:val="1"/>
      <w:marLeft w:val="0"/>
      <w:marRight w:val="0"/>
      <w:marTop w:val="0"/>
      <w:marBottom w:val="0"/>
      <w:divBdr>
        <w:top w:val="none" w:sz="0" w:space="0" w:color="auto"/>
        <w:left w:val="none" w:sz="0" w:space="0" w:color="auto"/>
        <w:bottom w:val="none" w:sz="0" w:space="0" w:color="auto"/>
        <w:right w:val="none" w:sz="0" w:space="0" w:color="auto"/>
      </w:divBdr>
    </w:div>
    <w:div w:id="921916378">
      <w:bodyDiv w:val="1"/>
      <w:marLeft w:val="0"/>
      <w:marRight w:val="0"/>
      <w:marTop w:val="0"/>
      <w:marBottom w:val="0"/>
      <w:divBdr>
        <w:top w:val="none" w:sz="0" w:space="0" w:color="auto"/>
        <w:left w:val="none" w:sz="0" w:space="0" w:color="auto"/>
        <w:bottom w:val="none" w:sz="0" w:space="0" w:color="auto"/>
        <w:right w:val="none" w:sz="0" w:space="0" w:color="auto"/>
      </w:divBdr>
    </w:div>
    <w:div w:id="923299677">
      <w:bodyDiv w:val="1"/>
      <w:marLeft w:val="0"/>
      <w:marRight w:val="0"/>
      <w:marTop w:val="0"/>
      <w:marBottom w:val="0"/>
      <w:divBdr>
        <w:top w:val="none" w:sz="0" w:space="0" w:color="auto"/>
        <w:left w:val="none" w:sz="0" w:space="0" w:color="auto"/>
        <w:bottom w:val="none" w:sz="0" w:space="0" w:color="auto"/>
        <w:right w:val="none" w:sz="0" w:space="0" w:color="auto"/>
      </w:divBdr>
    </w:div>
    <w:div w:id="998388065">
      <w:bodyDiv w:val="1"/>
      <w:marLeft w:val="0"/>
      <w:marRight w:val="0"/>
      <w:marTop w:val="0"/>
      <w:marBottom w:val="0"/>
      <w:divBdr>
        <w:top w:val="none" w:sz="0" w:space="0" w:color="auto"/>
        <w:left w:val="none" w:sz="0" w:space="0" w:color="auto"/>
        <w:bottom w:val="none" w:sz="0" w:space="0" w:color="auto"/>
        <w:right w:val="none" w:sz="0" w:space="0" w:color="auto"/>
      </w:divBdr>
    </w:div>
    <w:div w:id="1024475044">
      <w:bodyDiv w:val="1"/>
      <w:marLeft w:val="0"/>
      <w:marRight w:val="0"/>
      <w:marTop w:val="0"/>
      <w:marBottom w:val="0"/>
      <w:divBdr>
        <w:top w:val="none" w:sz="0" w:space="0" w:color="auto"/>
        <w:left w:val="none" w:sz="0" w:space="0" w:color="auto"/>
        <w:bottom w:val="none" w:sz="0" w:space="0" w:color="auto"/>
        <w:right w:val="none" w:sz="0" w:space="0" w:color="auto"/>
      </w:divBdr>
    </w:div>
    <w:div w:id="1035499490">
      <w:bodyDiv w:val="1"/>
      <w:marLeft w:val="0"/>
      <w:marRight w:val="0"/>
      <w:marTop w:val="0"/>
      <w:marBottom w:val="0"/>
      <w:divBdr>
        <w:top w:val="none" w:sz="0" w:space="0" w:color="auto"/>
        <w:left w:val="none" w:sz="0" w:space="0" w:color="auto"/>
        <w:bottom w:val="none" w:sz="0" w:space="0" w:color="auto"/>
        <w:right w:val="none" w:sz="0" w:space="0" w:color="auto"/>
      </w:divBdr>
    </w:div>
    <w:div w:id="1071150215">
      <w:bodyDiv w:val="1"/>
      <w:marLeft w:val="0"/>
      <w:marRight w:val="0"/>
      <w:marTop w:val="0"/>
      <w:marBottom w:val="0"/>
      <w:divBdr>
        <w:top w:val="none" w:sz="0" w:space="0" w:color="auto"/>
        <w:left w:val="none" w:sz="0" w:space="0" w:color="auto"/>
        <w:bottom w:val="none" w:sz="0" w:space="0" w:color="auto"/>
        <w:right w:val="none" w:sz="0" w:space="0" w:color="auto"/>
      </w:divBdr>
    </w:div>
    <w:div w:id="1084374883">
      <w:bodyDiv w:val="1"/>
      <w:marLeft w:val="0"/>
      <w:marRight w:val="0"/>
      <w:marTop w:val="0"/>
      <w:marBottom w:val="0"/>
      <w:divBdr>
        <w:top w:val="none" w:sz="0" w:space="0" w:color="auto"/>
        <w:left w:val="none" w:sz="0" w:space="0" w:color="auto"/>
        <w:bottom w:val="none" w:sz="0" w:space="0" w:color="auto"/>
        <w:right w:val="none" w:sz="0" w:space="0" w:color="auto"/>
      </w:divBdr>
    </w:div>
    <w:div w:id="1090276711">
      <w:bodyDiv w:val="1"/>
      <w:marLeft w:val="0"/>
      <w:marRight w:val="0"/>
      <w:marTop w:val="0"/>
      <w:marBottom w:val="0"/>
      <w:divBdr>
        <w:top w:val="none" w:sz="0" w:space="0" w:color="auto"/>
        <w:left w:val="none" w:sz="0" w:space="0" w:color="auto"/>
        <w:bottom w:val="none" w:sz="0" w:space="0" w:color="auto"/>
        <w:right w:val="none" w:sz="0" w:space="0" w:color="auto"/>
      </w:divBdr>
    </w:div>
    <w:div w:id="1094397149">
      <w:bodyDiv w:val="1"/>
      <w:marLeft w:val="0"/>
      <w:marRight w:val="0"/>
      <w:marTop w:val="0"/>
      <w:marBottom w:val="0"/>
      <w:divBdr>
        <w:top w:val="none" w:sz="0" w:space="0" w:color="auto"/>
        <w:left w:val="none" w:sz="0" w:space="0" w:color="auto"/>
        <w:bottom w:val="none" w:sz="0" w:space="0" w:color="auto"/>
        <w:right w:val="none" w:sz="0" w:space="0" w:color="auto"/>
      </w:divBdr>
    </w:div>
    <w:div w:id="1099762816">
      <w:bodyDiv w:val="1"/>
      <w:marLeft w:val="0"/>
      <w:marRight w:val="0"/>
      <w:marTop w:val="0"/>
      <w:marBottom w:val="0"/>
      <w:divBdr>
        <w:top w:val="none" w:sz="0" w:space="0" w:color="auto"/>
        <w:left w:val="none" w:sz="0" w:space="0" w:color="auto"/>
        <w:bottom w:val="none" w:sz="0" w:space="0" w:color="auto"/>
        <w:right w:val="none" w:sz="0" w:space="0" w:color="auto"/>
      </w:divBdr>
    </w:div>
    <w:div w:id="1109355470">
      <w:bodyDiv w:val="1"/>
      <w:marLeft w:val="0"/>
      <w:marRight w:val="0"/>
      <w:marTop w:val="0"/>
      <w:marBottom w:val="0"/>
      <w:divBdr>
        <w:top w:val="none" w:sz="0" w:space="0" w:color="auto"/>
        <w:left w:val="none" w:sz="0" w:space="0" w:color="auto"/>
        <w:bottom w:val="none" w:sz="0" w:space="0" w:color="auto"/>
        <w:right w:val="none" w:sz="0" w:space="0" w:color="auto"/>
      </w:divBdr>
    </w:div>
    <w:div w:id="1127427132">
      <w:bodyDiv w:val="1"/>
      <w:marLeft w:val="0"/>
      <w:marRight w:val="0"/>
      <w:marTop w:val="0"/>
      <w:marBottom w:val="0"/>
      <w:divBdr>
        <w:top w:val="none" w:sz="0" w:space="0" w:color="auto"/>
        <w:left w:val="none" w:sz="0" w:space="0" w:color="auto"/>
        <w:bottom w:val="none" w:sz="0" w:space="0" w:color="auto"/>
        <w:right w:val="none" w:sz="0" w:space="0" w:color="auto"/>
      </w:divBdr>
    </w:div>
    <w:div w:id="1134565622">
      <w:bodyDiv w:val="1"/>
      <w:marLeft w:val="0"/>
      <w:marRight w:val="0"/>
      <w:marTop w:val="0"/>
      <w:marBottom w:val="0"/>
      <w:divBdr>
        <w:top w:val="none" w:sz="0" w:space="0" w:color="auto"/>
        <w:left w:val="none" w:sz="0" w:space="0" w:color="auto"/>
        <w:bottom w:val="none" w:sz="0" w:space="0" w:color="auto"/>
        <w:right w:val="none" w:sz="0" w:space="0" w:color="auto"/>
      </w:divBdr>
      <w:divsChild>
        <w:div w:id="133840386">
          <w:marLeft w:val="446"/>
          <w:marRight w:val="0"/>
          <w:marTop w:val="0"/>
          <w:marBottom w:val="0"/>
          <w:divBdr>
            <w:top w:val="none" w:sz="0" w:space="0" w:color="auto"/>
            <w:left w:val="none" w:sz="0" w:space="0" w:color="auto"/>
            <w:bottom w:val="none" w:sz="0" w:space="0" w:color="auto"/>
            <w:right w:val="none" w:sz="0" w:space="0" w:color="auto"/>
          </w:divBdr>
        </w:div>
        <w:div w:id="290792242">
          <w:marLeft w:val="1166"/>
          <w:marRight w:val="0"/>
          <w:marTop w:val="0"/>
          <w:marBottom w:val="0"/>
          <w:divBdr>
            <w:top w:val="none" w:sz="0" w:space="0" w:color="auto"/>
            <w:left w:val="none" w:sz="0" w:space="0" w:color="auto"/>
            <w:bottom w:val="none" w:sz="0" w:space="0" w:color="auto"/>
            <w:right w:val="none" w:sz="0" w:space="0" w:color="auto"/>
          </w:divBdr>
        </w:div>
      </w:divsChild>
    </w:div>
    <w:div w:id="1135484111">
      <w:bodyDiv w:val="1"/>
      <w:marLeft w:val="0"/>
      <w:marRight w:val="0"/>
      <w:marTop w:val="0"/>
      <w:marBottom w:val="0"/>
      <w:divBdr>
        <w:top w:val="none" w:sz="0" w:space="0" w:color="auto"/>
        <w:left w:val="none" w:sz="0" w:space="0" w:color="auto"/>
        <w:bottom w:val="none" w:sz="0" w:space="0" w:color="auto"/>
        <w:right w:val="none" w:sz="0" w:space="0" w:color="auto"/>
      </w:divBdr>
    </w:div>
    <w:div w:id="1140540650">
      <w:bodyDiv w:val="1"/>
      <w:marLeft w:val="0"/>
      <w:marRight w:val="0"/>
      <w:marTop w:val="0"/>
      <w:marBottom w:val="0"/>
      <w:divBdr>
        <w:top w:val="none" w:sz="0" w:space="0" w:color="auto"/>
        <w:left w:val="none" w:sz="0" w:space="0" w:color="auto"/>
        <w:bottom w:val="none" w:sz="0" w:space="0" w:color="auto"/>
        <w:right w:val="none" w:sz="0" w:space="0" w:color="auto"/>
      </w:divBdr>
    </w:div>
    <w:div w:id="1149400771">
      <w:bodyDiv w:val="1"/>
      <w:marLeft w:val="0"/>
      <w:marRight w:val="0"/>
      <w:marTop w:val="0"/>
      <w:marBottom w:val="0"/>
      <w:divBdr>
        <w:top w:val="none" w:sz="0" w:space="0" w:color="auto"/>
        <w:left w:val="none" w:sz="0" w:space="0" w:color="auto"/>
        <w:bottom w:val="none" w:sz="0" w:space="0" w:color="auto"/>
        <w:right w:val="none" w:sz="0" w:space="0" w:color="auto"/>
      </w:divBdr>
    </w:div>
    <w:div w:id="1153134545">
      <w:bodyDiv w:val="1"/>
      <w:marLeft w:val="0"/>
      <w:marRight w:val="0"/>
      <w:marTop w:val="0"/>
      <w:marBottom w:val="0"/>
      <w:divBdr>
        <w:top w:val="none" w:sz="0" w:space="0" w:color="auto"/>
        <w:left w:val="none" w:sz="0" w:space="0" w:color="auto"/>
        <w:bottom w:val="none" w:sz="0" w:space="0" w:color="auto"/>
        <w:right w:val="none" w:sz="0" w:space="0" w:color="auto"/>
      </w:divBdr>
    </w:div>
    <w:div w:id="1223560784">
      <w:bodyDiv w:val="1"/>
      <w:marLeft w:val="0"/>
      <w:marRight w:val="0"/>
      <w:marTop w:val="0"/>
      <w:marBottom w:val="0"/>
      <w:divBdr>
        <w:top w:val="none" w:sz="0" w:space="0" w:color="auto"/>
        <w:left w:val="none" w:sz="0" w:space="0" w:color="auto"/>
        <w:bottom w:val="none" w:sz="0" w:space="0" w:color="auto"/>
        <w:right w:val="none" w:sz="0" w:space="0" w:color="auto"/>
      </w:divBdr>
      <w:divsChild>
        <w:div w:id="1220288366">
          <w:marLeft w:val="1166"/>
          <w:marRight w:val="0"/>
          <w:marTop w:val="96"/>
          <w:marBottom w:val="0"/>
          <w:divBdr>
            <w:top w:val="none" w:sz="0" w:space="0" w:color="auto"/>
            <w:left w:val="none" w:sz="0" w:space="0" w:color="auto"/>
            <w:bottom w:val="none" w:sz="0" w:space="0" w:color="auto"/>
            <w:right w:val="none" w:sz="0" w:space="0" w:color="auto"/>
          </w:divBdr>
        </w:div>
      </w:divsChild>
    </w:div>
    <w:div w:id="1252006712">
      <w:bodyDiv w:val="1"/>
      <w:marLeft w:val="0"/>
      <w:marRight w:val="0"/>
      <w:marTop w:val="0"/>
      <w:marBottom w:val="0"/>
      <w:divBdr>
        <w:top w:val="none" w:sz="0" w:space="0" w:color="auto"/>
        <w:left w:val="none" w:sz="0" w:space="0" w:color="auto"/>
        <w:bottom w:val="none" w:sz="0" w:space="0" w:color="auto"/>
        <w:right w:val="none" w:sz="0" w:space="0" w:color="auto"/>
      </w:divBdr>
      <w:divsChild>
        <w:div w:id="1107196595">
          <w:marLeft w:val="418"/>
          <w:marRight w:val="0"/>
          <w:marTop w:val="86"/>
          <w:marBottom w:val="0"/>
          <w:divBdr>
            <w:top w:val="none" w:sz="0" w:space="0" w:color="auto"/>
            <w:left w:val="none" w:sz="0" w:space="0" w:color="auto"/>
            <w:bottom w:val="none" w:sz="0" w:space="0" w:color="auto"/>
            <w:right w:val="none" w:sz="0" w:space="0" w:color="auto"/>
          </w:divBdr>
        </w:div>
        <w:div w:id="1091901164">
          <w:marLeft w:val="706"/>
          <w:marRight w:val="0"/>
          <w:marTop w:val="77"/>
          <w:marBottom w:val="0"/>
          <w:divBdr>
            <w:top w:val="none" w:sz="0" w:space="0" w:color="auto"/>
            <w:left w:val="none" w:sz="0" w:space="0" w:color="auto"/>
            <w:bottom w:val="none" w:sz="0" w:space="0" w:color="auto"/>
            <w:right w:val="none" w:sz="0" w:space="0" w:color="auto"/>
          </w:divBdr>
        </w:div>
        <w:div w:id="1412118398">
          <w:marLeft w:val="706"/>
          <w:marRight w:val="0"/>
          <w:marTop w:val="86"/>
          <w:marBottom w:val="0"/>
          <w:divBdr>
            <w:top w:val="none" w:sz="0" w:space="0" w:color="auto"/>
            <w:left w:val="none" w:sz="0" w:space="0" w:color="auto"/>
            <w:bottom w:val="none" w:sz="0" w:space="0" w:color="auto"/>
            <w:right w:val="none" w:sz="0" w:space="0" w:color="auto"/>
          </w:divBdr>
        </w:div>
        <w:div w:id="1272709187">
          <w:marLeft w:val="979"/>
          <w:marRight w:val="0"/>
          <w:marTop w:val="67"/>
          <w:marBottom w:val="0"/>
          <w:divBdr>
            <w:top w:val="none" w:sz="0" w:space="0" w:color="auto"/>
            <w:left w:val="none" w:sz="0" w:space="0" w:color="auto"/>
            <w:bottom w:val="none" w:sz="0" w:space="0" w:color="auto"/>
            <w:right w:val="none" w:sz="0" w:space="0" w:color="auto"/>
          </w:divBdr>
        </w:div>
        <w:div w:id="1624994155">
          <w:marLeft w:val="979"/>
          <w:marRight w:val="0"/>
          <w:marTop w:val="67"/>
          <w:marBottom w:val="0"/>
          <w:divBdr>
            <w:top w:val="none" w:sz="0" w:space="0" w:color="auto"/>
            <w:left w:val="none" w:sz="0" w:space="0" w:color="auto"/>
            <w:bottom w:val="none" w:sz="0" w:space="0" w:color="auto"/>
            <w:right w:val="none" w:sz="0" w:space="0" w:color="auto"/>
          </w:divBdr>
        </w:div>
        <w:div w:id="223299603">
          <w:marLeft w:val="979"/>
          <w:marRight w:val="0"/>
          <w:marTop w:val="67"/>
          <w:marBottom w:val="0"/>
          <w:divBdr>
            <w:top w:val="none" w:sz="0" w:space="0" w:color="auto"/>
            <w:left w:val="none" w:sz="0" w:space="0" w:color="auto"/>
            <w:bottom w:val="none" w:sz="0" w:space="0" w:color="auto"/>
            <w:right w:val="none" w:sz="0" w:space="0" w:color="auto"/>
          </w:divBdr>
        </w:div>
        <w:div w:id="281346478">
          <w:marLeft w:val="1267"/>
          <w:marRight w:val="0"/>
          <w:marTop w:val="67"/>
          <w:marBottom w:val="0"/>
          <w:divBdr>
            <w:top w:val="none" w:sz="0" w:space="0" w:color="auto"/>
            <w:left w:val="none" w:sz="0" w:space="0" w:color="auto"/>
            <w:bottom w:val="none" w:sz="0" w:space="0" w:color="auto"/>
            <w:right w:val="none" w:sz="0" w:space="0" w:color="auto"/>
          </w:divBdr>
        </w:div>
        <w:div w:id="1289968824">
          <w:marLeft w:val="1267"/>
          <w:marRight w:val="0"/>
          <w:marTop w:val="67"/>
          <w:marBottom w:val="0"/>
          <w:divBdr>
            <w:top w:val="none" w:sz="0" w:space="0" w:color="auto"/>
            <w:left w:val="none" w:sz="0" w:space="0" w:color="auto"/>
            <w:bottom w:val="none" w:sz="0" w:space="0" w:color="auto"/>
            <w:right w:val="none" w:sz="0" w:space="0" w:color="auto"/>
          </w:divBdr>
        </w:div>
        <w:div w:id="1995333946">
          <w:marLeft w:val="1541"/>
          <w:marRight w:val="0"/>
          <w:marTop w:val="67"/>
          <w:marBottom w:val="0"/>
          <w:divBdr>
            <w:top w:val="none" w:sz="0" w:space="0" w:color="auto"/>
            <w:left w:val="none" w:sz="0" w:space="0" w:color="auto"/>
            <w:bottom w:val="none" w:sz="0" w:space="0" w:color="auto"/>
            <w:right w:val="none" w:sz="0" w:space="0" w:color="auto"/>
          </w:divBdr>
        </w:div>
        <w:div w:id="778179327">
          <w:marLeft w:val="1541"/>
          <w:marRight w:val="0"/>
          <w:marTop w:val="67"/>
          <w:marBottom w:val="0"/>
          <w:divBdr>
            <w:top w:val="none" w:sz="0" w:space="0" w:color="auto"/>
            <w:left w:val="none" w:sz="0" w:space="0" w:color="auto"/>
            <w:bottom w:val="none" w:sz="0" w:space="0" w:color="auto"/>
            <w:right w:val="none" w:sz="0" w:space="0" w:color="auto"/>
          </w:divBdr>
        </w:div>
        <w:div w:id="504825281">
          <w:marLeft w:val="1541"/>
          <w:marRight w:val="0"/>
          <w:marTop w:val="67"/>
          <w:marBottom w:val="0"/>
          <w:divBdr>
            <w:top w:val="none" w:sz="0" w:space="0" w:color="auto"/>
            <w:left w:val="none" w:sz="0" w:space="0" w:color="auto"/>
            <w:bottom w:val="none" w:sz="0" w:space="0" w:color="auto"/>
            <w:right w:val="none" w:sz="0" w:space="0" w:color="auto"/>
          </w:divBdr>
        </w:div>
        <w:div w:id="1561088470">
          <w:marLeft w:val="1267"/>
          <w:marRight w:val="0"/>
          <w:marTop w:val="67"/>
          <w:marBottom w:val="0"/>
          <w:divBdr>
            <w:top w:val="none" w:sz="0" w:space="0" w:color="auto"/>
            <w:left w:val="none" w:sz="0" w:space="0" w:color="auto"/>
            <w:bottom w:val="none" w:sz="0" w:space="0" w:color="auto"/>
            <w:right w:val="none" w:sz="0" w:space="0" w:color="auto"/>
          </w:divBdr>
        </w:div>
        <w:div w:id="60753677">
          <w:marLeft w:val="1541"/>
          <w:marRight w:val="0"/>
          <w:marTop w:val="67"/>
          <w:marBottom w:val="0"/>
          <w:divBdr>
            <w:top w:val="none" w:sz="0" w:space="0" w:color="auto"/>
            <w:left w:val="none" w:sz="0" w:space="0" w:color="auto"/>
            <w:bottom w:val="none" w:sz="0" w:space="0" w:color="auto"/>
            <w:right w:val="none" w:sz="0" w:space="0" w:color="auto"/>
          </w:divBdr>
        </w:div>
        <w:div w:id="2043818498">
          <w:marLeft w:val="979"/>
          <w:marRight w:val="0"/>
          <w:marTop w:val="67"/>
          <w:marBottom w:val="0"/>
          <w:divBdr>
            <w:top w:val="none" w:sz="0" w:space="0" w:color="auto"/>
            <w:left w:val="none" w:sz="0" w:space="0" w:color="auto"/>
            <w:bottom w:val="none" w:sz="0" w:space="0" w:color="auto"/>
            <w:right w:val="none" w:sz="0" w:space="0" w:color="auto"/>
          </w:divBdr>
        </w:div>
        <w:div w:id="396709187">
          <w:marLeft w:val="1267"/>
          <w:marRight w:val="0"/>
          <w:marTop w:val="67"/>
          <w:marBottom w:val="0"/>
          <w:divBdr>
            <w:top w:val="none" w:sz="0" w:space="0" w:color="auto"/>
            <w:left w:val="none" w:sz="0" w:space="0" w:color="auto"/>
            <w:bottom w:val="none" w:sz="0" w:space="0" w:color="auto"/>
            <w:right w:val="none" w:sz="0" w:space="0" w:color="auto"/>
          </w:divBdr>
        </w:div>
        <w:div w:id="1053388450">
          <w:marLeft w:val="979"/>
          <w:marRight w:val="0"/>
          <w:marTop w:val="67"/>
          <w:marBottom w:val="0"/>
          <w:divBdr>
            <w:top w:val="none" w:sz="0" w:space="0" w:color="auto"/>
            <w:left w:val="none" w:sz="0" w:space="0" w:color="auto"/>
            <w:bottom w:val="none" w:sz="0" w:space="0" w:color="auto"/>
            <w:right w:val="none" w:sz="0" w:space="0" w:color="auto"/>
          </w:divBdr>
        </w:div>
      </w:divsChild>
    </w:div>
    <w:div w:id="1271158342">
      <w:bodyDiv w:val="1"/>
      <w:marLeft w:val="0"/>
      <w:marRight w:val="0"/>
      <w:marTop w:val="0"/>
      <w:marBottom w:val="0"/>
      <w:divBdr>
        <w:top w:val="none" w:sz="0" w:space="0" w:color="auto"/>
        <w:left w:val="none" w:sz="0" w:space="0" w:color="auto"/>
        <w:bottom w:val="none" w:sz="0" w:space="0" w:color="auto"/>
        <w:right w:val="none" w:sz="0" w:space="0" w:color="auto"/>
      </w:divBdr>
      <w:divsChild>
        <w:div w:id="45422816">
          <w:marLeft w:val="446"/>
          <w:marRight w:val="0"/>
          <w:marTop w:val="0"/>
          <w:marBottom w:val="0"/>
          <w:divBdr>
            <w:top w:val="none" w:sz="0" w:space="0" w:color="auto"/>
            <w:left w:val="none" w:sz="0" w:space="0" w:color="auto"/>
            <w:bottom w:val="none" w:sz="0" w:space="0" w:color="auto"/>
            <w:right w:val="none" w:sz="0" w:space="0" w:color="auto"/>
          </w:divBdr>
        </w:div>
      </w:divsChild>
    </w:div>
    <w:div w:id="1275745263">
      <w:bodyDiv w:val="1"/>
      <w:marLeft w:val="0"/>
      <w:marRight w:val="0"/>
      <w:marTop w:val="0"/>
      <w:marBottom w:val="0"/>
      <w:divBdr>
        <w:top w:val="none" w:sz="0" w:space="0" w:color="auto"/>
        <w:left w:val="none" w:sz="0" w:space="0" w:color="auto"/>
        <w:bottom w:val="none" w:sz="0" w:space="0" w:color="auto"/>
        <w:right w:val="none" w:sz="0" w:space="0" w:color="auto"/>
      </w:divBdr>
      <w:divsChild>
        <w:div w:id="172687822">
          <w:marLeft w:val="706"/>
          <w:marRight w:val="0"/>
          <w:marTop w:val="77"/>
          <w:marBottom w:val="0"/>
          <w:divBdr>
            <w:top w:val="none" w:sz="0" w:space="0" w:color="auto"/>
            <w:left w:val="none" w:sz="0" w:space="0" w:color="auto"/>
            <w:bottom w:val="none" w:sz="0" w:space="0" w:color="auto"/>
            <w:right w:val="none" w:sz="0" w:space="0" w:color="auto"/>
          </w:divBdr>
        </w:div>
        <w:div w:id="358699054">
          <w:marLeft w:val="979"/>
          <w:marRight w:val="0"/>
          <w:marTop w:val="67"/>
          <w:marBottom w:val="0"/>
          <w:divBdr>
            <w:top w:val="none" w:sz="0" w:space="0" w:color="auto"/>
            <w:left w:val="none" w:sz="0" w:space="0" w:color="auto"/>
            <w:bottom w:val="none" w:sz="0" w:space="0" w:color="auto"/>
            <w:right w:val="none" w:sz="0" w:space="0" w:color="auto"/>
          </w:divBdr>
        </w:div>
        <w:div w:id="1121459247">
          <w:marLeft w:val="1267"/>
          <w:marRight w:val="0"/>
          <w:marTop w:val="58"/>
          <w:marBottom w:val="0"/>
          <w:divBdr>
            <w:top w:val="none" w:sz="0" w:space="0" w:color="auto"/>
            <w:left w:val="none" w:sz="0" w:space="0" w:color="auto"/>
            <w:bottom w:val="none" w:sz="0" w:space="0" w:color="auto"/>
            <w:right w:val="none" w:sz="0" w:space="0" w:color="auto"/>
          </w:divBdr>
        </w:div>
        <w:div w:id="1961180914">
          <w:marLeft w:val="1267"/>
          <w:marRight w:val="0"/>
          <w:marTop w:val="58"/>
          <w:marBottom w:val="0"/>
          <w:divBdr>
            <w:top w:val="none" w:sz="0" w:space="0" w:color="auto"/>
            <w:left w:val="none" w:sz="0" w:space="0" w:color="auto"/>
            <w:bottom w:val="none" w:sz="0" w:space="0" w:color="auto"/>
            <w:right w:val="none" w:sz="0" w:space="0" w:color="auto"/>
          </w:divBdr>
        </w:div>
        <w:div w:id="1065838321">
          <w:marLeft w:val="1267"/>
          <w:marRight w:val="0"/>
          <w:marTop w:val="58"/>
          <w:marBottom w:val="0"/>
          <w:divBdr>
            <w:top w:val="none" w:sz="0" w:space="0" w:color="auto"/>
            <w:left w:val="none" w:sz="0" w:space="0" w:color="auto"/>
            <w:bottom w:val="none" w:sz="0" w:space="0" w:color="auto"/>
            <w:right w:val="none" w:sz="0" w:space="0" w:color="auto"/>
          </w:divBdr>
        </w:div>
        <w:div w:id="1265191632">
          <w:marLeft w:val="979"/>
          <w:marRight w:val="0"/>
          <w:marTop w:val="67"/>
          <w:marBottom w:val="0"/>
          <w:divBdr>
            <w:top w:val="none" w:sz="0" w:space="0" w:color="auto"/>
            <w:left w:val="none" w:sz="0" w:space="0" w:color="auto"/>
            <w:bottom w:val="none" w:sz="0" w:space="0" w:color="auto"/>
            <w:right w:val="none" w:sz="0" w:space="0" w:color="auto"/>
          </w:divBdr>
        </w:div>
        <w:div w:id="1496989107">
          <w:marLeft w:val="1267"/>
          <w:marRight w:val="0"/>
          <w:marTop w:val="58"/>
          <w:marBottom w:val="0"/>
          <w:divBdr>
            <w:top w:val="none" w:sz="0" w:space="0" w:color="auto"/>
            <w:left w:val="none" w:sz="0" w:space="0" w:color="auto"/>
            <w:bottom w:val="none" w:sz="0" w:space="0" w:color="auto"/>
            <w:right w:val="none" w:sz="0" w:space="0" w:color="auto"/>
          </w:divBdr>
        </w:div>
        <w:div w:id="2074085903">
          <w:marLeft w:val="1267"/>
          <w:marRight w:val="0"/>
          <w:marTop w:val="58"/>
          <w:marBottom w:val="0"/>
          <w:divBdr>
            <w:top w:val="none" w:sz="0" w:space="0" w:color="auto"/>
            <w:left w:val="none" w:sz="0" w:space="0" w:color="auto"/>
            <w:bottom w:val="none" w:sz="0" w:space="0" w:color="auto"/>
            <w:right w:val="none" w:sz="0" w:space="0" w:color="auto"/>
          </w:divBdr>
        </w:div>
        <w:div w:id="2016229546">
          <w:marLeft w:val="1267"/>
          <w:marRight w:val="0"/>
          <w:marTop w:val="58"/>
          <w:marBottom w:val="0"/>
          <w:divBdr>
            <w:top w:val="none" w:sz="0" w:space="0" w:color="auto"/>
            <w:left w:val="none" w:sz="0" w:space="0" w:color="auto"/>
            <w:bottom w:val="none" w:sz="0" w:space="0" w:color="auto"/>
            <w:right w:val="none" w:sz="0" w:space="0" w:color="auto"/>
          </w:divBdr>
        </w:div>
        <w:div w:id="897982088">
          <w:marLeft w:val="979"/>
          <w:marRight w:val="0"/>
          <w:marTop w:val="67"/>
          <w:marBottom w:val="0"/>
          <w:divBdr>
            <w:top w:val="none" w:sz="0" w:space="0" w:color="auto"/>
            <w:left w:val="none" w:sz="0" w:space="0" w:color="auto"/>
            <w:bottom w:val="none" w:sz="0" w:space="0" w:color="auto"/>
            <w:right w:val="none" w:sz="0" w:space="0" w:color="auto"/>
          </w:divBdr>
        </w:div>
        <w:div w:id="847141755">
          <w:marLeft w:val="1267"/>
          <w:marRight w:val="0"/>
          <w:marTop w:val="58"/>
          <w:marBottom w:val="0"/>
          <w:divBdr>
            <w:top w:val="none" w:sz="0" w:space="0" w:color="auto"/>
            <w:left w:val="none" w:sz="0" w:space="0" w:color="auto"/>
            <w:bottom w:val="none" w:sz="0" w:space="0" w:color="auto"/>
            <w:right w:val="none" w:sz="0" w:space="0" w:color="auto"/>
          </w:divBdr>
        </w:div>
        <w:div w:id="1850024104">
          <w:marLeft w:val="1267"/>
          <w:marRight w:val="0"/>
          <w:marTop w:val="58"/>
          <w:marBottom w:val="0"/>
          <w:divBdr>
            <w:top w:val="none" w:sz="0" w:space="0" w:color="auto"/>
            <w:left w:val="none" w:sz="0" w:space="0" w:color="auto"/>
            <w:bottom w:val="none" w:sz="0" w:space="0" w:color="auto"/>
            <w:right w:val="none" w:sz="0" w:space="0" w:color="auto"/>
          </w:divBdr>
        </w:div>
        <w:div w:id="1412704413">
          <w:marLeft w:val="1267"/>
          <w:marRight w:val="0"/>
          <w:marTop w:val="58"/>
          <w:marBottom w:val="0"/>
          <w:divBdr>
            <w:top w:val="none" w:sz="0" w:space="0" w:color="auto"/>
            <w:left w:val="none" w:sz="0" w:space="0" w:color="auto"/>
            <w:bottom w:val="none" w:sz="0" w:space="0" w:color="auto"/>
            <w:right w:val="none" w:sz="0" w:space="0" w:color="auto"/>
          </w:divBdr>
        </w:div>
        <w:div w:id="1765833288">
          <w:marLeft w:val="979"/>
          <w:marRight w:val="0"/>
          <w:marTop w:val="67"/>
          <w:marBottom w:val="0"/>
          <w:divBdr>
            <w:top w:val="none" w:sz="0" w:space="0" w:color="auto"/>
            <w:left w:val="none" w:sz="0" w:space="0" w:color="auto"/>
            <w:bottom w:val="none" w:sz="0" w:space="0" w:color="auto"/>
            <w:right w:val="none" w:sz="0" w:space="0" w:color="auto"/>
          </w:divBdr>
        </w:div>
      </w:divsChild>
    </w:div>
    <w:div w:id="1300647150">
      <w:bodyDiv w:val="1"/>
      <w:marLeft w:val="0"/>
      <w:marRight w:val="0"/>
      <w:marTop w:val="0"/>
      <w:marBottom w:val="0"/>
      <w:divBdr>
        <w:top w:val="none" w:sz="0" w:space="0" w:color="auto"/>
        <w:left w:val="none" w:sz="0" w:space="0" w:color="auto"/>
        <w:bottom w:val="none" w:sz="0" w:space="0" w:color="auto"/>
        <w:right w:val="none" w:sz="0" w:space="0" w:color="auto"/>
      </w:divBdr>
    </w:div>
    <w:div w:id="1327397323">
      <w:bodyDiv w:val="1"/>
      <w:marLeft w:val="0"/>
      <w:marRight w:val="0"/>
      <w:marTop w:val="0"/>
      <w:marBottom w:val="0"/>
      <w:divBdr>
        <w:top w:val="none" w:sz="0" w:space="0" w:color="auto"/>
        <w:left w:val="none" w:sz="0" w:space="0" w:color="auto"/>
        <w:bottom w:val="none" w:sz="0" w:space="0" w:color="auto"/>
        <w:right w:val="none" w:sz="0" w:space="0" w:color="auto"/>
      </w:divBdr>
    </w:div>
    <w:div w:id="1327707462">
      <w:bodyDiv w:val="1"/>
      <w:marLeft w:val="0"/>
      <w:marRight w:val="0"/>
      <w:marTop w:val="0"/>
      <w:marBottom w:val="0"/>
      <w:divBdr>
        <w:top w:val="none" w:sz="0" w:space="0" w:color="auto"/>
        <w:left w:val="none" w:sz="0" w:space="0" w:color="auto"/>
        <w:bottom w:val="none" w:sz="0" w:space="0" w:color="auto"/>
        <w:right w:val="none" w:sz="0" w:space="0" w:color="auto"/>
      </w:divBdr>
    </w:div>
    <w:div w:id="1377271716">
      <w:bodyDiv w:val="1"/>
      <w:marLeft w:val="0"/>
      <w:marRight w:val="0"/>
      <w:marTop w:val="0"/>
      <w:marBottom w:val="0"/>
      <w:divBdr>
        <w:top w:val="none" w:sz="0" w:space="0" w:color="auto"/>
        <w:left w:val="none" w:sz="0" w:space="0" w:color="auto"/>
        <w:bottom w:val="none" w:sz="0" w:space="0" w:color="auto"/>
        <w:right w:val="none" w:sz="0" w:space="0" w:color="auto"/>
      </w:divBdr>
      <w:divsChild>
        <w:div w:id="1827935395">
          <w:marLeft w:val="360"/>
          <w:marRight w:val="0"/>
          <w:marTop w:val="200"/>
          <w:marBottom w:val="0"/>
          <w:divBdr>
            <w:top w:val="none" w:sz="0" w:space="0" w:color="auto"/>
            <w:left w:val="none" w:sz="0" w:space="0" w:color="auto"/>
            <w:bottom w:val="none" w:sz="0" w:space="0" w:color="auto"/>
            <w:right w:val="none" w:sz="0" w:space="0" w:color="auto"/>
          </w:divBdr>
        </w:div>
      </w:divsChild>
    </w:div>
    <w:div w:id="1427455573">
      <w:bodyDiv w:val="1"/>
      <w:marLeft w:val="0"/>
      <w:marRight w:val="0"/>
      <w:marTop w:val="0"/>
      <w:marBottom w:val="0"/>
      <w:divBdr>
        <w:top w:val="none" w:sz="0" w:space="0" w:color="auto"/>
        <w:left w:val="none" w:sz="0" w:space="0" w:color="auto"/>
        <w:bottom w:val="none" w:sz="0" w:space="0" w:color="auto"/>
        <w:right w:val="none" w:sz="0" w:space="0" w:color="auto"/>
      </w:divBdr>
    </w:div>
    <w:div w:id="1463963766">
      <w:bodyDiv w:val="1"/>
      <w:marLeft w:val="0"/>
      <w:marRight w:val="0"/>
      <w:marTop w:val="0"/>
      <w:marBottom w:val="0"/>
      <w:divBdr>
        <w:top w:val="none" w:sz="0" w:space="0" w:color="auto"/>
        <w:left w:val="none" w:sz="0" w:space="0" w:color="auto"/>
        <w:bottom w:val="none" w:sz="0" w:space="0" w:color="auto"/>
        <w:right w:val="none" w:sz="0" w:space="0" w:color="auto"/>
      </w:divBdr>
    </w:div>
    <w:div w:id="1467894106">
      <w:bodyDiv w:val="1"/>
      <w:marLeft w:val="0"/>
      <w:marRight w:val="0"/>
      <w:marTop w:val="0"/>
      <w:marBottom w:val="0"/>
      <w:divBdr>
        <w:top w:val="none" w:sz="0" w:space="0" w:color="auto"/>
        <w:left w:val="none" w:sz="0" w:space="0" w:color="auto"/>
        <w:bottom w:val="none" w:sz="0" w:space="0" w:color="auto"/>
        <w:right w:val="none" w:sz="0" w:space="0" w:color="auto"/>
      </w:divBdr>
    </w:div>
    <w:div w:id="1475877305">
      <w:bodyDiv w:val="1"/>
      <w:marLeft w:val="0"/>
      <w:marRight w:val="0"/>
      <w:marTop w:val="0"/>
      <w:marBottom w:val="0"/>
      <w:divBdr>
        <w:top w:val="none" w:sz="0" w:space="0" w:color="auto"/>
        <w:left w:val="none" w:sz="0" w:space="0" w:color="auto"/>
        <w:bottom w:val="none" w:sz="0" w:space="0" w:color="auto"/>
        <w:right w:val="none" w:sz="0" w:space="0" w:color="auto"/>
      </w:divBdr>
      <w:divsChild>
        <w:div w:id="1268076422">
          <w:marLeft w:val="547"/>
          <w:marRight w:val="0"/>
          <w:marTop w:val="115"/>
          <w:marBottom w:val="0"/>
          <w:divBdr>
            <w:top w:val="none" w:sz="0" w:space="0" w:color="auto"/>
            <w:left w:val="none" w:sz="0" w:space="0" w:color="auto"/>
            <w:bottom w:val="none" w:sz="0" w:space="0" w:color="auto"/>
            <w:right w:val="none" w:sz="0" w:space="0" w:color="auto"/>
          </w:divBdr>
        </w:div>
      </w:divsChild>
    </w:div>
    <w:div w:id="1477531534">
      <w:bodyDiv w:val="1"/>
      <w:marLeft w:val="0"/>
      <w:marRight w:val="0"/>
      <w:marTop w:val="0"/>
      <w:marBottom w:val="0"/>
      <w:divBdr>
        <w:top w:val="none" w:sz="0" w:space="0" w:color="auto"/>
        <w:left w:val="none" w:sz="0" w:space="0" w:color="auto"/>
        <w:bottom w:val="none" w:sz="0" w:space="0" w:color="auto"/>
        <w:right w:val="none" w:sz="0" w:space="0" w:color="auto"/>
      </w:divBdr>
    </w:div>
    <w:div w:id="1494174827">
      <w:bodyDiv w:val="1"/>
      <w:marLeft w:val="0"/>
      <w:marRight w:val="0"/>
      <w:marTop w:val="0"/>
      <w:marBottom w:val="0"/>
      <w:divBdr>
        <w:top w:val="none" w:sz="0" w:space="0" w:color="auto"/>
        <w:left w:val="none" w:sz="0" w:space="0" w:color="auto"/>
        <w:bottom w:val="none" w:sz="0" w:space="0" w:color="auto"/>
        <w:right w:val="none" w:sz="0" w:space="0" w:color="auto"/>
      </w:divBdr>
    </w:div>
    <w:div w:id="1501123117">
      <w:bodyDiv w:val="1"/>
      <w:marLeft w:val="0"/>
      <w:marRight w:val="0"/>
      <w:marTop w:val="0"/>
      <w:marBottom w:val="0"/>
      <w:divBdr>
        <w:top w:val="none" w:sz="0" w:space="0" w:color="auto"/>
        <w:left w:val="none" w:sz="0" w:space="0" w:color="auto"/>
        <w:bottom w:val="none" w:sz="0" w:space="0" w:color="auto"/>
        <w:right w:val="none" w:sz="0" w:space="0" w:color="auto"/>
      </w:divBdr>
    </w:div>
    <w:div w:id="1507134641">
      <w:bodyDiv w:val="1"/>
      <w:marLeft w:val="0"/>
      <w:marRight w:val="0"/>
      <w:marTop w:val="0"/>
      <w:marBottom w:val="0"/>
      <w:divBdr>
        <w:top w:val="none" w:sz="0" w:space="0" w:color="auto"/>
        <w:left w:val="none" w:sz="0" w:space="0" w:color="auto"/>
        <w:bottom w:val="none" w:sz="0" w:space="0" w:color="auto"/>
        <w:right w:val="none" w:sz="0" w:space="0" w:color="auto"/>
      </w:divBdr>
    </w:div>
    <w:div w:id="1515612092">
      <w:bodyDiv w:val="1"/>
      <w:marLeft w:val="0"/>
      <w:marRight w:val="0"/>
      <w:marTop w:val="0"/>
      <w:marBottom w:val="0"/>
      <w:divBdr>
        <w:top w:val="none" w:sz="0" w:space="0" w:color="auto"/>
        <w:left w:val="none" w:sz="0" w:space="0" w:color="auto"/>
        <w:bottom w:val="none" w:sz="0" w:space="0" w:color="auto"/>
        <w:right w:val="none" w:sz="0" w:space="0" w:color="auto"/>
      </w:divBdr>
    </w:div>
    <w:div w:id="1531455189">
      <w:bodyDiv w:val="1"/>
      <w:marLeft w:val="0"/>
      <w:marRight w:val="0"/>
      <w:marTop w:val="0"/>
      <w:marBottom w:val="0"/>
      <w:divBdr>
        <w:top w:val="none" w:sz="0" w:space="0" w:color="auto"/>
        <w:left w:val="none" w:sz="0" w:space="0" w:color="auto"/>
        <w:bottom w:val="none" w:sz="0" w:space="0" w:color="auto"/>
        <w:right w:val="none" w:sz="0" w:space="0" w:color="auto"/>
      </w:divBdr>
      <w:divsChild>
        <w:div w:id="39286142">
          <w:marLeft w:val="274"/>
          <w:marRight w:val="0"/>
          <w:marTop w:val="0"/>
          <w:marBottom w:val="0"/>
          <w:divBdr>
            <w:top w:val="none" w:sz="0" w:space="0" w:color="auto"/>
            <w:left w:val="none" w:sz="0" w:space="0" w:color="auto"/>
            <w:bottom w:val="none" w:sz="0" w:space="0" w:color="auto"/>
            <w:right w:val="none" w:sz="0" w:space="0" w:color="auto"/>
          </w:divBdr>
        </w:div>
        <w:div w:id="44068773">
          <w:marLeft w:val="274"/>
          <w:marRight w:val="0"/>
          <w:marTop w:val="0"/>
          <w:marBottom w:val="0"/>
          <w:divBdr>
            <w:top w:val="none" w:sz="0" w:space="0" w:color="auto"/>
            <w:left w:val="none" w:sz="0" w:space="0" w:color="auto"/>
            <w:bottom w:val="none" w:sz="0" w:space="0" w:color="auto"/>
            <w:right w:val="none" w:sz="0" w:space="0" w:color="auto"/>
          </w:divBdr>
        </w:div>
        <w:div w:id="1406805944">
          <w:marLeft w:val="274"/>
          <w:marRight w:val="0"/>
          <w:marTop w:val="0"/>
          <w:marBottom w:val="0"/>
          <w:divBdr>
            <w:top w:val="none" w:sz="0" w:space="0" w:color="auto"/>
            <w:left w:val="none" w:sz="0" w:space="0" w:color="auto"/>
            <w:bottom w:val="none" w:sz="0" w:space="0" w:color="auto"/>
            <w:right w:val="none" w:sz="0" w:space="0" w:color="auto"/>
          </w:divBdr>
        </w:div>
        <w:div w:id="1593658671">
          <w:marLeft w:val="274"/>
          <w:marRight w:val="0"/>
          <w:marTop w:val="0"/>
          <w:marBottom w:val="0"/>
          <w:divBdr>
            <w:top w:val="none" w:sz="0" w:space="0" w:color="auto"/>
            <w:left w:val="none" w:sz="0" w:space="0" w:color="auto"/>
            <w:bottom w:val="none" w:sz="0" w:space="0" w:color="auto"/>
            <w:right w:val="none" w:sz="0" w:space="0" w:color="auto"/>
          </w:divBdr>
        </w:div>
        <w:div w:id="1662854789">
          <w:marLeft w:val="274"/>
          <w:marRight w:val="0"/>
          <w:marTop w:val="0"/>
          <w:marBottom w:val="0"/>
          <w:divBdr>
            <w:top w:val="none" w:sz="0" w:space="0" w:color="auto"/>
            <w:left w:val="none" w:sz="0" w:space="0" w:color="auto"/>
            <w:bottom w:val="none" w:sz="0" w:space="0" w:color="auto"/>
            <w:right w:val="none" w:sz="0" w:space="0" w:color="auto"/>
          </w:divBdr>
        </w:div>
        <w:div w:id="1891651056">
          <w:marLeft w:val="274"/>
          <w:marRight w:val="0"/>
          <w:marTop w:val="0"/>
          <w:marBottom w:val="0"/>
          <w:divBdr>
            <w:top w:val="none" w:sz="0" w:space="0" w:color="auto"/>
            <w:left w:val="none" w:sz="0" w:space="0" w:color="auto"/>
            <w:bottom w:val="none" w:sz="0" w:space="0" w:color="auto"/>
            <w:right w:val="none" w:sz="0" w:space="0" w:color="auto"/>
          </w:divBdr>
        </w:div>
      </w:divsChild>
    </w:div>
    <w:div w:id="1557888034">
      <w:bodyDiv w:val="1"/>
      <w:marLeft w:val="0"/>
      <w:marRight w:val="0"/>
      <w:marTop w:val="0"/>
      <w:marBottom w:val="0"/>
      <w:divBdr>
        <w:top w:val="none" w:sz="0" w:space="0" w:color="auto"/>
        <w:left w:val="none" w:sz="0" w:space="0" w:color="auto"/>
        <w:bottom w:val="none" w:sz="0" w:space="0" w:color="auto"/>
        <w:right w:val="none" w:sz="0" w:space="0" w:color="auto"/>
      </w:divBdr>
    </w:div>
    <w:div w:id="1568884019">
      <w:bodyDiv w:val="1"/>
      <w:marLeft w:val="0"/>
      <w:marRight w:val="0"/>
      <w:marTop w:val="0"/>
      <w:marBottom w:val="0"/>
      <w:divBdr>
        <w:top w:val="none" w:sz="0" w:space="0" w:color="auto"/>
        <w:left w:val="none" w:sz="0" w:space="0" w:color="auto"/>
        <w:bottom w:val="none" w:sz="0" w:space="0" w:color="auto"/>
        <w:right w:val="none" w:sz="0" w:space="0" w:color="auto"/>
      </w:divBdr>
      <w:divsChild>
        <w:div w:id="1320037845">
          <w:marLeft w:val="547"/>
          <w:marRight w:val="0"/>
          <w:marTop w:val="0"/>
          <w:marBottom w:val="0"/>
          <w:divBdr>
            <w:top w:val="none" w:sz="0" w:space="0" w:color="auto"/>
            <w:left w:val="none" w:sz="0" w:space="0" w:color="auto"/>
            <w:bottom w:val="none" w:sz="0" w:space="0" w:color="auto"/>
            <w:right w:val="none" w:sz="0" w:space="0" w:color="auto"/>
          </w:divBdr>
        </w:div>
      </w:divsChild>
    </w:div>
    <w:div w:id="1577133169">
      <w:bodyDiv w:val="1"/>
      <w:marLeft w:val="0"/>
      <w:marRight w:val="0"/>
      <w:marTop w:val="0"/>
      <w:marBottom w:val="0"/>
      <w:divBdr>
        <w:top w:val="none" w:sz="0" w:space="0" w:color="auto"/>
        <w:left w:val="none" w:sz="0" w:space="0" w:color="auto"/>
        <w:bottom w:val="none" w:sz="0" w:space="0" w:color="auto"/>
        <w:right w:val="none" w:sz="0" w:space="0" w:color="auto"/>
      </w:divBdr>
      <w:divsChild>
        <w:div w:id="1281300464">
          <w:marLeft w:val="706"/>
          <w:marRight w:val="0"/>
          <w:marTop w:val="77"/>
          <w:marBottom w:val="0"/>
          <w:divBdr>
            <w:top w:val="none" w:sz="0" w:space="0" w:color="auto"/>
            <w:left w:val="none" w:sz="0" w:space="0" w:color="auto"/>
            <w:bottom w:val="none" w:sz="0" w:space="0" w:color="auto"/>
            <w:right w:val="none" w:sz="0" w:space="0" w:color="auto"/>
          </w:divBdr>
        </w:div>
        <w:div w:id="1473523374">
          <w:marLeft w:val="979"/>
          <w:marRight w:val="0"/>
          <w:marTop w:val="67"/>
          <w:marBottom w:val="0"/>
          <w:divBdr>
            <w:top w:val="none" w:sz="0" w:space="0" w:color="auto"/>
            <w:left w:val="none" w:sz="0" w:space="0" w:color="auto"/>
            <w:bottom w:val="none" w:sz="0" w:space="0" w:color="auto"/>
            <w:right w:val="none" w:sz="0" w:space="0" w:color="auto"/>
          </w:divBdr>
        </w:div>
        <w:div w:id="1307735975">
          <w:marLeft w:val="1267"/>
          <w:marRight w:val="0"/>
          <w:marTop w:val="58"/>
          <w:marBottom w:val="0"/>
          <w:divBdr>
            <w:top w:val="none" w:sz="0" w:space="0" w:color="auto"/>
            <w:left w:val="none" w:sz="0" w:space="0" w:color="auto"/>
            <w:bottom w:val="none" w:sz="0" w:space="0" w:color="auto"/>
            <w:right w:val="none" w:sz="0" w:space="0" w:color="auto"/>
          </w:divBdr>
        </w:div>
        <w:div w:id="1703240364">
          <w:marLeft w:val="1267"/>
          <w:marRight w:val="0"/>
          <w:marTop w:val="58"/>
          <w:marBottom w:val="0"/>
          <w:divBdr>
            <w:top w:val="none" w:sz="0" w:space="0" w:color="auto"/>
            <w:left w:val="none" w:sz="0" w:space="0" w:color="auto"/>
            <w:bottom w:val="none" w:sz="0" w:space="0" w:color="auto"/>
            <w:right w:val="none" w:sz="0" w:space="0" w:color="auto"/>
          </w:divBdr>
        </w:div>
        <w:div w:id="1473864463">
          <w:marLeft w:val="1267"/>
          <w:marRight w:val="0"/>
          <w:marTop w:val="58"/>
          <w:marBottom w:val="0"/>
          <w:divBdr>
            <w:top w:val="none" w:sz="0" w:space="0" w:color="auto"/>
            <w:left w:val="none" w:sz="0" w:space="0" w:color="auto"/>
            <w:bottom w:val="none" w:sz="0" w:space="0" w:color="auto"/>
            <w:right w:val="none" w:sz="0" w:space="0" w:color="auto"/>
          </w:divBdr>
        </w:div>
        <w:div w:id="682241717">
          <w:marLeft w:val="979"/>
          <w:marRight w:val="0"/>
          <w:marTop w:val="67"/>
          <w:marBottom w:val="0"/>
          <w:divBdr>
            <w:top w:val="none" w:sz="0" w:space="0" w:color="auto"/>
            <w:left w:val="none" w:sz="0" w:space="0" w:color="auto"/>
            <w:bottom w:val="none" w:sz="0" w:space="0" w:color="auto"/>
            <w:right w:val="none" w:sz="0" w:space="0" w:color="auto"/>
          </w:divBdr>
        </w:div>
        <w:div w:id="1828743710">
          <w:marLeft w:val="1267"/>
          <w:marRight w:val="0"/>
          <w:marTop w:val="58"/>
          <w:marBottom w:val="0"/>
          <w:divBdr>
            <w:top w:val="none" w:sz="0" w:space="0" w:color="auto"/>
            <w:left w:val="none" w:sz="0" w:space="0" w:color="auto"/>
            <w:bottom w:val="none" w:sz="0" w:space="0" w:color="auto"/>
            <w:right w:val="none" w:sz="0" w:space="0" w:color="auto"/>
          </w:divBdr>
        </w:div>
        <w:div w:id="450365406">
          <w:marLeft w:val="1267"/>
          <w:marRight w:val="0"/>
          <w:marTop w:val="58"/>
          <w:marBottom w:val="0"/>
          <w:divBdr>
            <w:top w:val="none" w:sz="0" w:space="0" w:color="auto"/>
            <w:left w:val="none" w:sz="0" w:space="0" w:color="auto"/>
            <w:bottom w:val="none" w:sz="0" w:space="0" w:color="auto"/>
            <w:right w:val="none" w:sz="0" w:space="0" w:color="auto"/>
          </w:divBdr>
        </w:div>
        <w:div w:id="1986737496">
          <w:marLeft w:val="1267"/>
          <w:marRight w:val="0"/>
          <w:marTop w:val="58"/>
          <w:marBottom w:val="0"/>
          <w:divBdr>
            <w:top w:val="none" w:sz="0" w:space="0" w:color="auto"/>
            <w:left w:val="none" w:sz="0" w:space="0" w:color="auto"/>
            <w:bottom w:val="none" w:sz="0" w:space="0" w:color="auto"/>
            <w:right w:val="none" w:sz="0" w:space="0" w:color="auto"/>
          </w:divBdr>
        </w:div>
        <w:div w:id="1284309542">
          <w:marLeft w:val="979"/>
          <w:marRight w:val="0"/>
          <w:marTop w:val="67"/>
          <w:marBottom w:val="0"/>
          <w:divBdr>
            <w:top w:val="none" w:sz="0" w:space="0" w:color="auto"/>
            <w:left w:val="none" w:sz="0" w:space="0" w:color="auto"/>
            <w:bottom w:val="none" w:sz="0" w:space="0" w:color="auto"/>
            <w:right w:val="none" w:sz="0" w:space="0" w:color="auto"/>
          </w:divBdr>
        </w:div>
        <w:div w:id="206914904">
          <w:marLeft w:val="1267"/>
          <w:marRight w:val="0"/>
          <w:marTop w:val="58"/>
          <w:marBottom w:val="0"/>
          <w:divBdr>
            <w:top w:val="none" w:sz="0" w:space="0" w:color="auto"/>
            <w:left w:val="none" w:sz="0" w:space="0" w:color="auto"/>
            <w:bottom w:val="none" w:sz="0" w:space="0" w:color="auto"/>
            <w:right w:val="none" w:sz="0" w:space="0" w:color="auto"/>
          </w:divBdr>
        </w:div>
        <w:div w:id="1632595668">
          <w:marLeft w:val="1267"/>
          <w:marRight w:val="0"/>
          <w:marTop w:val="58"/>
          <w:marBottom w:val="0"/>
          <w:divBdr>
            <w:top w:val="none" w:sz="0" w:space="0" w:color="auto"/>
            <w:left w:val="none" w:sz="0" w:space="0" w:color="auto"/>
            <w:bottom w:val="none" w:sz="0" w:space="0" w:color="auto"/>
            <w:right w:val="none" w:sz="0" w:space="0" w:color="auto"/>
          </w:divBdr>
        </w:div>
        <w:div w:id="990523276">
          <w:marLeft w:val="1267"/>
          <w:marRight w:val="0"/>
          <w:marTop w:val="58"/>
          <w:marBottom w:val="0"/>
          <w:divBdr>
            <w:top w:val="none" w:sz="0" w:space="0" w:color="auto"/>
            <w:left w:val="none" w:sz="0" w:space="0" w:color="auto"/>
            <w:bottom w:val="none" w:sz="0" w:space="0" w:color="auto"/>
            <w:right w:val="none" w:sz="0" w:space="0" w:color="auto"/>
          </w:divBdr>
        </w:div>
        <w:div w:id="1013068839">
          <w:marLeft w:val="979"/>
          <w:marRight w:val="0"/>
          <w:marTop w:val="67"/>
          <w:marBottom w:val="0"/>
          <w:divBdr>
            <w:top w:val="none" w:sz="0" w:space="0" w:color="auto"/>
            <w:left w:val="none" w:sz="0" w:space="0" w:color="auto"/>
            <w:bottom w:val="none" w:sz="0" w:space="0" w:color="auto"/>
            <w:right w:val="none" w:sz="0" w:space="0" w:color="auto"/>
          </w:divBdr>
        </w:div>
      </w:divsChild>
    </w:div>
    <w:div w:id="1598561723">
      <w:bodyDiv w:val="1"/>
      <w:marLeft w:val="0"/>
      <w:marRight w:val="0"/>
      <w:marTop w:val="0"/>
      <w:marBottom w:val="0"/>
      <w:divBdr>
        <w:top w:val="none" w:sz="0" w:space="0" w:color="auto"/>
        <w:left w:val="none" w:sz="0" w:space="0" w:color="auto"/>
        <w:bottom w:val="none" w:sz="0" w:space="0" w:color="auto"/>
        <w:right w:val="none" w:sz="0" w:space="0" w:color="auto"/>
      </w:divBdr>
    </w:div>
    <w:div w:id="1605654879">
      <w:bodyDiv w:val="1"/>
      <w:marLeft w:val="0"/>
      <w:marRight w:val="0"/>
      <w:marTop w:val="0"/>
      <w:marBottom w:val="0"/>
      <w:divBdr>
        <w:top w:val="none" w:sz="0" w:space="0" w:color="auto"/>
        <w:left w:val="none" w:sz="0" w:space="0" w:color="auto"/>
        <w:bottom w:val="none" w:sz="0" w:space="0" w:color="auto"/>
        <w:right w:val="none" w:sz="0" w:space="0" w:color="auto"/>
      </w:divBdr>
    </w:div>
    <w:div w:id="1620146414">
      <w:bodyDiv w:val="1"/>
      <w:marLeft w:val="0"/>
      <w:marRight w:val="0"/>
      <w:marTop w:val="0"/>
      <w:marBottom w:val="0"/>
      <w:divBdr>
        <w:top w:val="none" w:sz="0" w:space="0" w:color="auto"/>
        <w:left w:val="none" w:sz="0" w:space="0" w:color="auto"/>
        <w:bottom w:val="none" w:sz="0" w:space="0" w:color="auto"/>
        <w:right w:val="none" w:sz="0" w:space="0" w:color="auto"/>
      </w:divBdr>
      <w:divsChild>
        <w:div w:id="268438830">
          <w:marLeft w:val="274"/>
          <w:marRight w:val="0"/>
          <w:marTop w:val="0"/>
          <w:marBottom w:val="0"/>
          <w:divBdr>
            <w:top w:val="none" w:sz="0" w:space="0" w:color="auto"/>
            <w:left w:val="none" w:sz="0" w:space="0" w:color="auto"/>
            <w:bottom w:val="none" w:sz="0" w:space="0" w:color="auto"/>
            <w:right w:val="none" w:sz="0" w:space="0" w:color="auto"/>
          </w:divBdr>
        </w:div>
        <w:div w:id="1152209256">
          <w:marLeft w:val="274"/>
          <w:marRight w:val="0"/>
          <w:marTop w:val="0"/>
          <w:marBottom w:val="0"/>
          <w:divBdr>
            <w:top w:val="none" w:sz="0" w:space="0" w:color="auto"/>
            <w:left w:val="none" w:sz="0" w:space="0" w:color="auto"/>
            <w:bottom w:val="none" w:sz="0" w:space="0" w:color="auto"/>
            <w:right w:val="none" w:sz="0" w:space="0" w:color="auto"/>
          </w:divBdr>
        </w:div>
        <w:div w:id="1349023822">
          <w:marLeft w:val="274"/>
          <w:marRight w:val="0"/>
          <w:marTop w:val="0"/>
          <w:marBottom w:val="0"/>
          <w:divBdr>
            <w:top w:val="none" w:sz="0" w:space="0" w:color="auto"/>
            <w:left w:val="none" w:sz="0" w:space="0" w:color="auto"/>
            <w:bottom w:val="none" w:sz="0" w:space="0" w:color="auto"/>
            <w:right w:val="none" w:sz="0" w:space="0" w:color="auto"/>
          </w:divBdr>
        </w:div>
        <w:div w:id="1411537431">
          <w:marLeft w:val="274"/>
          <w:marRight w:val="0"/>
          <w:marTop w:val="0"/>
          <w:marBottom w:val="0"/>
          <w:divBdr>
            <w:top w:val="none" w:sz="0" w:space="0" w:color="auto"/>
            <w:left w:val="none" w:sz="0" w:space="0" w:color="auto"/>
            <w:bottom w:val="none" w:sz="0" w:space="0" w:color="auto"/>
            <w:right w:val="none" w:sz="0" w:space="0" w:color="auto"/>
          </w:divBdr>
        </w:div>
        <w:div w:id="1869952320">
          <w:marLeft w:val="274"/>
          <w:marRight w:val="0"/>
          <w:marTop w:val="0"/>
          <w:marBottom w:val="0"/>
          <w:divBdr>
            <w:top w:val="none" w:sz="0" w:space="0" w:color="auto"/>
            <w:left w:val="none" w:sz="0" w:space="0" w:color="auto"/>
            <w:bottom w:val="none" w:sz="0" w:space="0" w:color="auto"/>
            <w:right w:val="none" w:sz="0" w:space="0" w:color="auto"/>
          </w:divBdr>
        </w:div>
        <w:div w:id="1897857386">
          <w:marLeft w:val="274"/>
          <w:marRight w:val="0"/>
          <w:marTop w:val="0"/>
          <w:marBottom w:val="0"/>
          <w:divBdr>
            <w:top w:val="none" w:sz="0" w:space="0" w:color="auto"/>
            <w:left w:val="none" w:sz="0" w:space="0" w:color="auto"/>
            <w:bottom w:val="none" w:sz="0" w:space="0" w:color="auto"/>
            <w:right w:val="none" w:sz="0" w:space="0" w:color="auto"/>
          </w:divBdr>
        </w:div>
      </w:divsChild>
    </w:div>
    <w:div w:id="1642999434">
      <w:bodyDiv w:val="1"/>
      <w:marLeft w:val="0"/>
      <w:marRight w:val="0"/>
      <w:marTop w:val="0"/>
      <w:marBottom w:val="0"/>
      <w:divBdr>
        <w:top w:val="none" w:sz="0" w:space="0" w:color="auto"/>
        <w:left w:val="none" w:sz="0" w:space="0" w:color="auto"/>
        <w:bottom w:val="none" w:sz="0" w:space="0" w:color="auto"/>
        <w:right w:val="none" w:sz="0" w:space="0" w:color="auto"/>
      </w:divBdr>
    </w:div>
    <w:div w:id="1659189396">
      <w:bodyDiv w:val="1"/>
      <w:marLeft w:val="0"/>
      <w:marRight w:val="0"/>
      <w:marTop w:val="0"/>
      <w:marBottom w:val="0"/>
      <w:divBdr>
        <w:top w:val="none" w:sz="0" w:space="0" w:color="auto"/>
        <w:left w:val="none" w:sz="0" w:space="0" w:color="auto"/>
        <w:bottom w:val="none" w:sz="0" w:space="0" w:color="auto"/>
        <w:right w:val="none" w:sz="0" w:space="0" w:color="auto"/>
      </w:divBdr>
    </w:div>
    <w:div w:id="1686635064">
      <w:bodyDiv w:val="1"/>
      <w:marLeft w:val="0"/>
      <w:marRight w:val="0"/>
      <w:marTop w:val="0"/>
      <w:marBottom w:val="0"/>
      <w:divBdr>
        <w:top w:val="none" w:sz="0" w:space="0" w:color="auto"/>
        <w:left w:val="none" w:sz="0" w:space="0" w:color="auto"/>
        <w:bottom w:val="none" w:sz="0" w:space="0" w:color="auto"/>
        <w:right w:val="none" w:sz="0" w:space="0" w:color="auto"/>
      </w:divBdr>
    </w:div>
    <w:div w:id="1692217438">
      <w:bodyDiv w:val="1"/>
      <w:marLeft w:val="0"/>
      <w:marRight w:val="0"/>
      <w:marTop w:val="0"/>
      <w:marBottom w:val="0"/>
      <w:divBdr>
        <w:top w:val="none" w:sz="0" w:space="0" w:color="auto"/>
        <w:left w:val="none" w:sz="0" w:space="0" w:color="auto"/>
        <w:bottom w:val="none" w:sz="0" w:space="0" w:color="auto"/>
        <w:right w:val="none" w:sz="0" w:space="0" w:color="auto"/>
      </w:divBdr>
    </w:div>
    <w:div w:id="1695109161">
      <w:bodyDiv w:val="1"/>
      <w:marLeft w:val="0"/>
      <w:marRight w:val="0"/>
      <w:marTop w:val="0"/>
      <w:marBottom w:val="0"/>
      <w:divBdr>
        <w:top w:val="none" w:sz="0" w:space="0" w:color="auto"/>
        <w:left w:val="none" w:sz="0" w:space="0" w:color="auto"/>
        <w:bottom w:val="none" w:sz="0" w:space="0" w:color="auto"/>
        <w:right w:val="none" w:sz="0" w:space="0" w:color="auto"/>
      </w:divBdr>
    </w:div>
    <w:div w:id="1720324352">
      <w:bodyDiv w:val="1"/>
      <w:marLeft w:val="0"/>
      <w:marRight w:val="0"/>
      <w:marTop w:val="0"/>
      <w:marBottom w:val="0"/>
      <w:divBdr>
        <w:top w:val="none" w:sz="0" w:space="0" w:color="auto"/>
        <w:left w:val="none" w:sz="0" w:space="0" w:color="auto"/>
        <w:bottom w:val="none" w:sz="0" w:space="0" w:color="auto"/>
        <w:right w:val="none" w:sz="0" w:space="0" w:color="auto"/>
      </w:divBdr>
      <w:divsChild>
        <w:div w:id="880626973">
          <w:marLeft w:val="547"/>
          <w:marRight w:val="0"/>
          <w:marTop w:val="115"/>
          <w:marBottom w:val="0"/>
          <w:divBdr>
            <w:top w:val="none" w:sz="0" w:space="0" w:color="auto"/>
            <w:left w:val="none" w:sz="0" w:space="0" w:color="auto"/>
            <w:bottom w:val="none" w:sz="0" w:space="0" w:color="auto"/>
            <w:right w:val="none" w:sz="0" w:space="0" w:color="auto"/>
          </w:divBdr>
        </w:div>
      </w:divsChild>
    </w:div>
    <w:div w:id="1735470598">
      <w:bodyDiv w:val="1"/>
      <w:marLeft w:val="0"/>
      <w:marRight w:val="0"/>
      <w:marTop w:val="0"/>
      <w:marBottom w:val="0"/>
      <w:divBdr>
        <w:top w:val="none" w:sz="0" w:space="0" w:color="auto"/>
        <w:left w:val="none" w:sz="0" w:space="0" w:color="auto"/>
        <w:bottom w:val="none" w:sz="0" w:space="0" w:color="auto"/>
        <w:right w:val="none" w:sz="0" w:space="0" w:color="auto"/>
      </w:divBdr>
    </w:div>
    <w:div w:id="1758867595">
      <w:bodyDiv w:val="1"/>
      <w:marLeft w:val="0"/>
      <w:marRight w:val="0"/>
      <w:marTop w:val="0"/>
      <w:marBottom w:val="0"/>
      <w:divBdr>
        <w:top w:val="none" w:sz="0" w:space="0" w:color="auto"/>
        <w:left w:val="none" w:sz="0" w:space="0" w:color="auto"/>
        <w:bottom w:val="none" w:sz="0" w:space="0" w:color="auto"/>
        <w:right w:val="none" w:sz="0" w:space="0" w:color="auto"/>
      </w:divBdr>
    </w:div>
    <w:div w:id="1777484273">
      <w:bodyDiv w:val="1"/>
      <w:marLeft w:val="0"/>
      <w:marRight w:val="0"/>
      <w:marTop w:val="0"/>
      <w:marBottom w:val="0"/>
      <w:divBdr>
        <w:top w:val="none" w:sz="0" w:space="0" w:color="auto"/>
        <w:left w:val="none" w:sz="0" w:space="0" w:color="auto"/>
        <w:bottom w:val="none" w:sz="0" w:space="0" w:color="auto"/>
        <w:right w:val="none" w:sz="0" w:space="0" w:color="auto"/>
      </w:divBdr>
    </w:div>
    <w:div w:id="1814178125">
      <w:bodyDiv w:val="1"/>
      <w:marLeft w:val="0"/>
      <w:marRight w:val="0"/>
      <w:marTop w:val="0"/>
      <w:marBottom w:val="0"/>
      <w:divBdr>
        <w:top w:val="none" w:sz="0" w:space="0" w:color="auto"/>
        <w:left w:val="none" w:sz="0" w:space="0" w:color="auto"/>
        <w:bottom w:val="none" w:sz="0" w:space="0" w:color="auto"/>
        <w:right w:val="none" w:sz="0" w:space="0" w:color="auto"/>
      </w:divBdr>
    </w:div>
    <w:div w:id="1828587596">
      <w:bodyDiv w:val="1"/>
      <w:marLeft w:val="0"/>
      <w:marRight w:val="0"/>
      <w:marTop w:val="0"/>
      <w:marBottom w:val="0"/>
      <w:divBdr>
        <w:top w:val="none" w:sz="0" w:space="0" w:color="auto"/>
        <w:left w:val="none" w:sz="0" w:space="0" w:color="auto"/>
        <w:bottom w:val="none" w:sz="0" w:space="0" w:color="auto"/>
        <w:right w:val="none" w:sz="0" w:space="0" w:color="auto"/>
      </w:divBdr>
      <w:divsChild>
        <w:div w:id="951933511">
          <w:marLeft w:val="1166"/>
          <w:marRight w:val="0"/>
          <w:marTop w:val="91"/>
          <w:marBottom w:val="0"/>
          <w:divBdr>
            <w:top w:val="none" w:sz="0" w:space="0" w:color="auto"/>
            <w:left w:val="none" w:sz="0" w:space="0" w:color="auto"/>
            <w:bottom w:val="none" w:sz="0" w:space="0" w:color="auto"/>
            <w:right w:val="none" w:sz="0" w:space="0" w:color="auto"/>
          </w:divBdr>
        </w:div>
        <w:div w:id="1293288961">
          <w:marLeft w:val="1800"/>
          <w:marRight w:val="0"/>
          <w:marTop w:val="82"/>
          <w:marBottom w:val="0"/>
          <w:divBdr>
            <w:top w:val="none" w:sz="0" w:space="0" w:color="auto"/>
            <w:left w:val="none" w:sz="0" w:space="0" w:color="auto"/>
            <w:bottom w:val="none" w:sz="0" w:space="0" w:color="auto"/>
            <w:right w:val="none" w:sz="0" w:space="0" w:color="auto"/>
          </w:divBdr>
        </w:div>
        <w:div w:id="536040912">
          <w:marLeft w:val="1800"/>
          <w:marRight w:val="0"/>
          <w:marTop w:val="82"/>
          <w:marBottom w:val="0"/>
          <w:divBdr>
            <w:top w:val="none" w:sz="0" w:space="0" w:color="auto"/>
            <w:left w:val="none" w:sz="0" w:space="0" w:color="auto"/>
            <w:bottom w:val="none" w:sz="0" w:space="0" w:color="auto"/>
            <w:right w:val="none" w:sz="0" w:space="0" w:color="auto"/>
          </w:divBdr>
        </w:div>
        <w:div w:id="1595430504">
          <w:marLeft w:val="1800"/>
          <w:marRight w:val="0"/>
          <w:marTop w:val="82"/>
          <w:marBottom w:val="0"/>
          <w:divBdr>
            <w:top w:val="none" w:sz="0" w:space="0" w:color="auto"/>
            <w:left w:val="none" w:sz="0" w:space="0" w:color="auto"/>
            <w:bottom w:val="none" w:sz="0" w:space="0" w:color="auto"/>
            <w:right w:val="none" w:sz="0" w:space="0" w:color="auto"/>
          </w:divBdr>
        </w:div>
      </w:divsChild>
    </w:div>
    <w:div w:id="1850364532">
      <w:bodyDiv w:val="1"/>
      <w:marLeft w:val="0"/>
      <w:marRight w:val="0"/>
      <w:marTop w:val="0"/>
      <w:marBottom w:val="0"/>
      <w:divBdr>
        <w:top w:val="none" w:sz="0" w:space="0" w:color="auto"/>
        <w:left w:val="none" w:sz="0" w:space="0" w:color="auto"/>
        <w:bottom w:val="none" w:sz="0" w:space="0" w:color="auto"/>
        <w:right w:val="none" w:sz="0" w:space="0" w:color="auto"/>
      </w:divBdr>
    </w:div>
    <w:div w:id="1872569243">
      <w:bodyDiv w:val="1"/>
      <w:marLeft w:val="0"/>
      <w:marRight w:val="0"/>
      <w:marTop w:val="0"/>
      <w:marBottom w:val="0"/>
      <w:divBdr>
        <w:top w:val="none" w:sz="0" w:space="0" w:color="auto"/>
        <w:left w:val="none" w:sz="0" w:space="0" w:color="auto"/>
        <w:bottom w:val="none" w:sz="0" w:space="0" w:color="auto"/>
        <w:right w:val="none" w:sz="0" w:space="0" w:color="auto"/>
      </w:divBdr>
    </w:div>
    <w:div w:id="1874532302">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6">
          <w:marLeft w:val="274"/>
          <w:marRight w:val="0"/>
          <w:marTop w:val="0"/>
          <w:marBottom w:val="0"/>
          <w:divBdr>
            <w:top w:val="none" w:sz="0" w:space="0" w:color="auto"/>
            <w:left w:val="none" w:sz="0" w:space="0" w:color="auto"/>
            <w:bottom w:val="none" w:sz="0" w:space="0" w:color="auto"/>
            <w:right w:val="none" w:sz="0" w:space="0" w:color="auto"/>
          </w:divBdr>
        </w:div>
        <w:div w:id="1435785857">
          <w:marLeft w:val="274"/>
          <w:marRight w:val="0"/>
          <w:marTop w:val="0"/>
          <w:marBottom w:val="0"/>
          <w:divBdr>
            <w:top w:val="none" w:sz="0" w:space="0" w:color="auto"/>
            <w:left w:val="none" w:sz="0" w:space="0" w:color="auto"/>
            <w:bottom w:val="none" w:sz="0" w:space="0" w:color="auto"/>
            <w:right w:val="none" w:sz="0" w:space="0" w:color="auto"/>
          </w:divBdr>
        </w:div>
        <w:div w:id="1763792732">
          <w:marLeft w:val="274"/>
          <w:marRight w:val="0"/>
          <w:marTop w:val="0"/>
          <w:marBottom w:val="0"/>
          <w:divBdr>
            <w:top w:val="none" w:sz="0" w:space="0" w:color="auto"/>
            <w:left w:val="none" w:sz="0" w:space="0" w:color="auto"/>
            <w:bottom w:val="none" w:sz="0" w:space="0" w:color="auto"/>
            <w:right w:val="none" w:sz="0" w:space="0" w:color="auto"/>
          </w:divBdr>
        </w:div>
        <w:div w:id="1767454913">
          <w:marLeft w:val="274"/>
          <w:marRight w:val="0"/>
          <w:marTop w:val="0"/>
          <w:marBottom w:val="0"/>
          <w:divBdr>
            <w:top w:val="none" w:sz="0" w:space="0" w:color="auto"/>
            <w:left w:val="none" w:sz="0" w:space="0" w:color="auto"/>
            <w:bottom w:val="none" w:sz="0" w:space="0" w:color="auto"/>
            <w:right w:val="none" w:sz="0" w:space="0" w:color="auto"/>
          </w:divBdr>
        </w:div>
        <w:div w:id="1954243500">
          <w:marLeft w:val="274"/>
          <w:marRight w:val="0"/>
          <w:marTop w:val="0"/>
          <w:marBottom w:val="0"/>
          <w:divBdr>
            <w:top w:val="none" w:sz="0" w:space="0" w:color="auto"/>
            <w:left w:val="none" w:sz="0" w:space="0" w:color="auto"/>
            <w:bottom w:val="none" w:sz="0" w:space="0" w:color="auto"/>
            <w:right w:val="none" w:sz="0" w:space="0" w:color="auto"/>
          </w:divBdr>
        </w:div>
        <w:div w:id="2138788878">
          <w:marLeft w:val="274"/>
          <w:marRight w:val="0"/>
          <w:marTop w:val="0"/>
          <w:marBottom w:val="0"/>
          <w:divBdr>
            <w:top w:val="none" w:sz="0" w:space="0" w:color="auto"/>
            <w:left w:val="none" w:sz="0" w:space="0" w:color="auto"/>
            <w:bottom w:val="none" w:sz="0" w:space="0" w:color="auto"/>
            <w:right w:val="none" w:sz="0" w:space="0" w:color="auto"/>
          </w:divBdr>
        </w:div>
      </w:divsChild>
    </w:div>
    <w:div w:id="1876429125">
      <w:bodyDiv w:val="1"/>
      <w:marLeft w:val="0"/>
      <w:marRight w:val="0"/>
      <w:marTop w:val="0"/>
      <w:marBottom w:val="0"/>
      <w:divBdr>
        <w:top w:val="none" w:sz="0" w:space="0" w:color="auto"/>
        <w:left w:val="none" w:sz="0" w:space="0" w:color="auto"/>
        <w:bottom w:val="none" w:sz="0" w:space="0" w:color="auto"/>
        <w:right w:val="none" w:sz="0" w:space="0" w:color="auto"/>
      </w:divBdr>
      <w:divsChild>
        <w:div w:id="578246151">
          <w:marLeft w:val="1166"/>
          <w:marRight w:val="0"/>
          <w:marTop w:val="0"/>
          <w:marBottom w:val="0"/>
          <w:divBdr>
            <w:top w:val="none" w:sz="0" w:space="0" w:color="auto"/>
            <w:left w:val="none" w:sz="0" w:space="0" w:color="auto"/>
            <w:bottom w:val="none" w:sz="0" w:space="0" w:color="auto"/>
            <w:right w:val="none" w:sz="0" w:space="0" w:color="auto"/>
          </w:divBdr>
        </w:div>
        <w:div w:id="1199007534">
          <w:marLeft w:val="446"/>
          <w:marRight w:val="0"/>
          <w:marTop w:val="0"/>
          <w:marBottom w:val="0"/>
          <w:divBdr>
            <w:top w:val="none" w:sz="0" w:space="0" w:color="auto"/>
            <w:left w:val="none" w:sz="0" w:space="0" w:color="auto"/>
            <w:bottom w:val="none" w:sz="0" w:space="0" w:color="auto"/>
            <w:right w:val="none" w:sz="0" w:space="0" w:color="auto"/>
          </w:divBdr>
        </w:div>
      </w:divsChild>
    </w:div>
    <w:div w:id="1914970616">
      <w:bodyDiv w:val="1"/>
      <w:marLeft w:val="0"/>
      <w:marRight w:val="0"/>
      <w:marTop w:val="0"/>
      <w:marBottom w:val="0"/>
      <w:divBdr>
        <w:top w:val="none" w:sz="0" w:space="0" w:color="auto"/>
        <w:left w:val="none" w:sz="0" w:space="0" w:color="auto"/>
        <w:bottom w:val="none" w:sz="0" w:space="0" w:color="auto"/>
        <w:right w:val="none" w:sz="0" w:space="0" w:color="auto"/>
      </w:divBdr>
    </w:div>
    <w:div w:id="1918708319">
      <w:bodyDiv w:val="1"/>
      <w:marLeft w:val="0"/>
      <w:marRight w:val="0"/>
      <w:marTop w:val="0"/>
      <w:marBottom w:val="0"/>
      <w:divBdr>
        <w:top w:val="none" w:sz="0" w:space="0" w:color="auto"/>
        <w:left w:val="none" w:sz="0" w:space="0" w:color="auto"/>
        <w:bottom w:val="none" w:sz="0" w:space="0" w:color="auto"/>
        <w:right w:val="none" w:sz="0" w:space="0" w:color="auto"/>
      </w:divBdr>
    </w:div>
    <w:div w:id="1999653432">
      <w:bodyDiv w:val="1"/>
      <w:marLeft w:val="0"/>
      <w:marRight w:val="0"/>
      <w:marTop w:val="0"/>
      <w:marBottom w:val="0"/>
      <w:divBdr>
        <w:top w:val="none" w:sz="0" w:space="0" w:color="auto"/>
        <w:left w:val="none" w:sz="0" w:space="0" w:color="auto"/>
        <w:bottom w:val="none" w:sz="0" w:space="0" w:color="auto"/>
        <w:right w:val="none" w:sz="0" w:space="0" w:color="auto"/>
      </w:divBdr>
      <w:divsChild>
        <w:div w:id="1090347228">
          <w:marLeft w:val="1987"/>
          <w:marRight w:val="0"/>
          <w:marTop w:val="82"/>
          <w:marBottom w:val="0"/>
          <w:divBdr>
            <w:top w:val="none" w:sz="0" w:space="0" w:color="auto"/>
            <w:left w:val="none" w:sz="0" w:space="0" w:color="auto"/>
            <w:bottom w:val="none" w:sz="0" w:space="0" w:color="auto"/>
            <w:right w:val="none" w:sz="0" w:space="0" w:color="auto"/>
          </w:divBdr>
        </w:div>
      </w:divsChild>
    </w:div>
    <w:div w:id="2012443599">
      <w:bodyDiv w:val="1"/>
      <w:marLeft w:val="0"/>
      <w:marRight w:val="0"/>
      <w:marTop w:val="0"/>
      <w:marBottom w:val="0"/>
      <w:divBdr>
        <w:top w:val="none" w:sz="0" w:space="0" w:color="auto"/>
        <w:left w:val="none" w:sz="0" w:space="0" w:color="auto"/>
        <w:bottom w:val="none" w:sz="0" w:space="0" w:color="auto"/>
        <w:right w:val="none" w:sz="0" w:space="0" w:color="auto"/>
      </w:divBdr>
      <w:divsChild>
        <w:div w:id="999233385">
          <w:marLeft w:val="2520"/>
          <w:marRight w:val="0"/>
          <w:marTop w:val="100"/>
          <w:marBottom w:val="0"/>
          <w:divBdr>
            <w:top w:val="none" w:sz="0" w:space="0" w:color="auto"/>
            <w:left w:val="none" w:sz="0" w:space="0" w:color="auto"/>
            <w:bottom w:val="none" w:sz="0" w:space="0" w:color="auto"/>
            <w:right w:val="none" w:sz="0" w:space="0" w:color="auto"/>
          </w:divBdr>
        </w:div>
        <w:div w:id="1110854562">
          <w:marLeft w:val="2520"/>
          <w:marRight w:val="0"/>
          <w:marTop w:val="100"/>
          <w:marBottom w:val="0"/>
          <w:divBdr>
            <w:top w:val="none" w:sz="0" w:space="0" w:color="auto"/>
            <w:left w:val="none" w:sz="0" w:space="0" w:color="auto"/>
            <w:bottom w:val="none" w:sz="0" w:space="0" w:color="auto"/>
            <w:right w:val="none" w:sz="0" w:space="0" w:color="auto"/>
          </w:divBdr>
        </w:div>
        <w:div w:id="1494174729">
          <w:marLeft w:val="2520"/>
          <w:marRight w:val="0"/>
          <w:marTop w:val="100"/>
          <w:marBottom w:val="0"/>
          <w:divBdr>
            <w:top w:val="none" w:sz="0" w:space="0" w:color="auto"/>
            <w:left w:val="none" w:sz="0" w:space="0" w:color="auto"/>
            <w:bottom w:val="none" w:sz="0" w:space="0" w:color="auto"/>
            <w:right w:val="none" w:sz="0" w:space="0" w:color="auto"/>
          </w:divBdr>
        </w:div>
        <w:div w:id="1714884732">
          <w:marLeft w:val="2520"/>
          <w:marRight w:val="0"/>
          <w:marTop w:val="100"/>
          <w:marBottom w:val="0"/>
          <w:divBdr>
            <w:top w:val="none" w:sz="0" w:space="0" w:color="auto"/>
            <w:left w:val="none" w:sz="0" w:space="0" w:color="auto"/>
            <w:bottom w:val="none" w:sz="0" w:space="0" w:color="auto"/>
            <w:right w:val="none" w:sz="0" w:space="0" w:color="auto"/>
          </w:divBdr>
        </w:div>
      </w:divsChild>
    </w:div>
    <w:div w:id="2013682293">
      <w:bodyDiv w:val="1"/>
      <w:marLeft w:val="0"/>
      <w:marRight w:val="0"/>
      <w:marTop w:val="0"/>
      <w:marBottom w:val="0"/>
      <w:divBdr>
        <w:top w:val="none" w:sz="0" w:space="0" w:color="auto"/>
        <w:left w:val="none" w:sz="0" w:space="0" w:color="auto"/>
        <w:bottom w:val="none" w:sz="0" w:space="0" w:color="auto"/>
        <w:right w:val="none" w:sz="0" w:space="0" w:color="auto"/>
      </w:divBdr>
    </w:div>
    <w:div w:id="2014258975">
      <w:bodyDiv w:val="1"/>
      <w:marLeft w:val="0"/>
      <w:marRight w:val="0"/>
      <w:marTop w:val="0"/>
      <w:marBottom w:val="0"/>
      <w:divBdr>
        <w:top w:val="none" w:sz="0" w:space="0" w:color="auto"/>
        <w:left w:val="none" w:sz="0" w:space="0" w:color="auto"/>
        <w:bottom w:val="none" w:sz="0" w:space="0" w:color="auto"/>
        <w:right w:val="none" w:sz="0" w:space="0" w:color="auto"/>
      </w:divBdr>
    </w:div>
    <w:div w:id="2020110920">
      <w:bodyDiv w:val="1"/>
      <w:marLeft w:val="0"/>
      <w:marRight w:val="0"/>
      <w:marTop w:val="0"/>
      <w:marBottom w:val="0"/>
      <w:divBdr>
        <w:top w:val="none" w:sz="0" w:space="0" w:color="auto"/>
        <w:left w:val="none" w:sz="0" w:space="0" w:color="auto"/>
        <w:bottom w:val="none" w:sz="0" w:space="0" w:color="auto"/>
        <w:right w:val="none" w:sz="0" w:space="0" w:color="auto"/>
      </w:divBdr>
    </w:div>
    <w:div w:id="2043437457">
      <w:bodyDiv w:val="1"/>
      <w:marLeft w:val="0"/>
      <w:marRight w:val="0"/>
      <w:marTop w:val="0"/>
      <w:marBottom w:val="0"/>
      <w:divBdr>
        <w:top w:val="none" w:sz="0" w:space="0" w:color="auto"/>
        <w:left w:val="none" w:sz="0" w:space="0" w:color="auto"/>
        <w:bottom w:val="none" w:sz="0" w:space="0" w:color="auto"/>
        <w:right w:val="none" w:sz="0" w:space="0" w:color="auto"/>
      </w:divBdr>
    </w:div>
    <w:div w:id="2043741831">
      <w:bodyDiv w:val="1"/>
      <w:marLeft w:val="0"/>
      <w:marRight w:val="0"/>
      <w:marTop w:val="0"/>
      <w:marBottom w:val="0"/>
      <w:divBdr>
        <w:top w:val="none" w:sz="0" w:space="0" w:color="auto"/>
        <w:left w:val="none" w:sz="0" w:space="0" w:color="auto"/>
        <w:bottom w:val="none" w:sz="0" w:space="0" w:color="auto"/>
        <w:right w:val="none" w:sz="0" w:space="0" w:color="auto"/>
      </w:divBdr>
    </w:div>
    <w:div w:id="2045135144">
      <w:bodyDiv w:val="1"/>
      <w:marLeft w:val="0"/>
      <w:marRight w:val="0"/>
      <w:marTop w:val="0"/>
      <w:marBottom w:val="0"/>
      <w:divBdr>
        <w:top w:val="none" w:sz="0" w:space="0" w:color="auto"/>
        <w:left w:val="none" w:sz="0" w:space="0" w:color="auto"/>
        <w:bottom w:val="none" w:sz="0" w:space="0" w:color="auto"/>
        <w:right w:val="none" w:sz="0" w:space="0" w:color="auto"/>
      </w:divBdr>
      <w:divsChild>
        <w:div w:id="1785147811">
          <w:marLeft w:val="979"/>
          <w:marRight w:val="0"/>
          <w:marTop w:val="67"/>
          <w:marBottom w:val="0"/>
          <w:divBdr>
            <w:top w:val="none" w:sz="0" w:space="0" w:color="auto"/>
            <w:left w:val="none" w:sz="0" w:space="0" w:color="auto"/>
            <w:bottom w:val="none" w:sz="0" w:space="0" w:color="auto"/>
            <w:right w:val="none" w:sz="0" w:space="0" w:color="auto"/>
          </w:divBdr>
        </w:div>
        <w:div w:id="852764173">
          <w:marLeft w:val="1267"/>
          <w:marRight w:val="0"/>
          <w:marTop w:val="58"/>
          <w:marBottom w:val="0"/>
          <w:divBdr>
            <w:top w:val="none" w:sz="0" w:space="0" w:color="auto"/>
            <w:left w:val="none" w:sz="0" w:space="0" w:color="auto"/>
            <w:bottom w:val="none" w:sz="0" w:space="0" w:color="auto"/>
            <w:right w:val="none" w:sz="0" w:space="0" w:color="auto"/>
          </w:divBdr>
        </w:div>
        <w:div w:id="1413971343">
          <w:marLeft w:val="1267"/>
          <w:marRight w:val="0"/>
          <w:marTop w:val="58"/>
          <w:marBottom w:val="0"/>
          <w:divBdr>
            <w:top w:val="none" w:sz="0" w:space="0" w:color="auto"/>
            <w:left w:val="none" w:sz="0" w:space="0" w:color="auto"/>
            <w:bottom w:val="none" w:sz="0" w:space="0" w:color="auto"/>
            <w:right w:val="none" w:sz="0" w:space="0" w:color="auto"/>
          </w:divBdr>
        </w:div>
        <w:div w:id="414327991">
          <w:marLeft w:val="1267"/>
          <w:marRight w:val="0"/>
          <w:marTop w:val="58"/>
          <w:marBottom w:val="0"/>
          <w:divBdr>
            <w:top w:val="none" w:sz="0" w:space="0" w:color="auto"/>
            <w:left w:val="none" w:sz="0" w:space="0" w:color="auto"/>
            <w:bottom w:val="none" w:sz="0" w:space="0" w:color="auto"/>
            <w:right w:val="none" w:sz="0" w:space="0" w:color="auto"/>
          </w:divBdr>
        </w:div>
        <w:div w:id="1551844902">
          <w:marLeft w:val="979"/>
          <w:marRight w:val="0"/>
          <w:marTop w:val="67"/>
          <w:marBottom w:val="0"/>
          <w:divBdr>
            <w:top w:val="none" w:sz="0" w:space="0" w:color="auto"/>
            <w:left w:val="none" w:sz="0" w:space="0" w:color="auto"/>
            <w:bottom w:val="none" w:sz="0" w:space="0" w:color="auto"/>
            <w:right w:val="none" w:sz="0" w:space="0" w:color="auto"/>
          </w:divBdr>
        </w:div>
        <w:div w:id="1971089877">
          <w:marLeft w:val="979"/>
          <w:marRight w:val="0"/>
          <w:marTop w:val="67"/>
          <w:marBottom w:val="0"/>
          <w:divBdr>
            <w:top w:val="none" w:sz="0" w:space="0" w:color="auto"/>
            <w:left w:val="none" w:sz="0" w:space="0" w:color="auto"/>
            <w:bottom w:val="none" w:sz="0" w:space="0" w:color="auto"/>
            <w:right w:val="none" w:sz="0" w:space="0" w:color="auto"/>
          </w:divBdr>
        </w:div>
        <w:div w:id="139732666">
          <w:marLeft w:val="1267"/>
          <w:marRight w:val="0"/>
          <w:marTop w:val="58"/>
          <w:marBottom w:val="0"/>
          <w:divBdr>
            <w:top w:val="none" w:sz="0" w:space="0" w:color="auto"/>
            <w:left w:val="none" w:sz="0" w:space="0" w:color="auto"/>
            <w:bottom w:val="none" w:sz="0" w:space="0" w:color="auto"/>
            <w:right w:val="none" w:sz="0" w:space="0" w:color="auto"/>
          </w:divBdr>
        </w:div>
        <w:div w:id="1907914449">
          <w:marLeft w:val="1541"/>
          <w:marRight w:val="0"/>
          <w:marTop w:val="53"/>
          <w:marBottom w:val="0"/>
          <w:divBdr>
            <w:top w:val="none" w:sz="0" w:space="0" w:color="auto"/>
            <w:left w:val="none" w:sz="0" w:space="0" w:color="auto"/>
            <w:bottom w:val="none" w:sz="0" w:space="0" w:color="auto"/>
            <w:right w:val="none" w:sz="0" w:space="0" w:color="auto"/>
          </w:divBdr>
        </w:div>
        <w:div w:id="1320420314">
          <w:marLeft w:val="1267"/>
          <w:marRight w:val="0"/>
          <w:marTop w:val="58"/>
          <w:marBottom w:val="0"/>
          <w:divBdr>
            <w:top w:val="none" w:sz="0" w:space="0" w:color="auto"/>
            <w:left w:val="none" w:sz="0" w:space="0" w:color="auto"/>
            <w:bottom w:val="none" w:sz="0" w:space="0" w:color="auto"/>
            <w:right w:val="none" w:sz="0" w:space="0" w:color="auto"/>
          </w:divBdr>
        </w:div>
        <w:div w:id="908422037">
          <w:marLeft w:val="1267"/>
          <w:marRight w:val="0"/>
          <w:marTop w:val="58"/>
          <w:marBottom w:val="0"/>
          <w:divBdr>
            <w:top w:val="none" w:sz="0" w:space="0" w:color="auto"/>
            <w:left w:val="none" w:sz="0" w:space="0" w:color="auto"/>
            <w:bottom w:val="none" w:sz="0" w:space="0" w:color="auto"/>
            <w:right w:val="none" w:sz="0" w:space="0" w:color="auto"/>
          </w:divBdr>
        </w:div>
        <w:div w:id="885027444">
          <w:marLeft w:val="1541"/>
          <w:marRight w:val="0"/>
          <w:marTop w:val="53"/>
          <w:marBottom w:val="0"/>
          <w:divBdr>
            <w:top w:val="none" w:sz="0" w:space="0" w:color="auto"/>
            <w:left w:val="none" w:sz="0" w:space="0" w:color="auto"/>
            <w:bottom w:val="none" w:sz="0" w:space="0" w:color="auto"/>
            <w:right w:val="none" w:sz="0" w:space="0" w:color="auto"/>
          </w:divBdr>
        </w:div>
        <w:div w:id="427696009">
          <w:marLeft w:val="1267"/>
          <w:marRight w:val="0"/>
          <w:marTop w:val="58"/>
          <w:marBottom w:val="0"/>
          <w:divBdr>
            <w:top w:val="none" w:sz="0" w:space="0" w:color="auto"/>
            <w:left w:val="none" w:sz="0" w:space="0" w:color="auto"/>
            <w:bottom w:val="none" w:sz="0" w:space="0" w:color="auto"/>
            <w:right w:val="none" w:sz="0" w:space="0" w:color="auto"/>
          </w:divBdr>
        </w:div>
        <w:div w:id="697778242">
          <w:marLeft w:val="1267"/>
          <w:marRight w:val="0"/>
          <w:marTop w:val="58"/>
          <w:marBottom w:val="0"/>
          <w:divBdr>
            <w:top w:val="none" w:sz="0" w:space="0" w:color="auto"/>
            <w:left w:val="none" w:sz="0" w:space="0" w:color="auto"/>
            <w:bottom w:val="none" w:sz="0" w:space="0" w:color="auto"/>
            <w:right w:val="none" w:sz="0" w:space="0" w:color="auto"/>
          </w:divBdr>
        </w:div>
        <w:div w:id="9526478">
          <w:marLeft w:val="1267"/>
          <w:marRight w:val="0"/>
          <w:marTop w:val="58"/>
          <w:marBottom w:val="0"/>
          <w:divBdr>
            <w:top w:val="none" w:sz="0" w:space="0" w:color="auto"/>
            <w:left w:val="none" w:sz="0" w:space="0" w:color="auto"/>
            <w:bottom w:val="none" w:sz="0" w:space="0" w:color="auto"/>
            <w:right w:val="none" w:sz="0" w:space="0" w:color="auto"/>
          </w:divBdr>
        </w:div>
      </w:divsChild>
    </w:div>
    <w:div w:id="2046951547">
      <w:bodyDiv w:val="1"/>
      <w:marLeft w:val="0"/>
      <w:marRight w:val="0"/>
      <w:marTop w:val="0"/>
      <w:marBottom w:val="0"/>
      <w:divBdr>
        <w:top w:val="none" w:sz="0" w:space="0" w:color="auto"/>
        <w:left w:val="none" w:sz="0" w:space="0" w:color="auto"/>
        <w:bottom w:val="none" w:sz="0" w:space="0" w:color="auto"/>
        <w:right w:val="none" w:sz="0" w:space="0" w:color="auto"/>
      </w:divBdr>
    </w:div>
    <w:div w:id="2052148862">
      <w:bodyDiv w:val="1"/>
      <w:marLeft w:val="0"/>
      <w:marRight w:val="0"/>
      <w:marTop w:val="0"/>
      <w:marBottom w:val="0"/>
      <w:divBdr>
        <w:top w:val="none" w:sz="0" w:space="0" w:color="auto"/>
        <w:left w:val="none" w:sz="0" w:space="0" w:color="auto"/>
        <w:bottom w:val="none" w:sz="0" w:space="0" w:color="auto"/>
        <w:right w:val="none" w:sz="0" w:space="0" w:color="auto"/>
      </w:divBdr>
      <w:divsChild>
        <w:div w:id="1350137632">
          <w:marLeft w:val="706"/>
          <w:marRight w:val="0"/>
          <w:marTop w:val="77"/>
          <w:marBottom w:val="0"/>
          <w:divBdr>
            <w:top w:val="none" w:sz="0" w:space="0" w:color="auto"/>
            <w:left w:val="none" w:sz="0" w:space="0" w:color="auto"/>
            <w:bottom w:val="none" w:sz="0" w:space="0" w:color="auto"/>
            <w:right w:val="none" w:sz="0" w:space="0" w:color="auto"/>
          </w:divBdr>
        </w:div>
        <w:div w:id="1258636733">
          <w:marLeft w:val="979"/>
          <w:marRight w:val="0"/>
          <w:marTop w:val="67"/>
          <w:marBottom w:val="0"/>
          <w:divBdr>
            <w:top w:val="none" w:sz="0" w:space="0" w:color="auto"/>
            <w:left w:val="none" w:sz="0" w:space="0" w:color="auto"/>
            <w:bottom w:val="none" w:sz="0" w:space="0" w:color="auto"/>
            <w:right w:val="none" w:sz="0" w:space="0" w:color="auto"/>
          </w:divBdr>
        </w:div>
        <w:div w:id="1159495082">
          <w:marLeft w:val="1267"/>
          <w:marRight w:val="0"/>
          <w:marTop w:val="58"/>
          <w:marBottom w:val="0"/>
          <w:divBdr>
            <w:top w:val="none" w:sz="0" w:space="0" w:color="auto"/>
            <w:left w:val="none" w:sz="0" w:space="0" w:color="auto"/>
            <w:bottom w:val="none" w:sz="0" w:space="0" w:color="auto"/>
            <w:right w:val="none" w:sz="0" w:space="0" w:color="auto"/>
          </w:divBdr>
        </w:div>
        <w:div w:id="1265454676">
          <w:marLeft w:val="1267"/>
          <w:marRight w:val="0"/>
          <w:marTop w:val="58"/>
          <w:marBottom w:val="0"/>
          <w:divBdr>
            <w:top w:val="none" w:sz="0" w:space="0" w:color="auto"/>
            <w:left w:val="none" w:sz="0" w:space="0" w:color="auto"/>
            <w:bottom w:val="none" w:sz="0" w:space="0" w:color="auto"/>
            <w:right w:val="none" w:sz="0" w:space="0" w:color="auto"/>
          </w:divBdr>
        </w:div>
      </w:divsChild>
    </w:div>
    <w:div w:id="2072918721">
      <w:bodyDiv w:val="1"/>
      <w:marLeft w:val="0"/>
      <w:marRight w:val="0"/>
      <w:marTop w:val="0"/>
      <w:marBottom w:val="0"/>
      <w:divBdr>
        <w:top w:val="none" w:sz="0" w:space="0" w:color="auto"/>
        <w:left w:val="none" w:sz="0" w:space="0" w:color="auto"/>
        <w:bottom w:val="none" w:sz="0" w:space="0" w:color="auto"/>
        <w:right w:val="none" w:sz="0" w:space="0" w:color="auto"/>
      </w:divBdr>
    </w:div>
    <w:div w:id="2088384842">
      <w:bodyDiv w:val="1"/>
      <w:marLeft w:val="0"/>
      <w:marRight w:val="0"/>
      <w:marTop w:val="0"/>
      <w:marBottom w:val="0"/>
      <w:divBdr>
        <w:top w:val="none" w:sz="0" w:space="0" w:color="auto"/>
        <w:left w:val="none" w:sz="0" w:space="0" w:color="auto"/>
        <w:bottom w:val="none" w:sz="0" w:space="0" w:color="auto"/>
        <w:right w:val="none" w:sz="0" w:space="0" w:color="auto"/>
      </w:divBdr>
      <w:divsChild>
        <w:div w:id="338704510">
          <w:marLeft w:val="547"/>
          <w:marRight w:val="0"/>
          <w:marTop w:val="115"/>
          <w:marBottom w:val="0"/>
          <w:divBdr>
            <w:top w:val="none" w:sz="0" w:space="0" w:color="auto"/>
            <w:left w:val="none" w:sz="0" w:space="0" w:color="auto"/>
            <w:bottom w:val="none" w:sz="0" w:space="0" w:color="auto"/>
            <w:right w:val="none" w:sz="0" w:space="0" w:color="auto"/>
          </w:divBdr>
        </w:div>
        <w:div w:id="1596403316">
          <w:marLeft w:val="1166"/>
          <w:marRight w:val="0"/>
          <w:marTop w:val="96"/>
          <w:marBottom w:val="0"/>
          <w:divBdr>
            <w:top w:val="none" w:sz="0" w:space="0" w:color="auto"/>
            <w:left w:val="none" w:sz="0" w:space="0" w:color="auto"/>
            <w:bottom w:val="none" w:sz="0" w:space="0" w:color="auto"/>
            <w:right w:val="none" w:sz="0" w:space="0" w:color="auto"/>
          </w:divBdr>
        </w:div>
        <w:div w:id="505287474">
          <w:marLeft w:val="1166"/>
          <w:marRight w:val="0"/>
          <w:marTop w:val="96"/>
          <w:marBottom w:val="0"/>
          <w:divBdr>
            <w:top w:val="none" w:sz="0" w:space="0" w:color="auto"/>
            <w:left w:val="none" w:sz="0" w:space="0" w:color="auto"/>
            <w:bottom w:val="none" w:sz="0" w:space="0" w:color="auto"/>
            <w:right w:val="none" w:sz="0" w:space="0" w:color="auto"/>
          </w:divBdr>
        </w:div>
      </w:divsChild>
    </w:div>
    <w:div w:id="20930425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1" ma:contentTypeDescription="Create a new document." ma:contentTypeScope="" ma:versionID="8ba0ae7a94386c90f034172d2e8169e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b90470ba71b697c723c564761fb67ad5"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81AE94-7D7B-4A8B-9708-37B72F7E13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4A7C3B-17C6-46A1-B30B-8BCF6CE70CAB}">
  <ds:schemaRefs>
    <ds:schemaRef ds:uri="http://schemas.microsoft.com/sharepoint/v3/contenttype/forms"/>
  </ds:schemaRefs>
</ds:datastoreItem>
</file>

<file path=customXml/itemProps3.xml><?xml version="1.0" encoding="utf-8"?>
<ds:datastoreItem xmlns:ds="http://schemas.openxmlformats.org/officeDocument/2006/customXml" ds:itemID="{3B254DED-06D5-48C8-BD19-116E27FE705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E7E11D8-3E19-4459-AFDA-8E95BC280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7</Pages>
  <Words>2941</Words>
  <Characters>16767</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 Min</dc:creator>
  <cp:lastModifiedBy>Liu, Min</cp:lastModifiedBy>
  <cp:revision>9</cp:revision>
  <cp:lastPrinted>2013-01-18T02:26:00Z</cp:lastPrinted>
  <dcterms:created xsi:type="dcterms:W3CDTF">2021-05-11T13:10:00Z</dcterms:created>
  <dcterms:modified xsi:type="dcterms:W3CDTF">2021-05-11T13:54:00Z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ContentTypeId">
    <vt:lpwstr>0x010100FDC8B9D4742BFB49B26D0BA2DD6AE53A</vt:lpwstr>
  </property>
</Properties>
</file>