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FA740D">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91F3EA3"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FA740D">
            <w:pPr>
              <w:rPr>
                <w:sz w:val="20"/>
                <w:lang w:eastAsia="zh-CN"/>
              </w:rPr>
            </w:pPr>
          </w:p>
        </w:tc>
      </w:tr>
      <w:tr w:rsidR="00402961" w14:paraId="19D5D940" w14:textId="77777777" w:rsidTr="00DE31F5">
        <w:tc>
          <w:tcPr>
            <w:tcW w:w="2405" w:type="dxa"/>
          </w:tcPr>
          <w:p w14:paraId="2D542CC8" w14:textId="319D67CD" w:rsidR="00402961" w:rsidRDefault="00402961" w:rsidP="00FA740D">
            <w:pPr>
              <w:rPr>
                <w:sz w:val="20"/>
                <w:lang w:eastAsia="zh-CN"/>
              </w:rPr>
            </w:pPr>
            <w:r>
              <w:rPr>
                <w:sz w:val="20"/>
                <w:lang w:eastAsia="zh-CN"/>
              </w:rPr>
              <w:t>OPPO</w:t>
            </w:r>
          </w:p>
        </w:tc>
        <w:tc>
          <w:tcPr>
            <w:tcW w:w="2835" w:type="dxa"/>
          </w:tcPr>
          <w:p w14:paraId="1146B1F3" w14:textId="283E967B" w:rsidR="00402961" w:rsidRDefault="00402961" w:rsidP="00FA740D">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FA740D">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rFonts w:hint="eastAsia"/>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proofErr w:type="spellStart"/>
            <w:r>
              <w:rPr>
                <w:sz w:val="20"/>
              </w:rPr>
              <w:t>InterDigital</w:t>
            </w:r>
            <w:proofErr w:type="spellEnd"/>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lastRenderedPageBreak/>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FA740D">
            <w:pPr>
              <w:rPr>
                <w:sz w:val="20"/>
                <w:lang w:eastAsia="zh-CN"/>
              </w:rPr>
            </w:pPr>
            <w:r>
              <w:rPr>
                <w:rFonts w:hint="eastAsia"/>
                <w:sz w:val="20"/>
              </w:rPr>
              <w:t xml:space="preserve">Huawei, </w:t>
            </w:r>
            <w:proofErr w:type="spellStart"/>
            <w:r>
              <w:rPr>
                <w:rFonts w:hint="eastAsia"/>
                <w:sz w:val="20"/>
              </w:rPr>
              <w:t>HiSilicon</w:t>
            </w:r>
            <w:proofErr w:type="spellEnd"/>
          </w:p>
        </w:tc>
        <w:tc>
          <w:tcPr>
            <w:tcW w:w="2835" w:type="dxa"/>
          </w:tcPr>
          <w:p w14:paraId="62B91C3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FA740D">
            <w:pPr>
              <w:rPr>
                <w:sz w:val="20"/>
                <w:lang w:eastAsia="zh-CN"/>
              </w:rPr>
            </w:pPr>
          </w:p>
        </w:tc>
      </w:tr>
      <w:tr w:rsidR="00402961" w14:paraId="45288B62" w14:textId="77777777" w:rsidTr="00DE31F5">
        <w:tc>
          <w:tcPr>
            <w:tcW w:w="2405" w:type="dxa"/>
          </w:tcPr>
          <w:p w14:paraId="7EEE4272" w14:textId="1DC18D84" w:rsidR="00402961" w:rsidRDefault="00402961" w:rsidP="00FA740D">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FA740D">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FA740D">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rFonts w:hint="eastAsia"/>
                <w:sz w:val="20"/>
                <w:lang w:eastAsia="zh-CN"/>
              </w:rPr>
            </w:pPr>
            <w:r w:rsidRPr="005523E3">
              <w:rPr>
                <w:sz w:val="20"/>
              </w:rPr>
              <w:t>Lenovo, Motorola Mobility</w:t>
            </w:r>
          </w:p>
        </w:tc>
        <w:tc>
          <w:tcPr>
            <w:tcW w:w="2835" w:type="dxa"/>
          </w:tcPr>
          <w:p w14:paraId="22CAA3C2" w14:textId="1367865B" w:rsidR="005523E3" w:rsidRPr="005523E3" w:rsidRDefault="005523E3" w:rsidP="005523E3">
            <w:pPr>
              <w:rPr>
                <w:rFonts w:hint="eastAsia"/>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lastRenderedPageBreak/>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lastRenderedPageBreak/>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 xml:space="preserve">We agree that an easy distinction, if possible, may be helpful to RAN1 work especially UE features and capabilities. However, we don’t think new FR notation is the only way to such distinction. As Intel and Ericsson already said, </w:t>
            </w:r>
            <w:proofErr w:type="gramStart"/>
            <w:r>
              <w:rPr>
                <w:sz w:val="20"/>
                <w:lang w:eastAsia="zh-CN"/>
              </w:rPr>
              <w:t>another</w:t>
            </w:r>
            <w:proofErr w:type="gramEnd"/>
            <w:r>
              <w:rPr>
                <w:sz w:val="20"/>
                <w:lang w:eastAsia="zh-CN"/>
              </w:rPr>
              <w:t xml:space="preserve"> methods can be considered to make such distinction and RAN1 can live well without any new FR notation. We agree with Intel that such distinction is not absolutely necessarily from RAN1 perspective.</w:t>
            </w:r>
          </w:p>
        </w:tc>
      </w:tr>
      <w:tr w:rsidR="00224DA0" w14:paraId="1673FBC6" w14:textId="77777777" w:rsidTr="00A075A8">
        <w:tc>
          <w:tcPr>
            <w:tcW w:w="2405" w:type="dxa"/>
          </w:tcPr>
          <w:p w14:paraId="321CA745" w14:textId="41E999CF" w:rsidR="00224DA0" w:rsidRDefault="00224DA0" w:rsidP="00224DA0">
            <w:pPr>
              <w:rPr>
                <w:sz w:val="20"/>
              </w:rPr>
            </w:pPr>
            <w:r>
              <w:rPr>
                <w:sz w:val="20"/>
              </w:rPr>
              <w:lastRenderedPageBreak/>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A075A8">
        <w:tc>
          <w:tcPr>
            <w:tcW w:w="2405" w:type="dxa"/>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A075A8">
        <w:tc>
          <w:tcPr>
            <w:tcW w:w="2405" w:type="dxa"/>
          </w:tcPr>
          <w:p w14:paraId="24B77D32" w14:textId="617687F8" w:rsidR="00A075A8" w:rsidRDefault="00A075A8" w:rsidP="00A075A8">
            <w:pPr>
              <w:rPr>
                <w:rFonts w:eastAsia="MS Mincho"/>
                <w:sz w:val="20"/>
                <w:lang w:eastAsia="ja-JP"/>
              </w:rPr>
            </w:pPr>
            <w:r>
              <w:rPr>
                <w:sz w:val="20"/>
                <w:lang w:eastAsia="zh-CN"/>
              </w:rPr>
              <w:t>MediaTek</w:t>
            </w:r>
          </w:p>
        </w:tc>
        <w:tc>
          <w:tcPr>
            <w:tcW w:w="2835" w:type="dxa"/>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w:t>
            </w:r>
            <w:proofErr w:type="gramStart"/>
            <w:r w:rsidRPr="000F4F62">
              <w:rPr>
                <w:sz w:val="20"/>
                <w:szCs w:val="20"/>
                <w:lang w:val="en-GB" w:eastAsia="zh-CN"/>
              </w:rPr>
              <w:t>GHz(</w:t>
            </w:r>
            <w:proofErr w:type="gramEnd"/>
            <w:r w:rsidRPr="000F4F62">
              <w:rPr>
                <w:sz w:val="20"/>
                <w:szCs w:val="20"/>
                <w:lang w:val="en-GB" w:eastAsia="zh-CN"/>
              </w:rPr>
              <w:t xml:space="preserve">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DE31F5">
        <w:tc>
          <w:tcPr>
            <w:tcW w:w="2405" w:type="dxa"/>
          </w:tcPr>
          <w:p w14:paraId="21A21BF4" w14:textId="77777777" w:rsidR="00DE31F5" w:rsidRDefault="00DE31F5" w:rsidP="00FA740D">
            <w:pPr>
              <w:rPr>
                <w:rFonts w:eastAsia="MS Mincho"/>
                <w:sz w:val="20"/>
                <w:lang w:eastAsia="ja-JP"/>
              </w:rPr>
            </w:pPr>
            <w:r>
              <w:rPr>
                <w:rFonts w:hint="eastAsia"/>
                <w:sz w:val="20"/>
              </w:rPr>
              <w:t xml:space="preserve">Huawei, </w:t>
            </w:r>
            <w:proofErr w:type="spellStart"/>
            <w:r>
              <w:rPr>
                <w:rFonts w:hint="eastAsia"/>
                <w:sz w:val="20"/>
              </w:rPr>
              <w:t>HiSilicon</w:t>
            </w:r>
            <w:proofErr w:type="spellEnd"/>
          </w:p>
        </w:tc>
        <w:tc>
          <w:tcPr>
            <w:tcW w:w="2835" w:type="dxa"/>
          </w:tcPr>
          <w:p w14:paraId="63172373" w14:textId="77777777" w:rsidR="00DE31F5" w:rsidRDefault="00DE31F5" w:rsidP="00FA740D">
            <w:pPr>
              <w:rPr>
                <w:rFonts w:eastAsia="MS Mincho"/>
                <w:sz w:val="20"/>
                <w:lang w:eastAsia="ja-JP"/>
              </w:rPr>
            </w:pPr>
            <w:r>
              <w:rPr>
                <w:rFonts w:hint="eastAsia"/>
                <w:sz w:val="20"/>
                <w:lang w:eastAsia="zh-CN"/>
              </w:rPr>
              <w:t>Disagree</w:t>
            </w:r>
          </w:p>
        </w:tc>
        <w:tc>
          <w:tcPr>
            <w:tcW w:w="9356" w:type="dxa"/>
          </w:tcPr>
          <w:p w14:paraId="09B7DB62" w14:textId="77777777" w:rsidR="00DE31F5" w:rsidRPr="00577928" w:rsidRDefault="00DE31F5" w:rsidP="00FA740D">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w:t>
            </w:r>
            <w:proofErr w:type="gramStart"/>
            <w:r>
              <w:rPr>
                <w:sz w:val="20"/>
                <w:lang w:eastAsia="zh-CN"/>
              </w:rPr>
              <w:t>So</w:t>
            </w:r>
            <w:proofErr w:type="gramEnd"/>
            <w:r>
              <w:rPr>
                <w:sz w:val="20"/>
                <w:lang w:eastAsia="zh-CN"/>
              </w:rPr>
              <w:t xml:space="preserve">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the FR notation for 52.6-71 GHz.</w:t>
            </w:r>
          </w:p>
        </w:tc>
      </w:tr>
      <w:tr w:rsidR="00402961" w14:paraId="5CE0C9B9" w14:textId="77777777" w:rsidTr="00DE31F5">
        <w:tc>
          <w:tcPr>
            <w:tcW w:w="2405" w:type="dxa"/>
          </w:tcPr>
          <w:p w14:paraId="0F410E41" w14:textId="459B9B3A" w:rsidR="00402961" w:rsidRDefault="00402961" w:rsidP="00FA740D">
            <w:pPr>
              <w:rPr>
                <w:sz w:val="20"/>
                <w:lang w:eastAsia="zh-CN"/>
              </w:rPr>
            </w:pPr>
            <w:r>
              <w:rPr>
                <w:rFonts w:hint="eastAsia"/>
                <w:sz w:val="20"/>
                <w:lang w:eastAsia="zh-CN"/>
              </w:rPr>
              <w:t>O</w:t>
            </w:r>
            <w:r>
              <w:rPr>
                <w:sz w:val="20"/>
                <w:lang w:eastAsia="zh-CN"/>
              </w:rPr>
              <w:t>PPO</w:t>
            </w:r>
          </w:p>
        </w:tc>
        <w:tc>
          <w:tcPr>
            <w:tcW w:w="2835" w:type="dxa"/>
          </w:tcPr>
          <w:p w14:paraId="4DCC9F37" w14:textId="1F569274" w:rsidR="00402961" w:rsidRDefault="00402961" w:rsidP="00FA740D">
            <w:pPr>
              <w:rPr>
                <w:sz w:val="20"/>
                <w:lang w:eastAsia="zh-CN"/>
              </w:rPr>
            </w:pPr>
            <w:r>
              <w:rPr>
                <w:rFonts w:hint="eastAsia"/>
                <w:sz w:val="20"/>
                <w:lang w:eastAsia="zh-CN"/>
              </w:rPr>
              <w:t>A</w:t>
            </w:r>
            <w:r>
              <w:rPr>
                <w:sz w:val="20"/>
                <w:lang w:eastAsia="zh-CN"/>
              </w:rPr>
              <w:t>gree in principle</w:t>
            </w:r>
          </w:p>
        </w:tc>
        <w:tc>
          <w:tcPr>
            <w:tcW w:w="9356" w:type="dxa"/>
          </w:tcPr>
          <w:p w14:paraId="3E04E563" w14:textId="4DA31744" w:rsidR="00402961" w:rsidRDefault="00402961" w:rsidP="00FA740D">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rFonts w:hint="eastAsia"/>
                <w:sz w:val="20"/>
                <w:lang w:eastAsia="zh-CN"/>
              </w:rPr>
            </w:pPr>
            <w:r w:rsidRPr="006D2084">
              <w:rPr>
                <w:sz w:val="20"/>
              </w:rPr>
              <w:t>Lenovo, Motorola Mobility</w:t>
            </w:r>
          </w:p>
        </w:tc>
        <w:tc>
          <w:tcPr>
            <w:tcW w:w="2835" w:type="dxa"/>
          </w:tcPr>
          <w:p w14:paraId="04AAEC78" w14:textId="1C5AE6ED" w:rsidR="006D2084" w:rsidRPr="006D2084" w:rsidRDefault="006D2084" w:rsidP="006D2084">
            <w:pPr>
              <w:rPr>
                <w:rFonts w:hint="eastAsia"/>
                <w:sz w:val="20"/>
                <w:lang w:eastAsia="zh-CN"/>
              </w:rPr>
            </w:pPr>
            <w:r w:rsidRPr="006D2084">
              <w:rPr>
                <w:sz w:val="20"/>
                <w:lang w:eastAsia="zh-CN"/>
              </w:rPr>
              <w:t>Agree</w:t>
            </w:r>
          </w:p>
        </w:tc>
        <w:tc>
          <w:tcPr>
            <w:tcW w:w="9356" w:type="dxa"/>
          </w:tcPr>
          <w:p w14:paraId="2C3E600E" w14:textId="6659DC46" w:rsidR="006D2084" w:rsidRPr="006D2084" w:rsidRDefault="006D2084" w:rsidP="006D2084">
            <w:pPr>
              <w:rPr>
                <w:rFonts w:hint="eastAsia"/>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77777777" w:rsidR="00E3349A" w:rsidRPr="00DE31F5" w:rsidRDefault="00E3349A" w:rsidP="00896E56">
      <w:pPr>
        <w:rPr>
          <w:b/>
          <w:bCs/>
          <w:lang w:eastAsia="zh-CN"/>
        </w:rPr>
      </w:pPr>
    </w:p>
    <w:p w14:paraId="6D6DB658" w14:textId="2DAE36B1" w:rsidR="00E3349A" w:rsidRDefault="00E3349A" w:rsidP="00E3349A">
      <w:pPr>
        <w:pStyle w:val="Heading2"/>
      </w:pPr>
      <w:r>
        <w:lastRenderedPageBreak/>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FA740D">
            <w:pPr>
              <w:rPr>
                <w:rFonts w:eastAsia="MS Mincho"/>
                <w:sz w:val="20"/>
                <w:lang w:eastAsia="ja-JP"/>
              </w:rPr>
            </w:pPr>
            <w:r>
              <w:rPr>
                <w:rFonts w:hint="eastAsia"/>
                <w:sz w:val="20"/>
              </w:rPr>
              <w:lastRenderedPageBreak/>
              <w:t xml:space="preserve">Huawei, </w:t>
            </w:r>
            <w:proofErr w:type="spellStart"/>
            <w:r>
              <w:rPr>
                <w:rFonts w:hint="eastAsia"/>
                <w:sz w:val="20"/>
              </w:rPr>
              <w:t>HiSilicon</w:t>
            </w:r>
            <w:proofErr w:type="spellEnd"/>
          </w:p>
        </w:tc>
        <w:tc>
          <w:tcPr>
            <w:tcW w:w="2835" w:type="dxa"/>
          </w:tcPr>
          <w:p w14:paraId="4B7A78F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FA740D">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FA740D">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FA740D">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FA740D">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rFonts w:hint="eastAsia"/>
                <w:sz w:val="20"/>
                <w:lang w:eastAsia="zh-CN"/>
              </w:rPr>
            </w:pPr>
            <w:r w:rsidRPr="00785082">
              <w:rPr>
                <w:sz w:val="20"/>
              </w:rPr>
              <w:t>Lenovo, Motorola Mobility</w:t>
            </w:r>
          </w:p>
        </w:tc>
        <w:tc>
          <w:tcPr>
            <w:tcW w:w="2835" w:type="dxa"/>
          </w:tcPr>
          <w:p w14:paraId="70A567B0" w14:textId="68C60FC6" w:rsidR="00FF5BDB" w:rsidRPr="00785082" w:rsidRDefault="00FF5BDB" w:rsidP="00FF5BDB">
            <w:pPr>
              <w:rPr>
                <w:rFonts w:hint="eastAsia"/>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w:t>
            </w:r>
            <w:r w:rsidRPr="00786762">
              <w:rPr>
                <w:lang w:eastAsia="zh-CN"/>
              </w:rPr>
              <w:lastRenderedPageBreak/>
              <w:t xml:space="preserve">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lastRenderedPageBreak/>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BC5A" w14:textId="77777777" w:rsidR="00156923" w:rsidRDefault="00156923" w:rsidP="00642FCD">
      <w:pPr>
        <w:spacing w:after="0" w:line="240" w:lineRule="auto"/>
      </w:pPr>
      <w:r>
        <w:separator/>
      </w:r>
    </w:p>
  </w:endnote>
  <w:endnote w:type="continuationSeparator" w:id="0">
    <w:p w14:paraId="0E90831C" w14:textId="77777777" w:rsidR="00156923" w:rsidRDefault="00156923"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6FBA8" w14:textId="77777777" w:rsidR="00156923" w:rsidRDefault="00156923" w:rsidP="00642FCD">
      <w:pPr>
        <w:spacing w:after="0" w:line="240" w:lineRule="auto"/>
      </w:pPr>
      <w:r>
        <w:separator/>
      </w:r>
    </w:p>
  </w:footnote>
  <w:footnote w:type="continuationSeparator" w:id="0">
    <w:p w14:paraId="555A2ABF" w14:textId="77777777" w:rsidR="00156923" w:rsidRDefault="00156923"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376134-7533-4270-BEEB-638CDA32CC73}">
  <ds:schemaRefs>
    <ds:schemaRef ds:uri="http://schemas.openxmlformats.org/officeDocument/2006/bibliography"/>
  </ds:schemaRefs>
</ds:datastoreItem>
</file>

<file path=customXml/itemProps5.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9321</Words>
  <Characters>53135</Characters>
  <Application>Microsoft Office Word</Application>
  <DocSecurity>0</DocSecurity>
  <Lines>442</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10</cp:revision>
  <cp:lastPrinted>2016-08-13T07:06:00Z</cp:lastPrinted>
  <dcterms:created xsi:type="dcterms:W3CDTF">2021-05-21T06:25:00Z</dcterms:created>
  <dcterms:modified xsi:type="dcterms:W3CDTF">2021-05-21T10:14:00Z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