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af"/>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af"/>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afc"/>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afc"/>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afc"/>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afc"/>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54699F">
        <w:tc>
          <w:tcPr>
            <w:tcW w:w="2405" w:type="dxa"/>
          </w:tcPr>
          <w:p w14:paraId="422FB4D7" w14:textId="77777777" w:rsidR="009D66A6" w:rsidRDefault="009D66A6" w:rsidP="0054699F">
            <w:pPr>
              <w:rPr>
                <w:sz w:val="20"/>
              </w:rPr>
            </w:pPr>
            <w:r>
              <w:rPr>
                <w:sz w:val="20"/>
              </w:rPr>
              <w:t>LG Electronics</w:t>
            </w:r>
          </w:p>
        </w:tc>
        <w:tc>
          <w:tcPr>
            <w:tcW w:w="2835" w:type="dxa"/>
          </w:tcPr>
          <w:p w14:paraId="3B39713A" w14:textId="77777777" w:rsidR="009D66A6" w:rsidRDefault="009D66A6" w:rsidP="0054699F">
            <w:pPr>
              <w:rPr>
                <w:sz w:val="20"/>
                <w:lang w:eastAsia="zh-CN"/>
              </w:rPr>
            </w:pPr>
            <w:r>
              <w:rPr>
                <w:sz w:val="20"/>
                <w:lang w:eastAsia="zh-CN"/>
              </w:rPr>
              <w:t>Agree</w:t>
            </w:r>
          </w:p>
        </w:tc>
        <w:tc>
          <w:tcPr>
            <w:tcW w:w="9356" w:type="dxa"/>
          </w:tcPr>
          <w:p w14:paraId="25B97EBC" w14:textId="77777777" w:rsidR="009D66A6" w:rsidRDefault="009D66A6" w:rsidP="0054699F">
            <w:pPr>
              <w:rPr>
                <w:sz w:val="20"/>
                <w:lang w:eastAsia="zh-CN"/>
              </w:rPr>
            </w:pPr>
          </w:p>
        </w:tc>
      </w:tr>
      <w:tr w:rsidR="00224DA0" w14:paraId="6FCF4BFD" w14:textId="77777777" w:rsidTr="0054699F">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54699F">
        <w:tc>
          <w:tcPr>
            <w:tcW w:w="2405" w:type="dxa"/>
          </w:tcPr>
          <w:p w14:paraId="5B6D2271" w14:textId="6549807F" w:rsidR="00E06E45" w:rsidRDefault="00E06E45" w:rsidP="00224DA0">
            <w:pPr>
              <w:rPr>
                <w:rFonts w:hint="eastAsia"/>
                <w:sz w:val="20"/>
                <w:lang w:eastAsia="zh-CN"/>
              </w:rPr>
            </w:pPr>
            <w:r>
              <w:rPr>
                <w:rFonts w:hint="eastAsia"/>
                <w:sz w:val="20"/>
                <w:lang w:eastAsia="zh-CN"/>
              </w:rPr>
              <w:lastRenderedPageBreak/>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AA1B83">
        <w:tc>
          <w:tcPr>
            <w:tcW w:w="2405" w:type="dxa"/>
          </w:tcPr>
          <w:p w14:paraId="0D74AF93" w14:textId="35F360F7" w:rsidR="00A040F6" w:rsidRDefault="00A040F6" w:rsidP="00116C5F">
            <w:pPr>
              <w:rPr>
                <w:sz w:val="20"/>
              </w:rPr>
            </w:pPr>
            <w:r>
              <w:rPr>
                <w:sz w:val="20"/>
              </w:rPr>
              <w:t>InterDigital</w:t>
            </w:r>
          </w:p>
        </w:tc>
        <w:tc>
          <w:tcPr>
            <w:tcW w:w="2835" w:type="dxa"/>
          </w:tcPr>
          <w:p w14:paraId="5080476F" w14:textId="018E4623" w:rsidR="00A040F6" w:rsidRDefault="00A040F6" w:rsidP="00116C5F">
            <w:pPr>
              <w:rPr>
                <w:sz w:val="20"/>
                <w:lang w:eastAsia="zh-CN"/>
              </w:rPr>
            </w:pPr>
            <w:r>
              <w:rPr>
                <w:sz w:val="20"/>
                <w:lang w:eastAsia="zh-CN"/>
              </w:rPr>
              <w:t>Agree</w:t>
            </w:r>
          </w:p>
        </w:tc>
        <w:tc>
          <w:tcPr>
            <w:tcW w:w="9356" w:type="dxa"/>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54699F">
        <w:tc>
          <w:tcPr>
            <w:tcW w:w="2405" w:type="dxa"/>
          </w:tcPr>
          <w:p w14:paraId="78F7946E" w14:textId="77777777" w:rsidR="009D66A6" w:rsidRDefault="009D66A6" w:rsidP="0054699F">
            <w:pPr>
              <w:rPr>
                <w:sz w:val="20"/>
              </w:rPr>
            </w:pPr>
            <w:r>
              <w:rPr>
                <w:sz w:val="20"/>
              </w:rPr>
              <w:t>LG Electronics</w:t>
            </w:r>
          </w:p>
        </w:tc>
        <w:tc>
          <w:tcPr>
            <w:tcW w:w="2835" w:type="dxa"/>
          </w:tcPr>
          <w:p w14:paraId="4D0629C2" w14:textId="77777777" w:rsidR="009D66A6" w:rsidRDefault="009D66A6" w:rsidP="0054699F">
            <w:pPr>
              <w:rPr>
                <w:sz w:val="20"/>
                <w:lang w:eastAsia="zh-CN"/>
              </w:rPr>
            </w:pPr>
            <w:r>
              <w:rPr>
                <w:sz w:val="20"/>
                <w:lang w:eastAsia="zh-CN"/>
              </w:rPr>
              <w:t>Agree</w:t>
            </w:r>
          </w:p>
        </w:tc>
        <w:tc>
          <w:tcPr>
            <w:tcW w:w="9356" w:type="dxa"/>
          </w:tcPr>
          <w:p w14:paraId="007CE39A" w14:textId="77777777" w:rsidR="009D66A6" w:rsidRDefault="009D66A6" w:rsidP="0054699F">
            <w:pPr>
              <w:rPr>
                <w:sz w:val="20"/>
                <w:lang w:eastAsia="zh-CN"/>
              </w:rPr>
            </w:pPr>
          </w:p>
        </w:tc>
      </w:tr>
      <w:tr w:rsidR="00224DA0" w14:paraId="1E7998E9" w14:textId="77777777" w:rsidTr="0054699F">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54699F">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2"/>
      </w:pPr>
      <w:r>
        <w:lastRenderedPageBreak/>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afc"/>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afc"/>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afc"/>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lastRenderedPageBreak/>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54699F">
        <w:tc>
          <w:tcPr>
            <w:tcW w:w="2405" w:type="dxa"/>
          </w:tcPr>
          <w:p w14:paraId="0B59C09E" w14:textId="77777777" w:rsidR="009D66A6" w:rsidRDefault="009D66A6" w:rsidP="0054699F">
            <w:pPr>
              <w:rPr>
                <w:sz w:val="20"/>
              </w:rPr>
            </w:pPr>
            <w:r>
              <w:rPr>
                <w:sz w:val="20"/>
              </w:rPr>
              <w:t>LG Electronics</w:t>
            </w:r>
          </w:p>
        </w:tc>
        <w:tc>
          <w:tcPr>
            <w:tcW w:w="2835" w:type="dxa"/>
          </w:tcPr>
          <w:p w14:paraId="0D3F2D9E" w14:textId="77777777" w:rsidR="009D66A6" w:rsidRDefault="009D66A6" w:rsidP="0054699F">
            <w:pPr>
              <w:rPr>
                <w:sz w:val="20"/>
                <w:lang w:eastAsia="zh-CN"/>
              </w:rPr>
            </w:pPr>
            <w:r>
              <w:rPr>
                <w:sz w:val="20"/>
                <w:lang w:eastAsia="zh-CN"/>
              </w:rPr>
              <w:t>Agree</w:t>
            </w:r>
          </w:p>
        </w:tc>
        <w:tc>
          <w:tcPr>
            <w:tcW w:w="9356" w:type="dxa"/>
          </w:tcPr>
          <w:p w14:paraId="4BC5AD10" w14:textId="77777777" w:rsidR="009D66A6" w:rsidRDefault="009D66A6" w:rsidP="0054699F">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54699F">
        <w:tc>
          <w:tcPr>
            <w:tcW w:w="2405" w:type="dxa"/>
          </w:tcPr>
          <w:p w14:paraId="321CA745" w14:textId="41E999CF" w:rsidR="00224DA0" w:rsidRDefault="00224DA0" w:rsidP="00224DA0">
            <w:pPr>
              <w:rPr>
                <w:sz w:val="20"/>
              </w:rPr>
            </w:pPr>
            <w:r>
              <w:rPr>
                <w:sz w:val="20"/>
              </w:rPr>
              <w:t>CATT</w:t>
            </w:r>
          </w:p>
        </w:tc>
        <w:tc>
          <w:tcPr>
            <w:tcW w:w="2835" w:type="dxa"/>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54699F">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w:t>
            </w:r>
            <w:r>
              <w:rPr>
                <w:sz w:val="20"/>
                <w:lang w:eastAsia="zh-CN"/>
              </w:rPr>
              <w:t>distinguish the frequency range</w:t>
            </w:r>
            <w:r>
              <w:rPr>
                <w:sz w:val="20"/>
                <w:lang w:eastAsia="zh-CN"/>
              </w:rPr>
              <w:t xml:space="preserv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bl>
    <w:p w14:paraId="3DC99268" w14:textId="77777777" w:rsidR="00E3349A" w:rsidRPr="009D66A6" w:rsidRDefault="00E3349A" w:rsidP="00896E56">
      <w:pPr>
        <w:rPr>
          <w:b/>
          <w:bCs/>
          <w:lang w:eastAsia="zh-CN"/>
        </w:rPr>
      </w:pPr>
    </w:p>
    <w:p w14:paraId="6D6DB658" w14:textId="2DAE36B1" w:rsidR="00E3349A" w:rsidRDefault="00E3349A" w:rsidP="00E3349A">
      <w:pPr>
        <w:pStyle w:val="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3"/>
        <w:rPr>
          <w:lang w:eastAsia="zh-CN"/>
        </w:rPr>
      </w:pPr>
      <w:r>
        <w:rPr>
          <w:lang w:eastAsia="zh-CN"/>
        </w:rPr>
        <w:lastRenderedPageBreak/>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54699F">
        <w:tc>
          <w:tcPr>
            <w:tcW w:w="2405" w:type="dxa"/>
          </w:tcPr>
          <w:p w14:paraId="4F4DB9AB" w14:textId="77777777" w:rsidR="009D66A6" w:rsidRDefault="009D66A6" w:rsidP="0054699F">
            <w:pPr>
              <w:rPr>
                <w:sz w:val="20"/>
              </w:rPr>
            </w:pPr>
            <w:r>
              <w:rPr>
                <w:sz w:val="20"/>
              </w:rPr>
              <w:t>LG Electronics</w:t>
            </w:r>
          </w:p>
        </w:tc>
        <w:tc>
          <w:tcPr>
            <w:tcW w:w="2835" w:type="dxa"/>
          </w:tcPr>
          <w:p w14:paraId="73D8B0AE" w14:textId="77777777" w:rsidR="009D66A6" w:rsidRDefault="009D66A6" w:rsidP="0054699F">
            <w:pPr>
              <w:rPr>
                <w:sz w:val="20"/>
                <w:lang w:eastAsia="zh-CN"/>
              </w:rPr>
            </w:pPr>
            <w:r>
              <w:rPr>
                <w:sz w:val="20"/>
                <w:lang w:eastAsia="zh-CN"/>
              </w:rPr>
              <w:t>Agree</w:t>
            </w:r>
          </w:p>
        </w:tc>
        <w:tc>
          <w:tcPr>
            <w:tcW w:w="9356" w:type="dxa"/>
          </w:tcPr>
          <w:p w14:paraId="5AFF0210" w14:textId="77777777" w:rsidR="009D66A6" w:rsidRDefault="009D66A6" w:rsidP="0054699F">
            <w:pPr>
              <w:rPr>
                <w:sz w:val="20"/>
                <w:lang w:eastAsia="zh-CN"/>
              </w:rPr>
            </w:pPr>
          </w:p>
        </w:tc>
      </w:tr>
      <w:tr w:rsidR="00224DA0" w14:paraId="7AB1FBBF" w14:textId="77777777" w:rsidTr="0054699F">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54699F">
        <w:tc>
          <w:tcPr>
            <w:tcW w:w="2405" w:type="dxa"/>
          </w:tcPr>
          <w:p w14:paraId="4EA86B6B" w14:textId="1A589A64" w:rsidR="00E06E45" w:rsidRDefault="00E06E45" w:rsidP="00224DA0">
            <w:pPr>
              <w:rPr>
                <w:rFonts w:hint="eastAsia"/>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bookmarkStart w:id="0" w:name="_GoBack"/>
            <w:bookmarkEnd w:id="0"/>
          </w:p>
        </w:tc>
        <w:tc>
          <w:tcPr>
            <w:tcW w:w="9356" w:type="dxa"/>
          </w:tcPr>
          <w:p w14:paraId="2F6CB243" w14:textId="77777777" w:rsidR="00E06E45" w:rsidRDefault="00E06E45" w:rsidP="00224DA0">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lastRenderedPageBreak/>
        <w:t>[TO BE ADDED]</w:t>
      </w:r>
    </w:p>
    <w:p w14:paraId="7C6B0EEA" w14:textId="77777777" w:rsidR="00987BF4" w:rsidRPr="00E3349A" w:rsidRDefault="00987BF4" w:rsidP="00987BF4">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 xml:space="preserve">FR2 may cause potential confusion as the SCS/bandwidth supported in the </w:t>
            </w:r>
            <w:r w:rsidRPr="00CD6A62">
              <w:rPr>
                <w:b/>
              </w:rPr>
              <w:lastRenderedPageBreak/>
              <w:t>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a7"/>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a7"/>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lastRenderedPageBreak/>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a7"/>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a7"/>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a7"/>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afc"/>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afc"/>
              <w:numPr>
                <w:ilvl w:val="1"/>
                <w:numId w:val="17"/>
              </w:numPr>
              <w:snapToGrid/>
              <w:spacing w:after="180"/>
              <w:contextualSpacing/>
            </w:pPr>
            <w:r>
              <w:lastRenderedPageBreak/>
              <w:t xml:space="preserve">Pros: works well in case majority of features, procedures, and requirements are expected to be the same for current FR2 and FR2x. </w:t>
            </w:r>
          </w:p>
          <w:p w14:paraId="2741774B" w14:textId="77777777" w:rsidR="00265B16" w:rsidRDefault="00265B16" w:rsidP="006D6978">
            <w:pPr>
              <w:pStyle w:val="afc"/>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afc"/>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afc"/>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afc"/>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afc"/>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afc"/>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afc"/>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afc"/>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afc"/>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afc"/>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afc"/>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af5"/>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w:t>
            </w:r>
            <w:r>
              <w:rPr>
                <w:lang w:val="en-GB" w:eastAsia="ja-JP"/>
              </w:rPr>
              <w:lastRenderedPageBreak/>
              <w:t xml:space="preserve">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af5"/>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w:t>
            </w:r>
            <w:r>
              <w:rPr>
                <w:rFonts w:eastAsia="Malgun Gothic"/>
                <w:szCs w:val="20"/>
                <w:lang w:val="en-GB"/>
              </w:rPr>
              <w:lastRenderedPageBreak/>
              <w:t xml:space="preserve">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宋体"/>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宋体"/>
                <w:bCs/>
                <w:szCs w:val="20"/>
                <w:lang w:val="en-GB" w:eastAsia="zh-CN"/>
              </w:rPr>
            </w:pPr>
            <w:bookmarkStart w:id="22" w:name="_Hlk57542364"/>
            <w:r w:rsidRPr="00CE6FB1">
              <w:rPr>
                <w:rFonts w:eastAsia="宋体"/>
                <w:b/>
                <w:bCs/>
                <w:szCs w:val="20"/>
                <w:lang w:val="en-GB" w:eastAsia="zh-CN"/>
              </w:rPr>
              <w:t xml:space="preserve">Proposal </w:t>
            </w:r>
            <w:r>
              <w:rPr>
                <w:rFonts w:eastAsia="宋体"/>
                <w:b/>
                <w:bCs/>
                <w:szCs w:val="20"/>
                <w:lang w:val="en-GB" w:eastAsia="zh-CN"/>
              </w:rPr>
              <w:t>1</w:t>
            </w:r>
            <w:r w:rsidRPr="00CE6FB1">
              <w:rPr>
                <w:rFonts w:eastAsia="宋体"/>
                <w:b/>
                <w:bCs/>
                <w:szCs w:val="20"/>
                <w:lang w:val="en-GB" w:eastAsia="zh-CN"/>
              </w:rPr>
              <w:t xml:space="preserve">:  </w:t>
            </w:r>
            <w:r>
              <w:rPr>
                <w:rFonts w:eastAsia="宋体"/>
                <w:b/>
                <w:bCs/>
                <w:szCs w:val="20"/>
                <w:lang w:val="en-GB" w:eastAsia="zh-CN"/>
              </w:rPr>
              <w:t>Frequency range 52.6 – 71 GHz should be defined as extension of FR2.  All function</w:t>
            </w:r>
            <w:r>
              <w:rPr>
                <w:rFonts w:eastAsia="宋体" w:hint="eastAsia"/>
                <w:b/>
                <w:bCs/>
                <w:szCs w:val="20"/>
                <w:lang w:val="en-GB" w:eastAsia="zh-CN"/>
              </w:rPr>
              <w:t>s</w:t>
            </w:r>
            <w:r>
              <w:rPr>
                <w:rFonts w:eastAsia="宋体"/>
                <w:b/>
                <w:bCs/>
                <w:szCs w:val="20"/>
                <w:lang w:val="en-GB" w:eastAsia="zh-CN"/>
              </w:rPr>
              <w:t xml:space="preserve"> and values in the existing specifications in FR2 could be directly applied </w:t>
            </w:r>
            <w:r>
              <w:rPr>
                <w:rFonts w:eastAsia="宋体" w:hint="eastAsia"/>
                <w:b/>
                <w:bCs/>
                <w:szCs w:val="20"/>
                <w:lang w:val="en-GB" w:eastAsia="zh-CN"/>
              </w:rPr>
              <w:t xml:space="preserve">to </w:t>
            </w:r>
            <w:r>
              <w:rPr>
                <w:rFonts w:eastAsia="宋体"/>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3"/>
        <w:jc w:val="both"/>
        <w:rPr>
          <w:lang w:val="en-GB" w:eastAsia="zh-CN"/>
        </w:rPr>
      </w:pPr>
      <w:r>
        <w:rPr>
          <w:lang w:val="en-GB" w:eastAsia="zh-CN"/>
        </w:rPr>
        <w:t>R1-</w:t>
      </w:r>
      <w:r w:rsidR="005D0E93">
        <w:rPr>
          <w:rFonts w:eastAsia="宋体"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af5"/>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宋体"/>
                <w:lang w:eastAsia="zh-CN"/>
              </w:rPr>
            </w:pPr>
            <w:r>
              <w:rPr>
                <w:rFonts w:eastAsia="宋体"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lang w:eastAsia="zh-CN"/>
              </w:rPr>
              <w:t xml:space="preserve">If </w:t>
            </w:r>
            <w:r>
              <w:rPr>
                <w:rFonts w:eastAsia="宋体" w:hint="eastAsia"/>
                <w:lang w:eastAsia="zh-CN"/>
              </w:rPr>
              <w:t xml:space="preserve">the features </w:t>
            </w:r>
            <w:r>
              <w:rPr>
                <w:rFonts w:eastAsia="宋体"/>
                <w:lang w:eastAsia="zh-CN"/>
              </w:rPr>
              <w:t>of 52.6</w:t>
            </w:r>
            <w:r>
              <w:rPr>
                <w:rFonts w:hint="eastAsia"/>
                <w:lang w:eastAsia="zh-CN"/>
              </w:rPr>
              <w:t>~</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 xml:space="preserve">extending the existing </w:t>
            </w:r>
            <w:r>
              <w:rPr>
                <w:rFonts w:eastAsia="宋体"/>
                <w:lang w:eastAsia="zh-CN"/>
              </w:rPr>
              <w:t xml:space="preserve">FR2 </w:t>
            </w:r>
            <w:r>
              <w:rPr>
                <w:rFonts w:eastAsia="宋体" w:hint="eastAsia"/>
                <w:lang w:eastAsia="zh-CN"/>
              </w:rPr>
              <w:t xml:space="preserve">to cover the new </w:t>
            </w:r>
            <w:r>
              <w:rPr>
                <w:rFonts w:hint="eastAsia"/>
                <w:lang w:eastAsia="zh-CN"/>
              </w:rPr>
              <w:t xml:space="preserve">frequency range from 52.6~71 GHz </w:t>
            </w:r>
            <w:r>
              <w:rPr>
                <w:rFonts w:eastAsia="宋体"/>
                <w:lang w:eastAsia="zh-CN"/>
              </w:rPr>
              <w:t xml:space="preserve">has the least impact on </w:t>
            </w:r>
            <w:r>
              <w:rPr>
                <w:rFonts w:eastAsia="宋体" w:hint="eastAsia"/>
                <w:lang w:eastAsia="zh-CN"/>
              </w:rPr>
              <w:t>RAN1 specs</w:t>
            </w:r>
            <w:r>
              <w:rPr>
                <w:rFonts w:eastAsia="宋体"/>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lang w:eastAsia="zh-CN"/>
              </w:rPr>
              <w:t xml:space="preserve">However, </w:t>
            </w:r>
            <w:r>
              <w:rPr>
                <w:rFonts w:eastAsia="宋体" w:hint="eastAsia"/>
                <w:lang w:eastAsia="zh-CN"/>
              </w:rPr>
              <w:t xml:space="preserve">due to </w:t>
            </w:r>
            <w:r>
              <w:rPr>
                <w:rFonts w:eastAsia="宋体"/>
                <w:lang w:eastAsia="zh-CN"/>
              </w:rPr>
              <w:t xml:space="preserve">not all features </w:t>
            </w:r>
            <w:r>
              <w:rPr>
                <w:rFonts w:eastAsia="宋体" w:hint="eastAsia"/>
                <w:lang w:eastAsia="zh-CN"/>
              </w:rPr>
              <w:t xml:space="preserve">designed for </w:t>
            </w:r>
            <w:r>
              <w:rPr>
                <w:rFonts w:eastAsia="宋体"/>
                <w:lang w:eastAsia="zh-CN"/>
              </w:rPr>
              <w:t>52.6</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e.g. PRACH and reference SCSs, thus</w:t>
            </w:r>
            <w:r>
              <w:rPr>
                <w:rFonts w:eastAsia="宋体"/>
                <w:lang w:eastAsia="zh-CN"/>
              </w:rPr>
              <w:t xml:space="preserve"> a new notation</w:t>
            </w:r>
            <w:r>
              <w:rPr>
                <w:rFonts w:eastAsia="宋体" w:hint="eastAsia"/>
                <w:lang w:eastAsia="zh-CN"/>
              </w:rPr>
              <w:t>,</w:t>
            </w:r>
            <w:r>
              <w:rPr>
                <w:rFonts w:eastAsia="宋体"/>
                <w:lang w:eastAsia="zh-CN"/>
              </w:rPr>
              <w:t xml:space="preserve"> e.g. </w:t>
            </w:r>
            <w:r>
              <w:rPr>
                <w:rFonts w:eastAsia="宋体" w:hint="eastAsia"/>
                <w:lang w:eastAsia="zh-CN"/>
              </w:rPr>
              <w:lastRenderedPageBreak/>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宋体"/>
                <w:lang w:eastAsia="zh-CN"/>
              </w:rPr>
            </w:pPr>
            <w:r>
              <w:rPr>
                <w:rFonts w:hint="eastAsia"/>
                <w:lang w:eastAsia="zh-CN"/>
              </w:rPr>
              <w:t>Alt 1 and Alt 2 have the same impacts on RAN1 specs, which are simple and clear mainly brought by adding new words/sentences/sub-clauses for FR3/FR2x. But Alt 1/2</w:t>
            </w:r>
            <w:r>
              <w:rPr>
                <w:rFonts w:eastAsia="宋体" w:hint="eastAsia"/>
                <w:lang w:eastAsia="zh-CN"/>
              </w:rPr>
              <w:t xml:space="preserve"> </w:t>
            </w:r>
            <w:r>
              <w:rPr>
                <w:rFonts w:eastAsia="宋体" w:hint="eastAsia"/>
              </w:rPr>
              <w:t xml:space="preserve">will cause some text redundancy in the </w:t>
            </w:r>
            <w:r>
              <w:rPr>
                <w:rFonts w:eastAsia="宋体" w:hint="eastAsia"/>
                <w:lang w:eastAsia="zh-CN"/>
              </w:rPr>
              <w:t xml:space="preserve">RAN1 </w:t>
            </w:r>
            <w:r>
              <w:rPr>
                <w:rFonts w:eastAsia="宋体" w:hint="eastAsia"/>
              </w:rPr>
              <w:t>spec</w:t>
            </w:r>
            <w:r>
              <w:rPr>
                <w:rFonts w:eastAsia="宋体" w:hint="eastAsia"/>
                <w:lang w:eastAsia="zh-CN"/>
              </w:rPr>
              <w:t>s</w:t>
            </w:r>
            <w:r>
              <w:rPr>
                <w:rFonts w:eastAsia="宋体" w:hint="eastAsia"/>
              </w:rPr>
              <w:t>.</w:t>
            </w:r>
          </w:p>
          <w:p w14:paraId="497E205E"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t>For Alt 4, w</w:t>
            </w:r>
            <w:r>
              <w:rPr>
                <w:rFonts w:eastAsia="宋体"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宋体" w:hint="eastAsia"/>
                <w:lang w:eastAsia="zh-CN"/>
              </w:rPr>
              <w:t xml:space="preserve">current </w:t>
            </w:r>
            <w:r>
              <w:t>FR2 with FR2</w:t>
            </w:r>
            <w:r>
              <w:rPr>
                <w:rFonts w:eastAsia="宋体" w:hint="eastAsia"/>
                <w:lang w:eastAsia="zh-CN"/>
              </w:rPr>
              <w:t>a</w:t>
            </w:r>
            <w:r>
              <w:t xml:space="preserve"> </w:t>
            </w:r>
            <w:r>
              <w:rPr>
                <w:rFonts w:eastAsia="宋体"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af5"/>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afe"/>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宋体"/>
                      <w:b/>
                      <w:bCs/>
                      <w:lang w:eastAsia="zh-CN"/>
                    </w:rPr>
                  </w:pPr>
                </w:p>
                <w:p w14:paraId="0C23BDEC" w14:textId="77777777" w:rsidR="005D0E93" w:rsidRDefault="005D0E93" w:rsidP="005D0E93">
                  <w:pPr>
                    <w:rPr>
                      <w:rFonts w:eastAsia="宋体"/>
                      <w:b/>
                      <w:bCs/>
                      <w:lang w:eastAsia="zh-CN"/>
                    </w:rPr>
                  </w:pPr>
                </w:p>
                <w:p w14:paraId="5239C91F" w14:textId="77777777" w:rsidR="005D0E93" w:rsidRDefault="005D0E93" w:rsidP="005D0E93">
                  <w:pPr>
                    <w:rPr>
                      <w:rFonts w:eastAsia="宋体"/>
                      <w:lang w:eastAsia="zh-CN"/>
                    </w:rPr>
                  </w:pPr>
                  <w:r>
                    <w:rPr>
                      <w:rFonts w:eastAsia="宋体" w:hint="eastAsia"/>
                      <w:b/>
                      <w:bCs/>
                      <w:lang w:eastAsia="zh-CN"/>
                    </w:rPr>
                    <w:t xml:space="preserve">Alt 4:  </w:t>
                  </w:r>
                  <w:r>
                    <w:rPr>
                      <w:rFonts w:eastAsia="宋体" w:hint="eastAsia"/>
                      <w:lang w:eastAsia="zh-CN"/>
                    </w:rPr>
                    <w:t xml:space="preserve"> Extend the exiting FR2 to cover 24.25~71 GHz, and </w:t>
                  </w:r>
                  <w:r>
                    <w:rPr>
                      <w:rFonts w:eastAsia="宋体" w:hint="eastAsia"/>
                      <w:lang w:eastAsia="zh-CN"/>
                    </w:rPr>
                    <w:lastRenderedPageBreak/>
                    <w:t xml:space="preserve">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lastRenderedPageBreak/>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lastRenderedPageBreak/>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宋体"/>
                <w:lang w:eastAsia="zh-CN"/>
              </w:rPr>
            </w:pPr>
          </w:p>
          <w:p w14:paraId="10731228" w14:textId="77777777" w:rsidR="005D0E93" w:rsidRDefault="005D0E93" w:rsidP="005D0E93">
            <w:pPr>
              <w:spacing w:after="60" w:line="260" w:lineRule="auto"/>
              <w:jc w:val="both"/>
              <w:rPr>
                <w:rFonts w:eastAsia="宋体"/>
                <w:b/>
                <w:bCs/>
                <w:lang w:eastAsia="zh-CN"/>
              </w:rPr>
            </w:pPr>
            <w:r>
              <w:rPr>
                <w:rFonts w:eastAsia="宋体" w:hint="eastAsia"/>
                <w:b/>
                <w:bCs/>
                <w:lang w:eastAsia="zh-CN"/>
              </w:rPr>
              <w:t xml:space="preserve">Observation 1: There are four options for defining the frequency range of 52.6-71 GHz. </w:t>
            </w:r>
            <w:r>
              <w:rPr>
                <w:rFonts w:hint="eastAsia"/>
                <w:b/>
                <w:bCs/>
                <w:lang w:eastAsia="zh-CN"/>
              </w:rPr>
              <w:t>Among the options below,</w:t>
            </w:r>
            <w:r>
              <w:rPr>
                <w:rFonts w:eastAsia="宋体"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宋体"/>
                <w:b/>
                <w:bCs/>
                <w:lang w:eastAsia="zh-CN"/>
              </w:rPr>
            </w:pPr>
            <w:r>
              <w:rPr>
                <w:rFonts w:eastAsia="宋体"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宋体"/>
                <w:b/>
                <w:bCs/>
                <w:lang w:eastAsia="zh-CN"/>
              </w:rPr>
            </w:pPr>
            <w:r>
              <w:rPr>
                <w:rFonts w:eastAsia="宋体" w:hint="eastAsia"/>
                <w:b/>
                <w:bCs/>
                <w:lang w:eastAsia="zh-CN"/>
              </w:rPr>
              <w:t xml:space="preserve">Proposal 1: </w:t>
            </w:r>
            <w:r>
              <w:rPr>
                <w:rFonts w:eastAsia="宋体"/>
                <w:b/>
                <w:bCs/>
                <w:lang w:eastAsia="zh-CN"/>
              </w:rPr>
              <w:t>RAN1</w:t>
            </w:r>
            <w:r w:rsidRPr="00D333E8">
              <w:rPr>
                <w:rFonts w:eastAsia="宋体"/>
                <w:b/>
                <w:bCs/>
                <w:lang w:eastAsia="zh-CN"/>
              </w:rPr>
              <w:t xml:space="preserve"> can adapt to other groups decision on FRx notation for 52-71 GHz</w:t>
            </w:r>
            <w:r>
              <w:rPr>
                <w:rFonts w:eastAsia="宋体"/>
                <w:b/>
                <w:bCs/>
                <w:lang w:eastAsia="zh-CN"/>
              </w:rPr>
              <w:t>. No critical dependency in RAN1</w:t>
            </w:r>
            <w:r>
              <w:rPr>
                <w:rFonts w:eastAsia="宋体"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a7"/>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af5"/>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afc"/>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afc"/>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afc"/>
                    <w:numPr>
                      <w:ilvl w:val="0"/>
                      <w:numId w:val="22"/>
                    </w:numPr>
                    <w:autoSpaceDE w:val="0"/>
                    <w:autoSpaceDN w:val="0"/>
                    <w:adjustRightInd w:val="0"/>
                    <w:snapToGrid/>
                    <w:spacing w:line="240" w:lineRule="auto"/>
                    <w:contextualSpacing/>
                    <w:jc w:val="both"/>
                  </w:pPr>
                  <w:r>
                    <w:lastRenderedPageBreak/>
                    <w:t>Rx-Tx and Tx-Rx transition period</w:t>
                  </w:r>
                </w:p>
                <w:p w14:paraId="1C5FC8F3" w14:textId="77777777" w:rsidR="00336E19" w:rsidRDefault="00336E19" w:rsidP="006D6978">
                  <w:pPr>
                    <w:pStyle w:val="afc"/>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lastRenderedPageBreak/>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afc"/>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afc"/>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afc"/>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afc"/>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afc"/>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afc"/>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afc"/>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afc"/>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afc"/>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afc"/>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afc"/>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afc"/>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afc"/>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lastRenderedPageBreak/>
              <w:t>beamCorrespondenceWithoutUL-BeamSweeping</w:t>
            </w:r>
          </w:p>
          <w:p w14:paraId="2CCF053C"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lastRenderedPageBreak/>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af5"/>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 xml:space="preserve">Option 3a: introduce a new </w:t>
                  </w:r>
                  <w:r w:rsidRPr="0067423F">
                    <w:rPr>
                      <w:sz w:val="20"/>
                      <w:szCs w:val="20"/>
                    </w:rPr>
                    <w:lastRenderedPageBreak/>
                    <w:t>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lastRenderedPageBreak/>
                    <w:t xml:space="preserve">Need editorial modification </w:t>
                  </w:r>
                  <w:r w:rsidRPr="0067423F">
                    <w:rPr>
                      <w:sz w:val="20"/>
                      <w:szCs w:val="20"/>
                      <w:lang w:val="en-GB"/>
                    </w:rPr>
                    <w:lastRenderedPageBreak/>
                    <w:t xml:space="preserve">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lastRenderedPageBreak/>
                    <w:t xml:space="preserve">Revisions are needed for the existing </w:t>
                  </w:r>
                  <w:r w:rsidRPr="0067423F">
                    <w:rPr>
                      <w:sz w:val="20"/>
                      <w:szCs w:val="20"/>
                      <w:lang w:val="en-GB"/>
                    </w:rPr>
                    <w:lastRenderedPageBreak/>
                    <w:t>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lastRenderedPageBreak/>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a7"/>
              <w:keepNext/>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af5"/>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3"/>
        <w:jc w:val="both"/>
        <w:rPr>
          <w:lang w:val="en-GB" w:eastAsia="zh-CN"/>
        </w:rPr>
      </w:pPr>
      <w:r>
        <w:rPr>
          <w:lang w:val="en-GB" w:eastAsia="zh-CN"/>
        </w:rPr>
        <w:lastRenderedPageBreak/>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af5"/>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af5"/>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a7"/>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 xml:space="preserve">In our view, the specification impact of each option depends on the similarity and difference between &lt;52.6GHz and &gt;52.6GHz, which is difficult to foresee at this </w:t>
            </w:r>
            <w:r>
              <w:lastRenderedPageBreak/>
              <w:t>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a7"/>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af5"/>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Considering these aspects, we believe that extending FR2 to cover the frequency range 52.6-71 GHz will be an easy way to introduce the frequency range 52.6-71 GHz and </w:t>
            </w:r>
            <w:r w:rsidRPr="00110229">
              <w:rPr>
                <w:rFonts w:eastAsia="MS Mincho"/>
                <w:sz w:val="20"/>
                <w:szCs w:val="20"/>
                <w:lang w:val="en-GB"/>
              </w:rPr>
              <w:lastRenderedPageBreak/>
              <w:t>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af5"/>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af5"/>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afc"/>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afc"/>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w:t>
            </w:r>
            <w:r>
              <w:lastRenderedPageBreak/>
              <w:t xml:space="preserve">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E7A3E" w14:textId="77777777" w:rsidR="00B0356C" w:rsidRDefault="00B0356C" w:rsidP="00642FCD">
      <w:pPr>
        <w:spacing w:after="0" w:line="240" w:lineRule="auto"/>
      </w:pPr>
      <w:r>
        <w:separator/>
      </w:r>
    </w:p>
  </w:endnote>
  <w:endnote w:type="continuationSeparator" w:id="0">
    <w:p w14:paraId="5B7737D3" w14:textId="77777777" w:rsidR="00B0356C" w:rsidRDefault="00B0356C"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9A387" w14:textId="77777777" w:rsidR="00B0356C" w:rsidRDefault="00B0356C" w:rsidP="00642FCD">
      <w:pPr>
        <w:spacing w:after="0" w:line="240" w:lineRule="auto"/>
      </w:pPr>
      <w:r>
        <w:separator/>
      </w:r>
    </w:p>
  </w:footnote>
  <w:footnote w:type="continuationSeparator" w:id="0">
    <w:p w14:paraId="7E843866" w14:textId="77777777" w:rsidR="00B0356C" w:rsidRDefault="00B0356C"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66A6"/>
    <w:pPr>
      <w:autoSpaceDE w:val="0"/>
      <w:autoSpaceDN w:val="0"/>
      <w:adjustRightInd w:val="0"/>
      <w:snapToGrid w:val="0"/>
      <w:spacing w:after="120"/>
    </w:pPr>
    <w:rPr>
      <w:sz w:val="22"/>
      <w:szCs w:val="22"/>
      <w:lang w:val="en-US" w:eastAsia="en-US"/>
    </w:rPr>
  </w:style>
  <w:style w:type="paragraph" w:styleId="1">
    <w:name w:val="heading 1"/>
    <w:basedOn w:val="a0"/>
    <w:next w:val="a0"/>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Char"/>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spacing w:before="240" w:after="60"/>
      <w:outlineLvl w:val="3"/>
    </w:pPr>
    <w:rPr>
      <w:b/>
      <w:bCs/>
      <w:sz w:val="28"/>
      <w:szCs w:val="28"/>
    </w:rPr>
  </w:style>
  <w:style w:type="paragraph" w:styleId="5">
    <w:name w:val="heading 5"/>
    <w:basedOn w:val="a0"/>
    <w:next w:val="a0"/>
    <w:link w:val="5Char"/>
    <w:qFormat/>
    <w:pPr>
      <w:numPr>
        <w:ilvl w:val="4"/>
        <w:numId w:val="1"/>
      </w:numPr>
      <w:spacing w:before="240" w:after="60"/>
      <w:outlineLvl w:val="4"/>
    </w:pPr>
    <w:rPr>
      <w:b/>
      <w:bCs/>
      <w:i/>
      <w:iCs/>
      <w:sz w:val="26"/>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0"/>
    <w:link w:val="2Char0"/>
    <w:qFormat/>
    <w:pPr>
      <w:ind w:left="720" w:hanging="360"/>
      <w:contextualSpacing/>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qFormat/>
    <w:pPr>
      <w:ind w:left="1134" w:hanging="1134"/>
    </w:pPr>
  </w:style>
  <w:style w:type="paragraph" w:styleId="21">
    <w:name w:val="toc 2"/>
    <w:basedOn w:val="10"/>
    <w:next w:val="a0"/>
    <w:qFormat/>
    <w:pPr>
      <w:keepNext w:val="0"/>
      <w:spacing w:before="0"/>
      <w:ind w:left="851" w:hanging="851"/>
    </w:pPr>
    <w:rPr>
      <w:sz w:val="20"/>
    </w:rPr>
  </w:style>
  <w:style w:type="paragraph" w:styleId="10">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5"/>
    <w:qFormat/>
    <w:pPr>
      <w:autoSpaceDE/>
      <w:autoSpaceDN/>
      <w:adjustRightInd/>
      <w:spacing w:after="180"/>
      <w:ind w:left="568" w:hanging="284"/>
    </w:pPr>
    <w:rPr>
      <w:sz w:val="20"/>
      <w:szCs w:val="20"/>
      <w:lang w:val="en-GB"/>
    </w:rPr>
  </w:style>
  <w:style w:type="paragraph" w:styleId="a7">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Char1"/>
    <w:uiPriority w:val="35"/>
    <w:qFormat/>
    <w:pPr>
      <w:jc w:val="center"/>
    </w:pPr>
    <w:rPr>
      <w:b/>
      <w:bCs/>
      <w:sz w:val="20"/>
      <w:szCs w:val="20"/>
    </w:rPr>
  </w:style>
  <w:style w:type="paragraph" w:styleId="a8">
    <w:name w:val="Document Map"/>
    <w:basedOn w:val="a0"/>
    <w:link w:val="Char2"/>
    <w:uiPriority w:val="99"/>
    <w:qFormat/>
    <w:rPr>
      <w:rFonts w:ascii="Tahoma" w:hAnsi="Tahoma"/>
      <w:sz w:val="16"/>
      <w:szCs w:val="16"/>
    </w:rPr>
  </w:style>
  <w:style w:type="paragraph" w:styleId="a9">
    <w:name w:val="annotation text"/>
    <w:basedOn w:val="a0"/>
    <w:link w:val="Char3"/>
    <w:uiPriority w:val="99"/>
    <w:qFormat/>
    <w:rPr>
      <w:sz w:val="20"/>
      <w:szCs w:val="20"/>
    </w:rPr>
  </w:style>
  <w:style w:type="paragraph" w:styleId="aa">
    <w:name w:val="Body Text"/>
    <w:basedOn w:val="a0"/>
    <w:link w:val="Char4"/>
    <w:qFormat/>
    <w:rPr>
      <w:sz w:val="20"/>
      <w:szCs w:val="20"/>
    </w:rPr>
  </w:style>
  <w:style w:type="paragraph" w:styleId="ab">
    <w:name w:val="Plain Text"/>
    <w:basedOn w:val="a0"/>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c">
    <w:name w:val="Date"/>
    <w:basedOn w:val="a0"/>
    <w:next w:val="a0"/>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0"/>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d">
    <w:name w:val="Balloon Text"/>
    <w:basedOn w:val="a0"/>
    <w:link w:val="Char7"/>
    <w:uiPriority w:val="99"/>
    <w:semiHidden/>
    <w:qFormat/>
    <w:rPr>
      <w:rFonts w:ascii="Tahoma" w:hAnsi="Tahoma"/>
      <w:sz w:val="16"/>
      <w:szCs w:val="16"/>
    </w:rPr>
  </w:style>
  <w:style w:type="paragraph" w:styleId="ae">
    <w:name w:val="footer"/>
    <w:basedOn w:val="a0"/>
    <w:link w:val="Char8"/>
    <w:qFormat/>
    <w:pPr>
      <w:tabs>
        <w:tab w:val="center" w:pos="4680"/>
        <w:tab w:val="right" w:pos="9360"/>
      </w:tabs>
    </w:pPr>
  </w:style>
  <w:style w:type="paragraph" w:styleId="af">
    <w:name w:val="header"/>
    <w:basedOn w:val="a0"/>
    <w:link w:val="Char9"/>
    <w:qFormat/>
    <w:pPr>
      <w:tabs>
        <w:tab w:val="center" w:pos="4680"/>
        <w:tab w:val="right" w:pos="9360"/>
      </w:tabs>
    </w:pPr>
  </w:style>
  <w:style w:type="paragraph" w:styleId="af0">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1">
    <w:name w:val="footnote text"/>
    <w:basedOn w:val="a0"/>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0"/>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0"/>
    <w:qFormat/>
    <w:pPr>
      <w:ind w:left="1418" w:hanging="1418"/>
    </w:pPr>
  </w:style>
  <w:style w:type="paragraph" w:styleId="25">
    <w:name w:val="Body Text 2"/>
    <w:basedOn w:val="a0"/>
    <w:link w:val="2Char2"/>
    <w:qFormat/>
    <w:pPr>
      <w:spacing w:after="0"/>
    </w:pPr>
    <w:rPr>
      <w:szCs w:val="20"/>
    </w:rPr>
  </w:style>
  <w:style w:type="paragraph" w:styleId="af2">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0"/>
    <w:next w:val="a0"/>
    <w:qFormat/>
    <w:pPr>
      <w:keepLines/>
      <w:overflowPunct w:val="0"/>
      <w:snapToGrid/>
      <w:spacing w:after="0"/>
      <w:textAlignment w:val="baseline"/>
    </w:pPr>
    <w:rPr>
      <w:sz w:val="20"/>
      <w:szCs w:val="20"/>
      <w:lang w:val="en-GB"/>
    </w:rPr>
  </w:style>
  <w:style w:type="paragraph" w:styleId="26">
    <w:name w:val="index 2"/>
    <w:basedOn w:val="11"/>
    <w:next w:val="a0"/>
    <w:qFormat/>
    <w:pPr>
      <w:ind w:left="284"/>
    </w:pPr>
    <w:rPr>
      <w:rFonts w:eastAsia="Times New Roman"/>
      <w:lang w:eastAsia="en-GB"/>
    </w:rPr>
  </w:style>
  <w:style w:type="paragraph" w:styleId="af3">
    <w:name w:val="Title"/>
    <w:basedOn w:val="a0"/>
    <w:next w:val="a0"/>
    <w:link w:val="Charb"/>
    <w:qFormat/>
    <w:pPr>
      <w:spacing w:before="240" w:after="60"/>
      <w:jc w:val="center"/>
      <w:outlineLvl w:val="0"/>
    </w:pPr>
    <w:rPr>
      <w:rFonts w:ascii="Cambria" w:hAnsi="Cambria"/>
      <w:b/>
      <w:bCs/>
      <w:sz w:val="32"/>
      <w:szCs w:val="32"/>
    </w:rPr>
  </w:style>
  <w:style w:type="paragraph" w:styleId="af4">
    <w:name w:val="annotation subject"/>
    <w:basedOn w:val="a9"/>
    <w:next w:val="a9"/>
    <w:link w:val="Charc"/>
    <w:uiPriority w:val="99"/>
    <w:qFormat/>
    <w:rPr>
      <w:b/>
      <w:bCs/>
    </w:rPr>
  </w:style>
  <w:style w:type="table" w:styleId="af5">
    <w:name w:val="Table Grid"/>
    <w:aliases w:val="TableGrid"/>
    <w:basedOn w:val="a2"/>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af6">
    <w:name w:val="Strong"/>
    <w:qFormat/>
    <w:rPr>
      <w:b/>
      <w:bCs/>
    </w:rPr>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vertAlign w:val="superscript"/>
    </w:rPr>
  </w:style>
  <w:style w:type="character" w:customStyle="1" w:styleId="Char7">
    <w:name w:val="批注框文本 Char"/>
    <w:link w:val="ad"/>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题注 Char1"/>
    <w:aliases w:val="cap Char,Caption Char1 Char Char1,cap Char Char1 Char1,Caption Char Char1 Char Char1,cap Char2 Char1,Caption Char2 Char1,Caption Char Char Char Char1,Caption Char Char1 Char2,fig and tbl Char1,fighead2 Char,Table Caption Char,fighead21 Char"/>
    <w:link w:val="a7"/>
    <w:qFormat/>
    <w:rPr>
      <w:b/>
      <w:bCs/>
      <w:lang w:eastAsia="en-US"/>
    </w:rPr>
  </w:style>
  <w:style w:type="character" w:customStyle="1" w:styleId="Char9">
    <w:name w:val="页眉 Char"/>
    <w:link w:val="af"/>
    <w:qFormat/>
    <w:rPr>
      <w:sz w:val="22"/>
      <w:szCs w:val="22"/>
    </w:rPr>
  </w:style>
  <w:style w:type="character" w:customStyle="1" w:styleId="Char8">
    <w:name w:val="页脚 Char"/>
    <w:link w:val="ae"/>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列表段落"/>
    <w:basedOn w:val="a0"/>
    <w:link w:val="Chard"/>
    <w:uiPriority w:val="34"/>
    <w:qFormat/>
    <w:pPr>
      <w:autoSpaceDE/>
      <w:autoSpaceDN/>
      <w:adjustRightInd/>
      <w:spacing w:after="0"/>
      <w:ind w:left="720"/>
    </w:pPr>
    <w:rPr>
      <w:rFonts w:ascii="Calibri" w:hAnsi="Calibri"/>
    </w:rPr>
  </w:style>
  <w:style w:type="character" w:customStyle="1" w:styleId="Char2">
    <w:name w:val="文档结构图 Char"/>
    <w:link w:val="a8"/>
    <w:uiPriority w:val="99"/>
    <w:qFormat/>
    <w:rPr>
      <w:rFonts w:ascii="Tahoma" w:hAnsi="Tahoma" w:cs="Tahoma"/>
      <w:sz w:val="16"/>
      <w:szCs w:val="16"/>
    </w:rPr>
  </w:style>
  <w:style w:type="character" w:customStyle="1" w:styleId="Char3">
    <w:name w:val="批注文字 Char"/>
    <w:basedOn w:val="a1"/>
    <w:link w:val="a9"/>
    <w:uiPriority w:val="99"/>
    <w:qFormat/>
  </w:style>
  <w:style w:type="character" w:customStyle="1" w:styleId="Charc">
    <w:name w:val="批注主题 Char"/>
    <w:link w:val="af4"/>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标题 Char"/>
    <w:link w:val="af3"/>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d">
    <w:name w:val="Placeholder Text"/>
    <w:uiPriority w:val="99"/>
    <w:semiHidden/>
    <w:qFormat/>
    <w:rPr>
      <w:color w:val="808080"/>
    </w:rPr>
  </w:style>
  <w:style w:type="character" w:customStyle="1" w:styleId="apple-converted-space">
    <w:name w:val="apple-converted-space"/>
    <w:basedOn w:val="a1"/>
    <w:qFormat/>
  </w:style>
  <w:style w:type="character" w:customStyle="1" w:styleId="Char5">
    <w:name w:val="纯文本 Char"/>
    <w:link w:val="ab"/>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e">
    <w:name w:val="No Spacing"/>
    <w:uiPriority w:val="1"/>
    <w:qFormat/>
    <w:rPr>
      <w:rFonts w:eastAsia="MS Mincho"/>
      <w:lang w:val="en-US" w:eastAsia="en-US"/>
    </w:rPr>
  </w:style>
  <w:style w:type="character" w:customStyle="1" w:styleId="1Char">
    <w:name w:val="标题 1 Char"/>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a"/>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1"/>
    <w:link w:val="24"/>
    <w:qFormat/>
    <w:rPr>
      <w:rFonts w:eastAsia="Times New Roman"/>
      <w:kern w:val="2"/>
      <w:lang w:eastAsia="ja-JP"/>
    </w:rPr>
  </w:style>
  <w:style w:type="character" w:customStyle="1" w:styleId="3Char1">
    <w:name w:val="正文文本缩进 3 Char"/>
    <w:basedOn w:val="a1"/>
    <w:link w:val="33"/>
    <w:qFormat/>
    <w:rPr>
      <w:rFonts w:eastAsia="Times New Roman"/>
      <w:lang w:eastAsia="ja-JP"/>
    </w:rPr>
  </w:style>
  <w:style w:type="paragraph" w:customStyle="1" w:styleId="numberedlist">
    <w:name w:val="numbered list"/>
    <w:basedOn w:val="a6"/>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Char6">
    <w:name w:val="日期 Char"/>
    <w:basedOn w:val="a1"/>
    <w:link w:val="ac"/>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
    <w:qFormat/>
    <w:rPr>
      <w:rFonts w:ascii="Arial" w:hAnsi="Arial"/>
      <w:b/>
      <w:bCs/>
      <w:sz w:val="24"/>
      <w:szCs w:val="22"/>
      <w:lang w:val="en-GB" w:eastAsia="zh-CN"/>
    </w:rPr>
  </w:style>
  <w:style w:type="character" w:customStyle="1" w:styleId="4Char">
    <w:name w:val="标题 4 Char"/>
    <w:link w:val="4"/>
    <w:qFormat/>
    <w:rPr>
      <w:b/>
      <w:bCs/>
      <w:sz w:val="28"/>
      <w:szCs w:val="28"/>
      <w:lang w:val="en-US" w:eastAsia="en-US"/>
    </w:rPr>
  </w:style>
  <w:style w:type="character" w:customStyle="1" w:styleId="5Char">
    <w:name w:val="标题 5 Char"/>
    <w:link w:val="5"/>
    <w:qFormat/>
    <w:rPr>
      <w:b/>
      <w:bCs/>
      <w:i/>
      <w:iCs/>
      <w:sz w:val="26"/>
      <w:szCs w:val="26"/>
      <w:lang w:val="en-US" w:eastAsia="en-US"/>
    </w:rPr>
  </w:style>
  <w:style w:type="character" w:customStyle="1" w:styleId="6Char">
    <w:name w:val="标题 6 Char"/>
    <w:link w:val="6"/>
    <w:qFormat/>
    <w:rPr>
      <w:b/>
      <w:bCs/>
      <w:sz w:val="22"/>
      <w:szCs w:val="22"/>
      <w:lang w:val="en-US" w:eastAsia="en-US"/>
    </w:rPr>
  </w:style>
  <w:style w:type="character" w:customStyle="1" w:styleId="7Char">
    <w:name w:val="标题 7 Char"/>
    <w:link w:val="7"/>
    <w:qFormat/>
    <w:rPr>
      <w:sz w:val="24"/>
      <w:szCs w:val="24"/>
      <w:lang w:val="en-US" w:eastAsia="en-US"/>
    </w:rPr>
  </w:style>
  <w:style w:type="character" w:customStyle="1" w:styleId="8Char">
    <w:name w:val="标题 8 Char"/>
    <w:link w:val="8"/>
    <w:qFormat/>
    <w:rPr>
      <w:i/>
      <w:iCs/>
      <w:sz w:val="24"/>
      <w:szCs w:val="24"/>
      <w:lang w:val="en-US" w:eastAsia="en-US"/>
    </w:rPr>
  </w:style>
  <w:style w:type="character" w:customStyle="1" w:styleId="9Char">
    <w:name w:val="标题 9 Char"/>
    <w:link w:val="9"/>
    <w:qFormat/>
    <w:rPr>
      <w:rFonts w:ascii="Arial" w:hAnsi="Arial"/>
      <w:sz w:val="22"/>
      <w:szCs w:val="22"/>
      <w:lang w:val="en-US" w:eastAsia="en-US"/>
    </w:rPr>
  </w:style>
  <w:style w:type="character" w:customStyle="1" w:styleId="Char0">
    <w:name w:val="列表 Char"/>
    <w:link w:val="a5"/>
    <w:qFormat/>
    <w:rPr>
      <w:sz w:val="22"/>
      <w:szCs w:val="22"/>
      <w:lang w:eastAsia="en-US"/>
    </w:rPr>
  </w:style>
  <w:style w:type="character" w:customStyle="1" w:styleId="Chara">
    <w:name w:val="脚注文本 Char"/>
    <w:link w:val="af1"/>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0"/>
    <w:qFormat/>
    <w:rPr>
      <w:sz w:val="22"/>
      <w:szCs w:val="22"/>
      <w:lang w:eastAsia="en-US"/>
    </w:rPr>
  </w:style>
  <w:style w:type="character" w:customStyle="1" w:styleId="3Char0">
    <w:name w:val="列表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正文文本 2 Char"/>
    <w:link w:val="25"/>
    <w:qFormat/>
    <w:rPr>
      <w:sz w:val="22"/>
      <w:lang w:eastAsia="en-US"/>
    </w:rPr>
  </w:style>
  <w:style w:type="character" w:customStyle="1" w:styleId="Chard">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c"/>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aa"/>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a0"/>
    <w:next w:val="a0"/>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5.xml><?xml version="1.0" encoding="utf-8"?>
<ds:datastoreItem xmlns:ds="http://schemas.openxmlformats.org/officeDocument/2006/customXml" ds:itemID="{117CCBF3-2C82-4DE0-BF18-45A60E66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8884</Words>
  <Characters>50641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ZTE</cp:lastModifiedBy>
  <cp:revision>3</cp:revision>
  <cp:lastPrinted>2016-08-13T07:06:00Z</cp:lastPrinted>
  <dcterms:created xsi:type="dcterms:W3CDTF">2021-05-21T03:51:00Z</dcterms:created>
  <dcterms:modified xsi:type="dcterms:W3CDTF">2021-05-21T03:57:00Z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