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TW"/>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DB63AF" w:rsidRDefault="00DB63AF">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DB63AF" w:rsidRDefault="00DB63AF">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DB63AF" w:rsidRDefault="00DB63AF">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DB63AF" w:rsidRDefault="00DB63AF"/>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DB63AF" w:rsidRDefault="00DB63AF">
                      <w:pPr>
                        <w:rPr>
                          <w:rFonts w:eastAsia="SimSun"/>
                          <w:snapToGrid/>
                          <w:kern w:val="0"/>
                          <w:lang w:val="en-US" w:eastAsia="zh-CN"/>
                        </w:rPr>
                      </w:pPr>
                      <w:r>
                        <w:rPr>
                          <w:highlight w:val="darkYellow"/>
                          <w:lang w:eastAsia="zh-CN"/>
                        </w:rPr>
                        <w:t>Working assumption:</w:t>
                      </w:r>
                    </w:p>
                    <w:p w14:paraId="37D8ED5D" w14:textId="77777777" w:rsidR="00DB63AF" w:rsidRDefault="00DB63AF">
                      <w:pPr>
                        <w:pStyle w:val="a"/>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77777777" w:rsidR="006C7ECB" w:rsidRDefault="00A01006">
      <w:pPr>
        <w:pStyle w:val="ListParagraph"/>
        <w:numPr>
          <w:ilvl w:val="0"/>
          <w:numId w:val="15"/>
        </w:numPr>
        <w:rPr>
          <w:lang w:eastAsia="en-US"/>
        </w:rPr>
      </w:pPr>
      <w:r>
        <w:rPr>
          <w:lang w:eastAsia="en-US"/>
        </w:rPr>
        <w:t>Alt A: Support additional adjustment to Energy Detection computation to include transmit beamforming and sensing beam relationship</w:t>
      </w:r>
    </w:p>
    <w:p w14:paraId="37D8E620" w14:textId="77777777" w:rsidR="006C7ECB" w:rsidRDefault="00A01006">
      <w:pPr>
        <w:pStyle w:val="ListParagraph"/>
        <w:numPr>
          <w:ilvl w:val="1"/>
          <w:numId w:val="15"/>
        </w:numPr>
        <w:rPr>
          <w:lang w:eastAsia="en-US"/>
        </w:rPr>
      </w:pPr>
      <w:r>
        <w:rPr>
          <w:lang w:eastAsia="en-US"/>
        </w:rPr>
        <w:t>FFS how to adjust</w:t>
      </w:r>
    </w:p>
    <w:p w14:paraId="37D8E621" w14:textId="77777777"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lastRenderedPageBreak/>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proofErr w:type="spellStart"/>
            <w:r>
              <w:rPr>
                <w:lang w:val="en-US" w:eastAsia="en-US"/>
              </w:rPr>
              <w:t>Futurewei</w:t>
            </w:r>
            <w:proofErr w:type="spellEnd"/>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0C1187">
            <w:pPr>
              <w:rPr>
                <w:lang w:eastAsia="en-US"/>
              </w:rPr>
            </w:pPr>
            <w:r w:rsidRPr="004245E3">
              <w:rPr>
                <w:lang w:eastAsia="en-US"/>
              </w:rPr>
              <w:t>InterDigital</w:t>
            </w:r>
          </w:p>
        </w:tc>
        <w:tc>
          <w:tcPr>
            <w:tcW w:w="7099" w:type="dxa"/>
          </w:tcPr>
          <w:p w14:paraId="3A435BA9" w14:textId="77777777" w:rsidR="00150474" w:rsidRPr="004245E3" w:rsidRDefault="00150474" w:rsidP="000C1187">
            <w:pPr>
              <w:jc w:val="left"/>
              <w:rPr>
                <w:lang w:eastAsia="en-US"/>
              </w:rPr>
            </w:pPr>
            <w:r w:rsidRPr="004245E3">
              <w:rPr>
                <w:lang w:eastAsia="en-US"/>
              </w:rPr>
              <w:t>We support Alt. A. This is especially required for cases when a single sensing beam is used to initiate a COT for multiple transmission beams.</w:t>
            </w:r>
          </w:p>
        </w:tc>
      </w:tr>
    </w:tbl>
    <w:p w14:paraId="37D8E634" w14:textId="77777777" w:rsidR="006C7ECB" w:rsidRPr="00E066FF"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37D8E638" w14:textId="77777777" w:rsidR="006C7ECB" w:rsidRDefault="00A01006">
      <w:r>
        <w:t xml:space="preserve">Confirm the working assumption that “For Pout in EDT determination, define Pout as the maximum EIRP of the node determining EDT during a COT”. </w:t>
      </w:r>
    </w:p>
    <w:p w14:paraId="37D8E639" w14:textId="77777777" w:rsidR="006C7ECB" w:rsidRDefault="00A01006">
      <w:pPr>
        <w:pStyle w:val="ListParagraph"/>
        <w:numPr>
          <w:ilvl w:val="0"/>
          <w:numId w:val="15"/>
        </w:numPr>
        <w:rPr>
          <w:lang w:eastAsia="en-US"/>
        </w:rPr>
      </w:pPr>
      <w:r>
        <w:rPr>
          <w:lang w:eastAsia="en-US"/>
        </w:rPr>
        <w:t>FFS: For COT sharing case, if the maximum EIRP of the responding device needs to be considered for EDT determination</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lastRenderedPageBreak/>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proofErr w:type="spellStart"/>
            <w:r>
              <w:rPr>
                <w:lang w:eastAsia="en-US"/>
              </w:rPr>
              <w:t>Futurewei</w:t>
            </w:r>
            <w:proofErr w:type="spellEnd"/>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r>
              <w:rPr>
                <w:lang w:eastAsia="en-US"/>
              </w:rPr>
              <w:t>Convida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bl>
    <w:p w14:paraId="37D8E652" w14:textId="77777777" w:rsidR="006C7ECB" w:rsidRDefault="006C7ECB">
      <w:pPr>
        <w:rPr>
          <w:lang w:eastAsia="en-US"/>
        </w:rPr>
      </w:pPr>
    </w:p>
    <w:p w14:paraId="37D8E653" w14:textId="77777777" w:rsidR="006C7ECB" w:rsidRDefault="00A01006">
      <w:pPr>
        <w:pStyle w:val="Heading2"/>
      </w:pPr>
      <w:r>
        <w:rPr>
          <w:noProof/>
          <w:lang w:val="en-US" w:eastAsia="zh-TW"/>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DB63AF" w:rsidRDefault="00DB63AF">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DB63AF" w:rsidRDefault="00DB63AF">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DB63AF" w:rsidRDefault="00DB63AF">
                      <w:pPr>
                        <w:rPr>
                          <w:rFonts w:cs="Times"/>
                          <w:szCs w:val="20"/>
                        </w:rPr>
                      </w:pPr>
                      <w:r>
                        <w:rPr>
                          <w:rFonts w:cs="Times"/>
                          <w:szCs w:val="20"/>
                        </w:rPr>
                        <w:t>For LBT for single carrier transmission, consider the following alternatives</w:t>
                      </w:r>
                    </w:p>
                    <w:p w14:paraId="37D8ED60"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DB63AF" w:rsidRDefault="00DB63AF">
                      <w:pPr>
                        <w:pStyle w:val="a"/>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DB63AF" w:rsidRDefault="00DB63AF">
                      <w:pPr>
                        <w:rPr>
                          <w:rFonts w:cs="Times"/>
                          <w:szCs w:val="20"/>
                        </w:rPr>
                      </w:pPr>
                      <w:r>
                        <w:rPr>
                          <w:rFonts w:cs="Times"/>
                          <w:szCs w:val="20"/>
                        </w:rPr>
                        <w:t>For LBT for multi-carrier transmission in intra-band CA, consider the following alternatives</w:t>
                      </w:r>
                    </w:p>
                    <w:p w14:paraId="37D8ED64"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DB63AF" w:rsidRDefault="00DB63AF">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DB63AF" w:rsidRDefault="00DB63AF"/>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DOCOMO, OPPO ,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7777777" w:rsidR="006C7ECB" w:rsidRDefault="00A01006">
      <w:pPr>
        <w:pStyle w:val="discussionpoint"/>
      </w:pPr>
      <w:r>
        <w:t>Proposal 2.2.1-1</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We are not OK to leave up to gNB/UE’s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proofErr w:type="spellStart"/>
            <w:r>
              <w:rPr>
                <w:lang w:eastAsia="en-US"/>
              </w:rPr>
              <w:t>Futurewei</w:t>
            </w:r>
            <w:proofErr w:type="spellEnd"/>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0C1187">
            <w:pPr>
              <w:rPr>
                <w:lang w:eastAsia="en-US"/>
              </w:rPr>
            </w:pPr>
            <w:r w:rsidRPr="004245E3">
              <w:rPr>
                <w:lang w:eastAsia="en-US"/>
              </w:rPr>
              <w:t>InterDigital</w:t>
            </w:r>
          </w:p>
        </w:tc>
        <w:tc>
          <w:tcPr>
            <w:tcW w:w="6937" w:type="dxa"/>
          </w:tcPr>
          <w:p w14:paraId="1C071BFF" w14:textId="77777777" w:rsidR="00150474" w:rsidRPr="004245E3" w:rsidRDefault="00150474" w:rsidP="000C1187">
            <w:pPr>
              <w:rPr>
                <w:lang w:eastAsia="en-US"/>
              </w:rPr>
            </w:pPr>
            <w:r w:rsidRPr="004245E3">
              <w:rPr>
                <w:lang w:eastAsia="en-US"/>
              </w:rPr>
              <w:t xml:space="preserve">We are ok with the compromise solution, </w:t>
            </w:r>
            <w:proofErr w:type="gramStart"/>
            <w:r w:rsidRPr="004245E3">
              <w:rPr>
                <w:lang w:eastAsia="en-US"/>
              </w:rPr>
              <w:t>as long as</w:t>
            </w:r>
            <w:proofErr w:type="gramEnd"/>
            <w:r w:rsidRPr="004245E3">
              <w:rPr>
                <w:lang w:eastAsia="en-US"/>
              </w:rPr>
              <w:t xml:space="preserve"> Alt SC3 is supported. Always performing LBT on the entire channel BW is not an effective way of acquiring the unlicensed channel. Different UEs may support different sets of units of LBT BWs and this should be indicated to the network.</w:t>
            </w:r>
          </w:p>
        </w:tc>
      </w:tr>
    </w:tbl>
    <w:p w14:paraId="37D8E6E4" w14:textId="77777777" w:rsidR="006C7ECB" w:rsidRPr="00150474" w:rsidRDefault="006C7ECB">
      <w:pPr>
        <w:rPr>
          <w:lang w:eastAsia="en-US"/>
        </w:rPr>
      </w:pPr>
    </w:p>
    <w:p w14:paraId="37D8E6E5" w14:textId="77777777" w:rsidR="006C7ECB" w:rsidRDefault="00A01006">
      <w:pPr>
        <w:pStyle w:val="discussionpoint"/>
      </w:pPr>
      <w:r>
        <w:t>Proposal 2.2.1-2</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w:t>
            </w:r>
            <w:r>
              <w:rPr>
                <w:lang w:eastAsia="en-US"/>
              </w:rPr>
              <w:lastRenderedPageBreak/>
              <w:t>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proofErr w:type="spellStart"/>
            <w:r>
              <w:rPr>
                <w:lang w:eastAsia="en-US"/>
              </w:rPr>
              <w:t>Futurewei</w:t>
            </w:r>
            <w:proofErr w:type="spellEnd"/>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0C1187">
            <w:pPr>
              <w:rPr>
                <w:lang w:eastAsia="en-US"/>
              </w:rPr>
            </w:pPr>
            <w:r w:rsidRPr="004245E3">
              <w:rPr>
                <w:lang w:eastAsia="en-US"/>
              </w:rPr>
              <w:t>InterDigital</w:t>
            </w:r>
          </w:p>
        </w:tc>
        <w:tc>
          <w:tcPr>
            <w:tcW w:w="6937" w:type="dxa"/>
          </w:tcPr>
          <w:p w14:paraId="48D3CE71" w14:textId="77777777" w:rsidR="00150474" w:rsidRPr="004245E3" w:rsidRDefault="00150474" w:rsidP="000C1187">
            <w:pPr>
              <w:rPr>
                <w:lang w:eastAsia="en-US"/>
              </w:rPr>
            </w:pPr>
            <w:r w:rsidRPr="004245E3">
              <w:rPr>
                <w:lang w:eastAsia="en-US"/>
              </w:rPr>
              <w:t>Similar comment as for Proposal 2.2.1-1</w:t>
            </w:r>
          </w:p>
        </w:tc>
      </w:tr>
    </w:tbl>
    <w:p w14:paraId="37D8E6FA" w14:textId="77777777" w:rsidR="006C7ECB" w:rsidRDefault="006C7ECB">
      <w:pPr>
        <w:rPr>
          <w:lang w:eastAsia="en-US"/>
        </w:rPr>
      </w:pPr>
    </w:p>
    <w:p w14:paraId="37D8E6FB" w14:textId="77777777" w:rsidR="006C7ECB" w:rsidRDefault="00A01006">
      <w:pPr>
        <w:pStyle w:val="Heading2"/>
      </w:pPr>
      <w:r>
        <w:t>Sensing Structures FFS Items</w:t>
      </w:r>
    </w:p>
    <w:p w14:paraId="37D8E6FC"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0" w:name="OLE_LINK71"/>
                            <w:bookmarkStart w:id="1"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Pr>
                                <w:rFonts w:cs="Times"/>
                                <w:szCs w:val="20"/>
                              </w:rPr>
                              <w:t>FFS location of the measurement</w:t>
                            </w:r>
                          </w:p>
                          <w:p w14:paraId="37D8ED77" w14:textId="77777777" w:rsidR="00DB63AF" w:rsidRDefault="00DB63AF"/>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DB63AF" w:rsidRDefault="00DB63AF">
                      <w:pPr>
                        <w:rPr>
                          <w:rFonts w:cs="Times"/>
                          <w:szCs w:val="20"/>
                        </w:rPr>
                      </w:pPr>
                    </w:p>
                    <w:p w14:paraId="37D8ED6C" w14:textId="77777777" w:rsidR="00DB63AF" w:rsidRDefault="00DB63AF">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DB63AF" w:rsidRDefault="00DB63AF">
                      <w:pPr>
                        <w:rPr>
                          <w:rFonts w:cs="Times"/>
                          <w:sz w:val="18"/>
                          <w:szCs w:val="20"/>
                        </w:rPr>
                      </w:pPr>
                      <w:r>
                        <w:rPr>
                          <w:rFonts w:cs="Times"/>
                          <w:sz w:val="18"/>
                          <w:szCs w:val="20"/>
                        </w:rPr>
                        <w:t>For energy measurement in 8us deferral period, down-select from the following:</w:t>
                      </w:r>
                    </w:p>
                    <w:p w14:paraId="37D8ED6E"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DB63AF" w:rsidRDefault="00DB63AF">
                      <w:pPr>
                        <w:rPr>
                          <w:rFonts w:cs="Times"/>
                          <w:sz w:val="18"/>
                          <w:szCs w:val="20"/>
                          <w:lang w:eastAsia="en-US"/>
                        </w:rPr>
                      </w:pPr>
                      <w:r>
                        <w:rPr>
                          <w:rFonts w:cs="Times"/>
                          <w:sz w:val="18"/>
                          <w:szCs w:val="20"/>
                        </w:rPr>
                        <w:t>For energy measurement in 5us observation slot, perform single measurement</w:t>
                      </w:r>
                    </w:p>
                    <w:p w14:paraId="37D8ED72"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DB63AF" w:rsidRDefault="00DB63AF">
                      <w:pPr>
                        <w:pStyle w:val="a"/>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DB63AF" w:rsidRDefault="00DB63AF">
                      <w:pPr>
                        <w:rPr>
                          <w:sz w:val="18"/>
                          <w:highlight w:val="darkYellow"/>
                          <w:lang w:eastAsia="zh-CN"/>
                        </w:rPr>
                      </w:pPr>
                      <w:bookmarkStart w:id="2" w:name="OLE_LINK71"/>
                      <w:bookmarkStart w:id="3" w:name="OLE_LINK70"/>
                    </w:p>
                    <w:p w14:paraId="37D8ED75" w14:textId="77777777" w:rsidR="00DB63AF" w:rsidRDefault="00DB63AF">
                      <w:pPr>
                        <w:rPr>
                          <w:sz w:val="18"/>
                          <w:lang w:eastAsia="zh-CN"/>
                        </w:rPr>
                      </w:pPr>
                      <w:r>
                        <w:rPr>
                          <w:sz w:val="18"/>
                          <w:highlight w:val="darkYellow"/>
                          <w:lang w:eastAsia="zh-CN"/>
                        </w:rPr>
                        <w:t>Working assumption:</w:t>
                      </w:r>
                    </w:p>
                    <w:p w14:paraId="37D8ED76"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Pr>
                          <w:rFonts w:cs="Times"/>
                          <w:szCs w:val="20"/>
                        </w:rPr>
                        <w:t>FFS location of the measurement</w:t>
                      </w:r>
                    </w:p>
                    <w:p w14:paraId="37D8ED77" w14:textId="77777777" w:rsidR="00DB63AF" w:rsidRDefault="00DB63AF"/>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lastRenderedPageBreak/>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proofErr w:type="spellStart"/>
            <w:r>
              <w:rPr>
                <w:lang w:eastAsia="en-US"/>
              </w:rPr>
              <w:t>Futurewei</w:t>
            </w:r>
            <w:proofErr w:type="spellEnd"/>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bl>
    <w:p w14:paraId="37D8E755" w14:textId="77777777" w:rsidR="006C7ECB" w:rsidRDefault="006C7ECB">
      <w:pPr>
        <w:rPr>
          <w:lang w:eastAsia="en-US"/>
        </w:rPr>
      </w:pPr>
    </w:p>
    <w:p w14:paraId="37D8E756" w14:textId="77777777" w:rsidR="006C7ECB" w:rsidRDefault="00A01006">
      <w:pPr>
        <w:pStyle w:val="Heading2"/>
      </w:pPr>
      <w:r>
        <w:lastRenderedPageBreak/>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OPPO,  InterDigital</w:t>
      </w:r>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7D8E7A0"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Pr>
          <w:rFonts w:cs="Times"/>
          <w:szCs w:val="20"/>
        </w:rPr>
        <w:t>?</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proofErr w:type="spellStart"/>
            <w:r>
              <w:rPr>
                <w:lang w:eastAsia="en-US"/>
              </w:rPr>
              <w:t>Futurewei</w:t>
            </w:r>
            <w:proofErr w:type="spellEnd"/>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0C1187">
            <w:pPr>
              <w:rPr>
                <w:lang w:eastAsia="en-US"/>
              </w:rPr>
            </w:pPr>
            <w:r w:rsidRPr="004245E3">
              <w:rPr>
                <w:lang w:eastAsia="en-US"/>
              </w:rPr>
              <w:t>InterDigital</w:t>
            </w:r>
          </w:p>
        </w:tc>
        <w:tc>
          <w:tcPr>
            <w:tcW w:w="6937" w:type="dxa"/>
          </w:tcPr>
          <w:p w14:paraId="214EDC1C" w14:textId="77777777" w:rsidR="00150474" w:rsidRPr="004245E3" w:rsidRDefault="00150474" w:rsidP="000C1187">
            <w:pPr>
              <w:rPr>
                <w:lang w:eastAsia="en-US"/>
              </w:rPr>
            </w:pPr>
            <w:r w:rsidRPr="004245E3">
              <w:rPr>
                <w:lang w:eastAsia="en-US"/>
              </w:rPr>
              <w:t>We support Alt.3. Furthermore, the gap should be determined between two transmissions that share the same LBT parameters (e.g. on the same beam).</w:t>
            </w:r>
          </w:p>
        </w:tc>
      </w:tr>
    </w:tbl>
    <w:p w14:paraId="37D8E7B1" w14:textId="77777777" w:rsidR="006C7ECB" w:rsidRPr="00E066FF" w:rsidRDefault="006C7ECB">
      <w:pPr>
        <w:rPr>
          <w:lang w:eastAsia="en-US"/>
        </w:rPr>
      </w:pPr>
    </w:p>
    <w:p w14:paraId="37D8E7B2" w14:textId="77777777" w:rsidR="006C7ECB" w:rsidRDefault="00A01006">
      <w:pPr>
        <w:pStyle w:val="Heading2"/>
      </w:pPr>
      <w:r>
        <w:lastRenderedPageBreak/>
        <w:t>Cat 2 LBT</w:t>
      </w:r>
    </w:p>
    <w:p w14:paraId="37D8E7B3"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9" w14:textId="77777777" w:rsidR="00DB63AF" w:rsidRDefault="00DB63AF">
                      <w:pPr>
                        <w:rPr>
                          <w:rFonts w:cs="Times"/>
                          <w:szCs w:val="20"/>
                        </w:rPr>
                      </w:pPr>
                      <w:r>
                        <w:rPr>
                          <w:rFonts w:cs="Times"/>
                          <w:szCs w:val="20"/>
                        </w:rPr>
                        <w:t>For Cat 2 LBT, down-select from the following alternatives</w:t>
                      </w:r>
                    </w:p>
                    <w:p w14:paraId="37D8ED7A"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DB63AF" w:rsidRDefault="00DB63AF">
                      <w:pPr>
                        <w:pStyle w:val="a"/>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DB63AF" w:rsidRDefault="00DB63AF">
                      <w:pPr>
                        <w:kinsoku/>
                        <w:adjustRightInd/>
                        <w:snapToGrid w:val="0"/>
                        <w:spacing w:after="0" w:line="252" w:lineRule="auto"/>
                        <w:textAlignment w:val="auto"/>
                        <w:rPr>
                          <w:rFonts w:cs="Times"/>
                          <w:szCs w:val="20"/>
                        </w:rPr>
                      </w:pPr>
                    </w:p>
                    <w:p w14:paraId="37D8ED7D"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7E" w14:textId="77777777" w:rsidR="00DB63AF" w:rsidRDefault="00DB63AF">
                      <w:pPr>
                        <w:rPr>
                          <w:rFonts w:cs="Times"/>
                          <w:color w:val="000000"/>
                          <w:szCs w:val="20"/>
                        </w:rPr>
                      </w:pPr>
                      <w:r>
                        <w:rPr>
                          <w:rFonts w:cs="Times"/>
                          <w:color w:val="000000"/>
                          <w:szCs w:val="20"/>
                        </w:rPr>
                        <w:t>If Cat 2 LBT is introduced, the following use cases can be further studied:</w:t>
                      </w:r>
                    </w:p>
                    <w:p w14:paraId="37D8ED7F"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DB63AF" w:rsidRDefault="00DB63AF">
                      <w:pPr>
                        <w:pStyle w:val="a"/>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DB63AF" w:rsidRDefault="00DB63AF">
                      <w:pPr>
                        <w:rPr>
                          <w:rFonts w:cs="Times"/>
                          <w:szCs w:val="20"/>
                        </w:rPr>
                      </w:pPr>
                      <w:r>
                        <w:rPr>
                          <w:rFonts w:cs="Times"/>
                          <w:szCs w:val="20"/>
                        </w:rPr>
                        <w:t xml:space="preserve">Other use cases not precluded. </w:t>
                      </w:r>
                    </w:p>
                    <w:p w14:paraId="37D8ED84" w14:textId="77777777" w:rsidR="00DB63AF" w:rsidRDefault="00DB63AF">
                      <w:pPr>
                        <w:rPr>
                          <w:rFonts w:cs="Times"/>
                          <w:szCs w:val="20"/>
                        </w:rPr>
                      </w:pPr>
                      <w:r>
                        <w:rPr>
                          <w:rFonts w:cs="Times"/>
                          <w:szCs w:val="20"/>
                        </w:rPr>
                        <w:t>FFS if Cat 2 LBT is mandated for each use case or not.</w:t>
                      </w:r>
                    </w:p>
                    <w:p w14:paraId="37D8ED85"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Huawei HiSilicon</w:t>
            </w:r>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77777777" w:rsidR="006C7ECB" w:rsidRDefault="00A01006">
      <w:pPr>
        <w:pStyle w:val="Heading3"/>
      </w:pPr>
      <w:r>
        <w:t>First Round Discussion</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p>
    <w:p w14:paraId="37D8E817" w14:textId="77777777" w:rsidR="006C7ECB" w:rsidRDefault="006C7ECB">
      <w:pPr>
        <w:rPr>
          <w:lang w:eastAsia="en-US"/>
        </w:rPr>
      </w:pPr>
    </w:p>
    <w:p w14:paraId="37D8E818" w14:textId="77777777" w:rsidR="006C7ECB" w:rsidRDefault="00A01006">
      <w:pPr>
        <w:rPr>
          <w:lang w:eastAsia="en-US"/>
        </w:rPr>
      </w:pPr>
      <w:r>
        <w:rPr>
          <w:lang w:eastAsia="en-US"/>
        </w:rPr>
        <w:t>Seems that there is relative majority on introducing Cat 2 LBT, though there is strong objections from multiple companies as well. I would like to see if we can reach some compromise.</w:t>
      </w:r>
    </w:p>
    <w:p w14:paraId="37D8E819" w14:textId="77777777" w:rsidR="006C7ECB" w:rsidRDefault="00A01006">
      <w:pPr>
        <w:pStyle w:val="discussionpoint"/>
      </w:pPr>
      <w:r>
        <w:t>Discussion 2.5.1-1</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proofErr w:type="spellStart"/>
            <w:r>
              <w:rPr>
                <w:lang w:eastAsia="en-US"/>
              </w:rPr>
              <w:t>Futurewei</w:t>
            </w:r>
            <w:proofErr w:type="spellEnd"/>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0C1187">
            <w:pPr>
              <w:rPr>
                <w:lang w:eastAsia="en-US"/>
              </w:rPr>
            </w:pPr>
            <w:r w:rsidRPr="004245E3">
              <w:rPr>
                <w:lang w:eastAsia="en-US"/>
              </w:rPr>
              <w:t>InterDigital</w:t>
            </w:r>
          </w:p>
        </w:tc>
        <w:tc>
          <w:tcPr>
            <w:tcW w:w="6937" w:type="dxa"/>
          </w:tcPr>
          <w:p w14:paraId="6EF6D75C" w14:textId="77777777" w:rsidR="00150474" w:rsidRPr="004245E3" w:rsidRDefault="00150474" w:rsidP="000C118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0C1187">
            <w:pPr>
              <w:rPr>
                <w:lang w:eastAsia="en-US"/>
              </w:rPr>
            </w:pPr>
            <w:r>
              <w:rPr>
                <w:lang w:eastAsia="en-US"/>
              </w:rPr>
              <w:t>Convida Wireless</w:t>
            </w:r>
          </w:p>
        </w:tc>
        <w:tc>
          <w:tcPr>
            <w:tcW w:w="6937" w:type="dxa"/>
          </w:tcPr>
          <w:p w14:paraId="5063A0C1" w14:textId="5F1DCEA9" w:rsidR="004B08CD" w:rsidRPr="004245E3" w:rsidRDefault="004B08CD" w:rsidP="000C1187">
            <w:pPr>
              <w:rPr>
                <w:lang w:eastAsia="en-US"/>
              </w:rPr>
            </w:pPr>
            <w:r>
              <w:rPr>
                <w:lang w:eastAsia="en-US"/>
              </w:rPr>
              <w:t>We prefer Alt. 2.</w:t>
            </w:r>
          </w:p>
        </w:tc>
      </w:tr>
    </w:tbl>
    <w:p w14:paraId="37D8E82E" w14:textId="77777777" w:rsidR="006C7ECB" w:rsidRPr="00E066FF" w:rsidRDefault="006C7ECB"/>
    <w:p w14:paraId="37D8E82F" w14:textId="77777777" w:rsidR="006C7ECB" w:rsidRDefault="006C7ECB"/>
    <w:p w14:paraId="37D8E830" w14:textId="77777777" w:rsidR="006C7ECB" w:rsidRDefault="00A01006">
      <w:pPr>
        <w:pStyle w:val="discussionpoint"/>
      </w:pPr>
      <w:r>
        <w:t>Discussion 2.5.1-2</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lastRenderedPageBreak/>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proofErr w:type="spellStart"/>
            <w:r>
              <w:rPr>
                <w:lang w:eastAsia="en-US"/>
              </w:rPr>
              <w:t>Futurewei</w:t>
            </w:r>
            <w:proofErr w:type="spellEnd"/>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0C1187">
            <w:pPr>
              <w:rPr>
                <w:lang w:eastAsia="en-US"/>
              </w:rPr>
            </w:pPr>
            <w:r w:rsidRPr="004245E3">
              <w:rPr>
                <w:lang w:eastAsia="en-US"/>
              </w:rPr>
              <w:t>InterDigital</w:t>
            </w:r>
          </w:p>
        </w:tc>
        <w:tc>
          <w:tcPr>
            <w:tcW w:w="6937" w:type="dxa"/>
          </w:tcPr>
          <w:p w14:paraId="38F3CBC3" w14:textId="77777777" w:rsidR="00150474" w:rsidRPr="004245E3" w:rsidRDefault="00150474" w:rsidP="000C1187">
            <w:pPr>
              <w:rPr>
                <w:lang w:eastAsia="en-US"/>
              </w:rPr>
            </w:pPr>
            <w:r w:rsidRPr="004245E3">
              <w:rPr>
                <w:lang w:eastAsia="en-US"/>
              </w:rPr>
              <w:t>We are fine with this compromise.</w:t>
            </w:r>
          </w:p>
        </w:tc>
      </w:tr>
    </w:tbl>
    <w:p w14:paraId="37D8E840" w14:textId="77777777" w:rsidR="006C7ECB" w:rsidRPr="00E066FF"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DB63AF" w:rsidRDefault="00DB63AF">
                      <w:pPr>
                        <w:snapToGrid w:val="0"/>
                        <w:spacing w:line="252" w:lineRule="auto"/>
                        <w:rPr>
                          <w:rFonts w:cs="Times"/>
                          <w:szCs w:val="20"/>
                        </w:rPr>
                      </w:pPr>
                    </w:p>
                    <w:p w14:paraId="37D8ED87"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88" w14:textId="77777777" w:rsidR="00DB63AF" w:rsidRDefault="00DB63AF">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DB63AF" w:rsidRDefault="00DB63AF">
                      <w:pPr>
                        <w:pStyle w:val="a"/>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DB63AF" w:rsidRDefault="00DB63AF">
                      <w:pPr>
                        <w:pStyle w:val="a"/>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Samsung,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Convida,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3. LBT at receiver  (Convida, Fujitsu, Huawei, Intel, AT&amp;T, InterDigital, OPPO, Sony, vivo, Xiaomi(study), ZTE )</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77777777" w:rsidR="006C7ECB" w:rsidRDefault="00A01006">
      <w:pPr>
        <w:rPr>
          <w:lang w:eastAsia="en-US"/>
        </w:rPr>
      </w:pPr>
      <w:r>
        <w:rPr>
          <w:lang w:eastAsia="en-US"/>
        </w:rPr>
        <w:t>As a receiver assistance technique, introduce L1-RSSI measurement to be sent as part of 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77777777"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37D8E8C7"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lastRenderedPageBreak/>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12C8EEF9" w:rsidR="00BC139B" w:rsidRDefault="00BC139B" w:rsidP="00BC139B">
            <w:pPr>
              <w:rPr>
                <w:lang w:eastAsia="en-US"/>
              </w:rPr>
            </w:pPr>
            <w:r>
              <w:rPr>
                <w:lang w:eastAsia="en-US"/>
              </w:rPr>
              <w:t xml:space="preserve">As AP-CSI enhancement, the improvement of L1-RSSI versus L1-SINR is not clear.   </w:t>
            </w:r>
          </w:p>
        </w:tc>
      </w:tr>
      <w:tr w:rsidR="00ED10E8" w14:paraId="2E4ABA29" w14:textId="77777777" w:rsidTr="00443150">
        <w:tc>
          <w:tcPr>
            <w:tcW w:w="2425" w:type="dxa"/>
          </w:tcPr>
          <w:p w14:paraId="08049822" w14:textId="730B5875" w:rsidR="00ED10E8" w:rsidRDefault="00ED10E8" w:rsidP="00BC139B">
            <w:pPr>
              <w:rPr>
                <w:lang w:eastAsia="en-US"/>
              </w:rPr>
            </w:pPr>
            <w:proofErr w:type="spellStart"/>
            <w:r>
              <w:rPr>
                <w:lang w:eastAsia="en-US"/>
              </w:rPr>
              <w:t>Futurewei</w:t>
            </w:r>
            <w:proofErr w:type="spellEnd"/>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0C118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0C118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hint="eastAsia"/>
                <w:lang w:eastAsia="zh-CN"/>
              </w:rPr>
            </w:pPr>
            <w:r>
              <w:rPr>
                <w:rFonts w:eastAsiaTheme="minorEastAsia"/>
                <w:lang w:eastAsia="zh-CN"/>
              </w:rPr>
              <w:t>Convida Wireless</w:t>
            </w:r>
          </w:p>
        </w:tc>
        <w:tc>
          <w:tcPr>
            <w:tcW w:w="6937" w:type="dxa"/>
          </w:tcPr>
          <w:p w14:paraId="3E00144F" w14:textId="3E6D6C0A" w:rsidR="004B08CD" w:rsidRDefault="004B08CD" w:rsidP="00525E9E">
            <w:pPr>
              <w:rPr>
                <w:rFonts w:eastAsiaTheme="minorEastAsia" w:hint="eastAsia"/>
                <w:lang w:eastAsia="zh-CN"/>
              </w:rPr>
            </w:pPr>
            <w:r>
              <w:rPr>
                <w:rFonts w:eastAsiaTheme="minorEastAsia"/>
                <w:lang w:eastAsia="zh-CN"/>
              </w:rPr>
              <w:t>We are ok with the proposal.</w:t>
            </w:r>
          </w:p>
        </w:tc>
      </w:tr>
    </w:tbl>
    <w:p w14:paraId="37D8E8D7" w14:textId="77777777" w:rsidR="006C7ECB" w:rsidRPr="00150474" w:rsidRDefault="006C7ECB">
      <w:pPr>
        <w:rPr>
          <w:lang w:val="en-US"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lastRenderedPageBreak/>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supporting Alt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77777777" w:rsidR="006C7ECB" w:rsidRDefault="006C7ECB">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proofErr w:type="spellStart"/>
            <w:r>
              <w:rPr>
                <w:lang w:eastAsia="en-US"/>
              </w:rPr>
              <w:t>Futurewei</w:t>
            </w:r>
            <w:proofErr w:type="spellEnd"/>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r>
              <w:rPr>
                <w:lang w:eastAsia="en-US"/>
              </w:rPr>
              <w:t>Convida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77777777" w:rsidR="006C7ECB" w:rsidRDefault="00A01006">
      <w:pPr>
        <w:rPr>
          <w:lang w:eastAsia="en-US"/>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proofErr w:type="spellStart"/>
            <w:r>
              <w:rPr>
                <w:lang w:eastAsia="en-US"/>
              </w:rPr>
              <w:t>Futurewei</w:t>
            </w:r>
            <w:proofErr w:type="spellEnd"/>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r>
              <w:rPr>
                <w:lang w:eastAsia="en-US"/>
              </w:rPr>
              <w:lastRenderedPageBreak/>
              <w:t>Convida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bl>
    <w:p w14:paraId="37D8E9A9" w14:textId="77777777" w:rsidR="006C7ECB"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77777777" w:rsidR="006C7ECB" w:rsidRDefault="00A01006">
      <w:pPr>
        <w:pStyle w:val="ListParagraph"/>
        <w:numPr>
          <w:ilvl w:val="0"/>
          <w:numId w:val="15"/>
        </w:numPr>
        <w:rPr>
          <w:lang w:eastAsia="en-US"/>
        </w:rPr>
      </w:pPr>
      <w:r>
        <w:rPr>
          <w:lang w:eastAsia="en-US"/>
        </w:rPr>
        <w:t>Alt A:  Support both Alt-1 and Alt 2</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37D8E9AF" w14:textId="77777777" w:rsidR="006C7ECB" w:rsidRDefault="006C7ECB">
      <w:pPr>
        <w:rPr>
          <w:rFonts w:cs="Times"/>
          <w:szCs w:val="20"/>
        </w:rPr>
      </w:pP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proofErr w:type="spellStart"/>
            <w:r>
              <w:rPr>
                <w:lang w:eastAsia="en-US"/>
              </w:rPr>
              <w:t>Futurewei</w:t>
            </w:r>
            <w:proofErr w:type="spellEnd"/>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77777777" w:rsidR="008550C0" w:rsidRDefault="008550C0" w:rsidP="00DB63AF">
            <w:pPr>
              <w:rPr>
                <w:lang w:eastAsia="en-US"/>
              </w:rPr>
            </w:pP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bl>
    <w:p w14:paraId="37D8E9C0" w14:textId="77777777" w:rsidR="006C7ECB"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lastRenderedPageBreak/>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proofErr w:type="spellStart"/>
            <w:r>
              <w:rPr>
                <w:lang w:eastAsia="en-US"/>
              </w:rPr>
              <w:t>Futurewei</w:t>
            </w:r>
            <w:proofErr w:type="spellEnd"/>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r>
              <w:rPr>
                <w:lang w:eastAsia="en-US"/>
              </w:rPr>
              <w:t>Convida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9D7"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9D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2" w:name="OLE_LINK166"/>
            <w:bookmarkStart w:id="3"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w:t>
            </w:r>
            <w:r w:rsidRPr="00E75CD9">
              <w:lastRenderedPageBreak/>
              <w:t>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4" w:name="OLE_LINK93"/>
            <w:bookmarkStart w:id="5" w:name="OLE_LINK94"/>
            <w:r>
              <w:t>CCA engine/backoff counter</w:t>
            </w:r>
            <w:bookmarkEnd w:id="4"/>
            <w:bookmarkEnd w:id="5"/>
            <w:r>
              <w:t xml:space="preserve"> a sensing slot cannot be skipped or blindly assumed idle based on the sensing result of another</w:t>
            </w:r>
            <w:r w:rsidRPr="00D626D1">
              <w:t xml:space="preserve"> </w:t>
            </w:r>
            <w:r>
              <w:t xml:space="preserve">CCA engine/backoff counter.   </w:t>
            </w:r>
          </w:p>
          <w:bookmarkEnd w:id="2"/>
          <w:bookmarkEnd w:id="3"/>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bl>
    <w:p w14:paraId="37D8E9E7" w14:textId="77777777" w:rsidR="006C7ECB" w:rsidRPr="00E066FF"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TW"/>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DB63AF" w:rsidRDefault="00DB63AF">
                      <w:pPr>
                        <w:pStyle w:val="discussionpoint"/>
                        <w:spacing w:after="0"/>
                        <w:rPr>
                          <w:rFonts w:ascii="Times" w:hAnsi="Times" w:cs="Times"/>
                          <w:highlight w:val="green"/>
                        </w:rPr>
                      </w:pPr>
                      <w:r>
                        <w:rPr>
                          <w:rFonts w:ascii="Times" w:hAnsi="Times" w:cs="Times"/>
                          <w:highlight w:val="green"/>
                        </w:rPr>
                        <w:t>Agreement:</w:t>
                      </w:r>
                    </w:p>
                    <w:p w14:paraId="37D8ED90" w14:textId="77777777" w:rsidR="00DB63AF" w:rsidRDefault="00DB63AF">
                      <w:pPr>
                        <w:rPr>
                          <w:rFonts w:cs="Times"/>
                          <w:szCs w:val="20"/>
                        </w:rPr>
                      </w:pPr>
                      <w:r>
                        <w:rPr>
                          <w:rFonts w:cs="Times"/>
                          <w:szCs w:val="20"/>
                        </w:rPr>
                        <w:t>Define Type A and Type B multi-channel channel access as:</w:t>
                      </w:r>
                    </w:p>
                    <w:p w14:paraId="37D8ED91"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DB63AF" w:rsidRDefault="00DB63AF">
                      <w:pPr>
                        <w:rPr>
                          <w:rFonts w:cs="Times"/>
                          <w:szCs w:val="20"/>
                        </w:rPr>
                      </w:pPr>
                      <w:r>
                        <w:rPr>
                          <w:rFonts w:cs="Times"/>
                          <w:szCs w:val="20"/>
                        </w:rPr>
                        <w:t>Down-selection between</w:t>
                      </w:r>
                    </w:p>
                    <w:p w14:paraId="37D8ED94"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DB63AF" w:rsidRDefault="00DB63AF">
                      <w:pPr>
                        <w:pStyle w:val="a"/>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DB63AF" w:rsidRDefault="00DB63AF">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DB63AF" w:rsidRDefault="00DB63AF">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proofErr w:type="spellStart"/>
            <w:r>
              <w:rPr>
                <w:lang w:eastAsia="en-US"/>
              </w:rPr>
              <w:t>Futurewei</w:t>
            </w:r>
            <w:proofErr w:type="spellEnd"/>
            <w:r>
              <w:rPr>
                <w:lang w:eastAsia="en-US"/>
              </w:rPr>
              <w:t xml:space="preserve">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r>
              <w:rPr>
                <w:lang w:eastAsia="en-US"/>
              </w:rPr>
              <w:lastRenderedPageBreak/>
              <w:t>Convida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8550C0" w14:paraId="542CDCF4" w14:textId="77777777" w:rsidTr="005F3E8B">
        <w:tc>
          <w:tcPr>
            <w:tcW w:w="2425" w:type="dxa"/>
          </w:tcPr>
          <w:p w14:paraId="21A5746A" w14:textId="77777777" w:rsidR="008550C0" w:rsidRDefault="008550C0" w:rsidP="005F3E8B">
            <w:pPr>
              <w:rPr>
                <w:lang w:eastAsia="en-US"/>
              </w:rPr>
            </w:pPr>
          </w:p>
        </w:tc>
        <w:tc>
          <w:tcPr>
            <w:tcW w:w="6937" w:type="dxa"/>
          </w:tcPr>
          <w:p w14:paraId="636FD435" w14:textId="77777777" w:rsidR="008550C0" w:rsidRDefault="008550C0" w:rsidP="005F3E8B">
            <w:pPr>
              <w:rPr>
                <w:lang w:eastAsia="en-US"/>
              </w:rPr>
            </w:pP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[3]dB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3 :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Huawei, Apple, FUTUREWEI, Intel,  InterDigital,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[3]dB beamwidth of the transmission beam(s) is included in the [3]dB beamwidth of the sensing beam</w:t>
      </w:r>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77777777" w:rsidR="006C7ECB" w:rsidRDefault="006C7ECB">
      <w:pPr>
        <w:rPr>
          <w:lang w:eastAsia="en-US"/>
        </w:rPr>
      </w:pPr>
    </w:p>
    <w:p w14:paraId="37D8EAB1" w14:textId="77777777" w:rsidR="006C7ECB" w:rsidRDefault="00A01006">
      <w:pPr>
        <w:pStyle w:val="ListParagraph"/>
        <w:numPr>
          <w:ilvl w:val="1"/>
          <w:numId w:val="22"/>
        </w:numPr>
        <w:rPr>
          <w:lang w:val="en-US" w:eastAsia="en-US"/>
        </w:rPr>
      </w:pPr>
      <w:r>
        <w:rPr>
          <w:lang w:val="en-US" w:eastAsia="en-US"/>
        </w:rPr>
        <w:t xml:space="preserve">Alt 2-3: Extending QCL/TCI framework for sensing: If gNB configures some UE to use TCI state B as QCL source for TCS state A, then the beam used for TCI B can be used as a sensing beam for </w:t>
      </w:r>
      <w:r>
        <w:rPr>
          <w:lang w:val="en-US" w:eastAsia="en-US"/>
        </w:rPr>
        <w:lastRenderedPageBreak/>
        <w:t>transmission of beam for TCI A. This extension allows gNB to define the relationship between its sensing beams and transmissions.</w:t>
      </w:r>
    </w:p>
    <w:p w14:paraId="37D8EAB2" w14:textId="77777777" w:rsidR="006C7ECB" w:rsidRDefault="00A01006">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37D8EAB3" w14:textId="77777777" w:rsidR="006C7ECB" w:rsidRDefault="006C7ECB">
      <w:pPr>
        <w:pStyle w:val="ListParagraph"/>
        <w:numPr>
          <w:ilvl w:val="0"/>
          <w:numId w:val="0"/>
        </w:numPr>
        <w:ind w:left="1440"/>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lastRenderedPageBreak/>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6" w:name="_Toc55375929"/>
            <w:bookmarkStart w:id="7" w:name="_Toc55377107"/>
            <w:bookmarkStart w:id="8" w:name="_Toc56083007"/>
            <w:bookmarkStart w:id="9" w:name="_Toc535304757"/>
            <w:bookmarkStart w:id="10" w:name="_Toc535305763"/>
            <w:bookmarkStart w:id="11" w:name="_Toc535305880"/>
            <w:bookmarkStart w:id="12" w:name="_Toc40800392"/>
            <w:bookmarkStart w:id="13" w:name="_Toc40800519"/>
            <w:r w:rsidRPr="00153258">
              <w:rPr>
                <w:i/>
                <w:iCs/>
                <w:szCs w:val="20"/>
                <w:u w:val="single"/>
              </w:rPr>
              <w:t>“5.3.8.2</w:t>
            </w:r>
            <w:r w:rsidRPr="00153258">
              <w:rPr>
                <w:i/>
                <w:iCs/>
                <w:szCs w:val="20"/>
                <w:u w:val="single"/>
              </w:rPr>
              <w:tab/>
              <w:t>Test method</w:t>
            </w:r>
            <w:bookmarkEnd w:id="6"/>
            <w:bookmarkEnd w:id="7"/>
            <w:bookmarkEnd w:id="8"/>
            <w:bookmarkEnd w:id="9"/>
            <w:bookmarkEnd w:id="10"/>
            <w:bookmarkEnd w:id="11"/>
            <w:bookmarkEnd w:id="12"/>
            <w:bookmarkEnd w:id="13"/>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proofErr w:type="spellStart"/>
            <w:r>
              <w:rPr>
                <w:lang w:eastAsia="en-US"/>
              </w:rPr>
              <w:t>Futurewei</w:t>
            </w:r>
            <w:proofErr w:type="spellEnd"/>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X  [FFS]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lastRenderedPageBreak/>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r w:rsidRPr="006E191E">
              <w:rPr>
                <w:rFonts w:eastAsia="Gulim"/>
                <w:i/>
                <w:iCs/>
                <w:color w:val="C00000"/>
                <w:kern w:val="0"/>
                <w:szCs w:val="20"/>
                <w:lang w:val="en-US" w:eastAsia="en-US"/>
              </w:rPr>
              <w:t xml:space="preserve">" .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lastRenderedPageBreak/>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gNB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frame work which describe Rx beams used for two DL RSs. So, for one to one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beam,  extend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[3]dB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lastRenderedPageBreak/>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0C1187">
            <w:pPr>
              <w:rPr>
                <w:lang w:eastAsia="en-US"/>
              </w:rPr>
            </w:pPr>
            <w:r w:rsidRPr="004245E3">
              <w:rPr>
                <w:lang w:eastAsia="en-US"/>
              </w:rPr>
              <w:t>InterDigital</w:t>
            </w:r>
          </w:p>
        </w:tc>
        <w:tc>
          <w:tcPr>
            <w:tcW w:w="6937" w:type="dxa"/>
          </w:tcPr>
          <w:p w14:paraId="3661D8F0" w14:textId="77777777" w:rsidR="00150474" w:rsidRPr="004245E3" w:rsidRDefault="00150474" w:rsidP="000C118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0C1187">
            <w:pPr>
              <w:rPr>
                <w:lang w:eastAsia="en-US"/>
              </w:rPr>
            </w:pPr>
            <w:r>
              <w:rPr>
                <w:lang w:eastAsia="en-US"/>
              </w:rPr>
              <w:t>Convida Wireless</w:t>
            </w:r>
          </w:p>
        </w:tc>
        <w:tc>
          <w:tcPr>
            <w:tcW w:w="6937" w:type="dxa"/>
          </w:tcPr>
          <w:p w14:paraId="4D6D2C22" w14:textId="11C0B4AC" w:rsidR="003F505D" w:rsidRPr="004245E3" w:rsidRDefault="003F505D" w:rsidP="000C118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bl>
    <w:p w14:paraId="37D8EAC6" w14:textId="77777777" w:rsidR="006C7ECB"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4"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4"/>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Convida, Ericsson, Fujitsu , (FFS for </w:t>
      </w:r>
      <w:proofErr w:type="spellStart"/>
      <w:r>
        <w:t>Futurewei</w:t>
      </w:r>
      <w:proofErr w:type="spellEnd"/>
      <w:r>
        <w:t xml:space="preserve">),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5" w:name="_Hlk72139826"/>
      <w:r>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15"/>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For: Convida</w:t>
      </w:r>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77777777"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proofErr w:type="spellStart"/>
            <w:r>
              <w:rPr>
                <w:lang w:eastAsia="en-US"/>
              </w:rPr>
              <w:t>Futurewei</w:t>
            </w:r>
            <w:proofErr w:type="spellEnd"/>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w:t>
            </w:r>
            <w:r w:rsidRPr="00D34348">
              <w:rPr>
                <w:lang w:eastAsia="en-US"/>
              </w:rPr>
              <w:lastRenderedPageBreak/>
              <w:t xml:space="preserve">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Huawei, HiSilicon</w:t>
            </w:r>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hint="eastAsia"/>
                <w:lang w:eastAsia="zh-CN"/>
              </w:rPr>
            </w:pPr>
            <w:r>
              <w:rPr>
                <w:rFonts w:eastAsiaTheme="minorEastAsia"/>
                <w:lang w:eastAsia="zh-CN"/>
              </w:rPr>
              <w:t>Convida Wireless</w:t>
            </w:r>
          </w:p>
        </w:tc>
        <w:tc>
          <w:tcPr>
            <w:tcW w:w="6937" w:type="dxa"/>
          </w:tcPr>
          <w:p w14:paraId="1DCEB217" w14:textId="058D58CF" w:rsidR="003F505D" w:rsidRDefault="003F505D" w:rsidP="00525E9E">
            <w:pPr>
              <w:rPr>
                <w:rFonts w:eastAsiaTheme="minorEastAsia" w:hint="eastAsia"/>
                <w:lang w:eastAsia="zh-CN"/>
              </w:rPr>
            </w:pPr>
            <w:r>
              <w:rPr>
                <w:rFonts w:eastAsiaTheme="minorEastAsia" w:hint="eastAsia"/>
                <w:lang w:eastAsia="zh-CN"/>
              </w:rPr>
              <w:t>W</w:t>
            </w:r>
            <w:r>
              <w:rPr>
                <w:rFonts w:eastAsiaTheme="minorEastAsia"/>
                <w:lang w:eastAsia="zh-CN"/>
              </w:rPr>
              <w:t>e support the proposal.</w:t>
            </w:r>
          </w:p>
        </w:tc>
      </w:tr>
    </w:tbl>
    <w:p w14:paraId="37D8EB5E" w14:textId="79D990A0" w:rsidR="006C7ECB"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37D8EB62" w14:textId="77777777" w:rsidR="006C7ECB" w:rsidRDefault="00A01006">
      <w:pPr>
        <w:pStyle w:val="ListParagraph"/>
        <w:numPr>
          <w:ilvl w:val="0"/>
          <w:numId w:val="23"/>
        </w:numPr>
      </w:pPr>
      <w:r>
        <w:t>Support per beam indication of the decision on applying LBT mode or no-LBT mode:</w:t>
      </w:r>
    </w:p>
    <w:p w14:paraId="37D8EB63" w14:textId="77777777" w:rsidR="006C7ECB" w:rsidRDefault="00A01006">
      <w:pPr>
        <w:pStyle w:val="ListParagraph"/>
        <w:numPr>
          <w:ilvl w:val="0"/>
          <w:numId w:val="23"/>
        </w:numPr>
      </w:pPr>
      <w:r>
        <w:t>Do not support per beam indication of the decision on applying LBT mode or no-LBT mode:</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is not necessary. The beam pair link quality is changing due to UE moving or rotation. In general, TCI states are updated dynamically based on beam report, e.g.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proofErr w:type="spellStart"/>
            <w:r>
              <w:rPr>
                <w:lang w:eastAsia="en-US"/>
              </w:rPr>
              <w:t>Futurewei</w:t>
            </w:r>
            <w:proofErr w:type="spellEnd"/>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31556B">
        <w:tc>
          <w:tcPr>
            <w:tcW w:w="2425" w:type="dxa"/>
          </w:tcPr>
          <w:p w14:paraId="70E2A35A" w14:textId="77777777" w:rsidR="00525E9E" w:rsidRDefault="00525E9E" w:rsidP="0031556B">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31556B">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31556B">
        <w:tc>
          <w:tcPr>
            <w:tcW w:w="2425" w:type="dxa"/>
          </w:tcPr>
          <w:p w14:paraId="55B5555E" w14:textId="7D5F5C61" w:rsidR="003F505D" w:rsidRDefault="003F505D" w:rsidP="0031556B">
            <w:pPr>
              <w:rPr>
                <w:rFonts w:eastAsiaTheme="minorEastAsia" w:hint="eastAsia"/>
                <w:lang w:eastAsia="zh-CN"/>
              </w:rPr>
            </w:pPr>
            <w:r>
              <w:rPr>
                <w:rFonts w:eastAsiaTheme="minorEastAsia"/>
                <w:lang w:eastAsia="zh-CN"/>
              </w:rPr>
              <w:t>Convida Wireless</w:t>
            </w:r>
          </w:p>
        </w:tc>
        <w:tc>
          <w:tcPr>
            <w:tcW w:w="6937" w:type="dxa"/>
          </w:tcPr>
          <w:p w14:paraId="2898E598" w14:textId="070AAE59" w:rsidR="003F505D" w:rsidRDefault="003F505D" w:rsidP="0031556B">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bl>
    <w:p w14:paraId="37D8EB74" w14:textId="77777777" w:rsidR="006C7ECB" w:rsidRPr="00E066FF"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gNB indication on using LBT mode or no-LBT mode is adopted, please provide your view whether the indication of the decision on applying LBT mode or no-LBT  mode is per cell (can be different for different cells for a UE in carrier aggregation),  </w:t>
      </w:r>
    </w:p>
    <w:p w14:paraId="37D8EB77" w14:textId="77777777" w:rsidR="006C7ECB" w:rsidRDefault="00A01006">
      <w:pPr>
        <w:pStyle w:val="ListParagraph"/>
        <w:numPr>
          <w:ilvl w:val="0"/>
          <w:numId w:val="23"/>
        </w:numPr>
      </w:pPr>
      <w:r>
        <w:t>Support per cell indication of the decision on applying LBT mode or no-LBT mode:</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16" w:name="_Hlk67063652"/>
            <w:r w:rsidRPr="00E01C1A">
              <w:rPr>
                <w:lang w:val="en-US"/>
              </w:rPr>
              <w:t>complex</w:t>
            </w:r>
            <w:r>
              <w:rPr>
                <w:lang w:val="en-US"/>
              </w:rPr>
              <w:t>ity</w:t>
            </w:r>
            <w:bookmarkEnd w:id="16"/>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5FF0211E" w:rsidR="000906DC" w:rsidRPr="000906DC" w:rsidRDefault="000906DC" w:rsidP="00E066FF">
            <w:pPr>
              <w:rPr>
                <w:rFonts w:eastAsiaTheme="minorEastAsia"/>
                <w:lang w:val="en-US" w:eastAsia="zh-CN"/>
              </w:rPr>
            </w:pP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hint="eastAsia"/>
                <w:lang w:eastAsia="zh-CN"/>
              </w:rPr>
            </w:pPr>
            <w:r>
              <w:rPr>
                <w:rFonts w:eastAsiaTheme="minorEastAsia"/>
                <w:lang w:eastAsia="zh-CN"/>
              </w:rPr>
              <w:t>Convida Wireless</w:t>
            </w:r>
          </w:p>
        </w:tc>
        <w:tc>
          <w:tcPr>
            <w:tcW w:w="6937" w:type="dxa"/>
          </w:tcPr>
          <w:p w14:paraId="061B15F1" w14:textId="7B49F431" w:rsidR="003F505D" w:rsidRDefault="003F505D" w:rsidP="00525E9E">
            <w:pPr>
              <w:rPr>
                <w:rFonts w:eastAsiaTheme="minorEastAsia" w:hint="eastAsia"/>
                <w:lang w:eastAsia="zh-CN"/>
              </w:rPr>
            </w:pPr>
            <w:r>
              <w:rPr>
                <w:rFonts w:eastAsiaTheme="minorEastAsia"/>
                <w:lang w:eastAsia="zh-CN"/>
              </w:rPr>
              <w:t xml:space="preserve">We are ok with </w:t>
            </w:r>
            <w:r w:rsidRPr="004245E3">
              <w:rPr>
                <w:lang w:eastAsia="en-US"/>
              </w:rPr>
              <w:t>per cell indication</w:t>
            </w:r>
            <w:r>
              <w:rPr>
                <w:lang w:eastAsia="en-US"/>
              </w:rPr>
              <w:t>.</w:t>
            </w:r>
          </w:p>
        </w:tc>
      </w:tr>
    </w:tbl>
    <w:p w14:paraId="37D8EB86" w14:textId="77777777" w:rsidR="006C7ECB" w:rsidRPr="00E066FF"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Support a gNB and its UE(s) to have different mode: </w:t>
      </w:r>
    </w:p>
    <w:p w14:paraId="37D8EB8B"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ab/>
        <w:t xml:space="preserve">A gNB and its UE(s) are either both in LBT mode or both in no-LBT mode: </w:t>
      </w: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lastRenderedPageBreak/>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proofErr w:type="spellStart"/>
            <w:r>
              <w:rPr>
                <w:lang w:eastAsia="en-US"/>
              </w:rPr>
              <w:t>Futurewei</w:t>
            </w:r>
            <w:proofErr w:type="spellEnd"/>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Huawei, HiSilicon</w:t>
            </w:r>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 xml:space="preserve">There is no need to limit the operation to both using the same mode. </w:t>
            </w:r>
            <w:proofErr w:type="gramStart"/>
            <w:r w:rsidRPr="004245E3">
              <w:rPr>
                <w:lang w:eastAsia="en-US"/>
              </w:rPr>
              <w:t>Therefore</w:t>
            </w:r>
            <w:proofErr w:type="gramEnd"/>
            <w:r w:rsidRPr="004245E3">
              <w:rPr>
                <w:lang w:eastAsia="en-US"/>
              </w:rPr>
              <w:t xml:space="preserv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hint="eastAsia"/>
                <w:lang w:eastAsia="zh-CN"/>
              </w:rPr>
            </w:pPr>
            <w:r>
              <w:rPr>
                <w:rFonts w:eastAsiaTheme="minorEastAsia"/>
                <w:lang w:eastAsia="zh-CN"/>
              </w:rPr>
              <w:t>Convida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bl>
    <w:p w14:paraId="37D8EB9B" w14:textId="77777777" w:rsidR="006C7ECB" w:rsidRPr="00E066FF"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p>
    <w:p w14:paraId="37D8EB9F"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Do not support, higher-layer signaling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signaling for this purpose. </w:t>
            </w:r>
          </w:p>
        </w:tc>
      </w:tr>
      <w:tr w:rsidR="00A64A95" w14:paraId="1F711040" w14:textId="77777777" w:rsidTr="00443150">
        <w:tc>
          <w:tcPr>
            <w:tcW w:w="2425" w:type="dxa"/>
          </w:tcPr>
          <w:p w14:paraId="177341A9" w14:textId="798A71FB" w:rsidR="00A64A95" w:rsidRDefault="00A64A95" w:rsidP="00E066FF">
            <w:pPr>
              <w:rPr>
                <w:lang w:eastAsia="en-US"/>
              </w:rPr>
            </w:pPr>
            <w:proofErr w:type="spellStart"/>
            <w:r>
              <w:rPr>
                <w:lang w:eastAsia="en-US"/>
              </w:rPr>
              <w:t>Futurewei</w:t>
            </w:r>
            <w:proofErr w:type="spellEnd"/>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Huawei, HiSilicon</w:t>
            </w:r>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lastRenderedPageBreak/>
              <w:t>InterDigital</w:t>
            </w:r>
          </w:p>
        </w:tc>
        <w:tc>
          <w:tcPr>
            <w:tcW w:w="6937" w:type="dxa"/>
          </w:tcPr>
          <w:p w14:paraId="1234E61B" w14:textId="36A30CE6" w:rsidR="00150474" w:rsidRDefault="00150474" w:rsidP="00150474">
            <w:pPr>
              <w:rPr>
                <w:rFonts w:eastAsia="PMingLiU"/>
                <w:lang w:eastAsia="zh-TW"/>
              </w:rPr>
            </w:pPr>
            <w:r w:rsidRPr="004245E3">
              <w:rPr>
                <w:lang w:eastAsia="en-US"/>
              </w:rPr>
              <w:t>We agree with Nokia and we support L1 signaling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hint="eastAsia"/>
                <w:lang w:eastAsia="zh-CN"/>
              </w:rPr>
            </w:pPr>
            <w:r>
              <w:rPr>
                <w:rFonts w:eastAsiaTheme="minorEastAsia"/>
                <w:lang w:eastAsia="zh-CN"/>
              </w:rPr>
              <w:t>Convida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w:t>
            </w:r>
            <w:r w:rsidRPr="004245E3">
              <w:rPr>
                <w:lang w:eastAsia="en-US"/>
              </w:rPr>
              <w:t>to indicate the LBT mode</w:t>
            </w:r>
            <w:r>
              <w:rPr>
                <w:lang w:eastAsia="en-US"/>
              </w:rPr>
              <w:t>.</w:t>
            </w:r>
          </w:p>
        </w:tc>
      </w:tr>
    </w:tbl>
    <w:p w14:paraId="37D8EBB0" w14:textId="77777777" w:rsidR="006C7ECB" w:rsidRPr="00E066FF" w:rsidRDefault="006C7ECB"/>
    <w:p w14:paraId="37D8EBB1" w14:textId="77777777" w:rsidR="006C7ECB" w:rsidRDefault="00A01006">
      <w:pPr>
        <w:pStyle w:val="Heading2"/>
      </w:pPr>
      <w:r>
        <w:t>Short Control Signaling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17"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Contention Exempt Short Control Signaling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FFS: What are the other DL signals and channels that can be multiplexed with SS/PBCH transmission under Contention Exempt Short Control Signaling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FFS: Other DL signals/channels can be transmitted with Contention Exempt Short Control Signaling rule, such as PDCCH, broadcast PDSCH, PDSCH without user plain data, CSI-RS, PRS, etc</w:t>
            </w:r>
          </w:p>
          <w:bookmarkEnd w:id="17"/>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Huawei HiSilicon</w:t>
            </w:r>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For Short Control Signaling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Ack/Nack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Signaling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lastRenderedPageBreak/>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77777777" w:rsidR="006C7ECB" w:rsidRDefault="00A01006">
      <w:pPr>
        <w:pStyle w:val="ListParagraph"/>
        <w:numPr>
          <w:ilvl w:val="0"/>
          <w:numId w:val="18"/>
        </w:numPr>
        <w:rPr>
          <w:lang w:eastAsia="en-US"/>
        </w:rPr>
      </w:pPr>
      <w:r>
        <w:rPr>
          <w:lang w:eastAsia="en-US"/>
        </w:rPr>
        <w:t>FFS: Other UL signals/channels can be transmitted with Contention Exempt Short Control Signaling rule, such as SRS, PUCCH, PUSCH without user plain data, etc</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signaling overhead </w:t>
            </w:r>
          </w:p>
        </w:tc>
      </w:tr>
      <w:tr w:rsidR="000977AE" w14:paraId="580154CE" w14:textId="77777777">
        <w:tc>
          <w:tcPr>
            <w:tcW w:w="2425" w:type="dxa"/>
          </w:tcPr>
          <w:p w14:paraId="1508DE68" w14:textId="435BD211"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within an observation period of 100 ms;</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ms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18" w:name="_Toc67049887"/>
            <w:r w:rsidRPr="00A6254D">
              <w:rPr>
                <w:sz w:val="14"/>
                <w:szCs w:val="18"/>
              </w:rPr>
              <w:t>4.2.6.1</w:t>
            </w:r>
            <w:r w:rsidRPr="00A6254D">
              <w:rPr>
                <w:sz w:val="14"/>
                <w:szCs w:val="18"/>
              </w:rPr>
              <w:tab/>
              <w:t>Definition</w:t>
            </w:r>
            <w:bookmarkEnd w:id="18"/>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19" w:name="_Toc67049888"/>
            <w:r w:rsidRPr="00A6254D">
              <w:rPr>
                <w:sz w:val="14"/>
                <w:szCs w:val="18"/>
              </w:rPr>
              <w:t>4.2.6.2</w:t>
            </w:r>
            <w:r w:rsidRPr="00A6254D">
              <w:rPr>
                <w:sz w:val="14"/>
                <w:szCs w:val="18"/>
              </w:rPr>
              <w:tab/>
              <w:t>Limits</w:t>
            </w:r>
            <w:bookmarkEnd w:id="19"/>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ms within an observation period of 100 ms.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lastRenderedPageBreak/>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ms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28FD0558" w14:textId="77777777" w:rsidR="0067016B" w:rsidRDefault="0067016B" w:rsidP="00DB63AF">
            <w:pPr>
              <w:pStyle w:val="BodyText"/>
              <w:adjustRightInd/>
              <w:spacing w:after="0"/>
              <w:rPr>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Contention Exempt Short Control Signaling</w:t>
            </w:r>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signaling exemption. In our view, this is a misuse of the exemption that is introduced in regulations for “short control signaling”. </w:t>
            </w:r>
          </w:p>
        </w:tc>
      </w:tr>
    </w:tbl>
    <w:tbl>
      <w:tblPr>
        <w:tblStyle w:val="TableGrid1"/>
        <w:tblW w:w="0" w:type="auto"/>
        <w:tblLook w:val="04A0" w:firstRow="1" w:lastRow="0" w:firstColumn="1" w:lastColumn="0" w:noHBand="0" w:noVBand="1"/>
      </w:tblPr>
      <w:tblGrid>
        <w:gridCol w:w="2425"/>
        <w:gridCol w:w="6937"/>
      </w:tblGrid>
      <w:tr w:rsidR="0067016B" w14:paraId="4CE6964F" w14:textId="77777777" w:rsidTr="00DB63AF">
        <w:tc>
          <w:tcPr>
            <w:tcW w:w="2425" w:type="dxa"/>
          </w:tcPr>
          <w:p w14:paraId="1553B397" w14:textId="77777777" w:rsidR="0067016B" w:rsidRDefault="0067016B" w:rsidP="00DB63AF">
            <w:pPr>
              <w:rPr>
                <w:lang w:eastAsia="en-US"/>
              </w:rPr>
            </w:pPr>
          </w:p>
        </w:tc>
        <w:tc>
          <w:tcPr>
            <w:tcW w:w="6937" w:type="dxa"/>
          </w:tcPr>
          <w:p w14:paraId="471D5F87" w14:textId="77777777" w:rsidR="0067016B" w:rsidRDefault="0067016B" w:rsidP="00DB63AF">
            <w:pPr>
              <w:widowControl/>
              <w:kinsoku/>
              <w:overflowPunct/>
              <w:spacing w:after="0"/>
              <w:jc w:val="left"/>
              <w:textAlignment w:val="auto"/>
              <w:rPr>
                <w:lang w:eastAsia="en-US"/>
              </w:rPr>
            </w:pPr>
          </w:p>
        </w:tc>
      </w:tr>
    </w:tbl>
    <w:p w14:paraId="37D8EC3A" w14:textId="77777777" w:rsidR="006C7ECB"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77777777" w:rsidR="006C7ECB" w:rsidRDefault="00A01006">
      <w:pPr>
        <w:pStyle w:val="ListParagraph"/>
        <w:numPr>
          <w:ilvl w:val="1"/>
          <w:numId w:val="25"/>
        </w:numPr>
        <w:rPr>
          <w:lang w:eastAsia="en-US"/>
        </w:rPr>
      </w:pPr>
      <w:r>
        <w:rPr>
          <w:lang w:eastAsia="en-US"/>
        </w:rPr>
        <w:t>ZTE, WILUS, Lenovo, ITRI, Intel</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58349FDE" w:rsidR="006C7ECB" w:rsidRDefault="00A01006">
      <w:pPr>
        <w:pStyle w:val="ListParagraph"/>
        <w:numPr>
          <w:ilvl w:val="1"/>
          <w:numId w:val="25"/>
        </w:numPr>
        <w:rPr>
          <w:lang w:eastAsia="en-US"/>
        </w:rPr>
      </w:pPr>
      <w:r>
        <w:rPr>
          <w:lang w:eastAsia="en-US"/>
        </w:rPr>
        <w:t xml:space="preserve">SONY, Qualcomm, Ericsson, CATT, </w:t>
      </w:r>
      <w:r>
        <w:rPr>
          <w:color w:val="FF0000"/>
          <w:lang w:eastAsia="en-US"/>
        </w:rPr>
        <w:t>Nokia, NSB</w:t>
      </w:r>
      <w:r w:rsidR="00443150">
        <w:rPr>
          <w:color w:val="FF0000"/>
          <w:lang w:eastAsia="en-US"/>
        </w:rPr>
        <w:t>, vivo</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proofErr w:type="spellStart"/>
            <w:r>
              <w:rPr>
                <w:lang w:eastAsia="en-US"/>
              </w:rPr>
              <w:lastRenderedPageBreak/>
              <w:t>Futurewei</w:t>
            </w:r>
            <w:proofErr w:type="spellEnd"/>
            <w:r>
              <w:rPr>
                <w:lang w:eastAsia="en-US"/>
              </w:rPr>
              <w:t xml:space="preserve">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BC6F46" w14:paraId="419BC323" w14:textId="77777777" w:rsidTr="00DB63AF">
        <w:tc>
          <w:tcPr>
            <w:tcW w:w="2425" w:type="dxa"/>
          </w:tcPr>
          <w:p w14:paraId="43266021" w14:textId="77777777" w:rsidR="00BC6F46" w:rsidRDefault="00BC6F46" w:rsidP="00DB63AF">
            <w:pPr>
              <w:rPr>
                <w:rFonts w:eastAsia="PMingLiU"/>
                <w:lang w:eastAsia="zh-TW"/>
              </w:rPr>
            </w:pPr>
          </w:p>
        </w:tc>
        <w:tc>
          <w:tcPr>
            <w:tcW w:w="6937" w:type="dxa"/>
          </w:tcPr>
          <w:p w14:paraId="3242A409" w14:textId="77777777" w:rsidR="00BC6F46" w:rsidRDefault="00BC6F46" w:rsidP="00DB63AF">
            <w:pPr>
              <w:rPr>
                <w:lang w:eastAsia="en-US"/>
              </w:rPr>
            </w:pPr>
          </w:p>
        </w:tc>
      </w:tr>
    </w:tbl>
    <w:p w14:paraId="37D8EC8C" w14:textId="77777777" w:rsidR="006C7ECB"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77777777" w:rsidR="006C7ECB" w:rsidRDefault="00A01006">
      <w:pPr>
        <w:pStyle w:val="ListParagraph"/>
        <w:numPr>
          <w:ilvl w:val="1"/>
          <w:numId w:val="25"/>
        </w:numPr>
        <w:rPr>
          <w:lang w:eastAsia="en-US"/>
        </w:rPr>
      </w:pPr>
      <w:r>
        <w:rPr>
          <w:lang w:eastAsia="en-US"/>
        </w:rPr>
        <w:t xml:space="preserve">ZTE, WILUS, Lenovo, ITRI, Intel, Nokia (at most 2 classes), MediaTek, </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A3719AF" w:rsidR="006C7ECB" w:rsidRDefault="00A01006">
      <w:pPr>
        <w:pStyle w:val="ListParagraph"/>
        <w:numPr>
          <w:ilvl w:val="1"/>
          <w:numId w:val="25"/>
        </w:numPr>
        <w:rPr>
          <w:lang w:eastAsia="en-US"/>
        </w:rPr>
      </w:pPr>
      <w:r>
        <w:rPr>
          <w:lang w:eastAsia="en-US"/>
        </w:rPr>
        <w:t>Samsung, Qualcomm, Ericsson, CATT</w:t>
      </w:r>
      <w:r w:rsidR="00443150">
        <w:rPr>
          <w:lang w:eastAsia="en-US"/>
        </w:rPr>
        <w:t xml:space="preserve">, </w:t>
      </w:r>
      <w:r w:rsidR="00443150" w:rsidRPr="00443150">
        <w:rPr>
          <w:color w:val="FF0000"/>
          <w:lang w:eastAsia="en-US"/>
        </w:rPr>
        <w:t>vivo</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This depends on the maximum CWS that is supported. We think that CWS = 3 is useful at least for SSBs (if short control signaling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proofErr w:type="spellStart"/>
            <w:r>
              <w:rPr>
                <w:lang w:eastAsia="en-US"/>
              </w:rPr>
              <w:t>Futurewei</w:t>
            </w:r>
            <w:proofErr w:type="spellEnd"/>
            <w:r>
              <w:rPr>
                <w:lang w:eastAsia="en-US"/>
              </w:rPr>
              <w:t xml:space="preserve">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Huawei, HiSilicon</w:t>
            </w:r>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bl>
    <w:p w14:paraId="37D8ECA3" w14:textId="77777777" w:rsidR="006C7ECB"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Convida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HiSilicon</w:t>
            </w:r>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Convida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R1-2104275, Channel access mechanism for 60 GHz unlicensed operation, Huawei, HiSilicon</w:t>
      </w:r>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R1-2105063, Considerations on channel access mechanism for NR  from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lastRenderedPageBreak/>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R1-2105597, On Channel Access Mechanism for NR from 52.6 GHz to 71 GHz, Convida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27E5C" w14:textId="77777777" w:rsidR="009A42B2" w:rsidRDefault="009A42B2">
      <w:pPr>
        <w:spacing w:after="0" w:line="240" w:lineRule="auto"/>
      </w:pPr>
      <w:r>
        <w:separator/>
      </w:r>
    </w:p>
  </w:endnote>
  <w:endnote w:type="continuationSeparator" w:id="0">
    <w:p w14:paraId="3E7189B1" w14:textId="77777777" w:rsidR="009A42B2" w:rsidRDefault="009A4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A" w14:textId="77777777" w:rsidR="00DB63AF" w:rsidRDefault="00DB63A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DB63AF" w:rsidRDefault="00DB63AF">
    <w:pPr>
      <w:pStyle w:val="Footer"/>
    </w:pPr>
  </w:p>
  <w:p w14:paraId="37D8ED4C" w14:textId="77777777" w:rsidR="00DB63AF" w:rsidRDefault="00DB63AF"/>
  <w:p w14:paraId="37D8ED4D" w14:textId="77777777" w:rsidR="00DB63AF" w:rsidRDefault="00DB63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8ED4E" w14:textId="4999A836" w:rsidR="00DB63AF" w:rsidRDefault="00DB63AF">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724D9">
      <w:rPr>
        <w:rStyle w:val="PageNumber"/>
        <w:noProof/>
      </w:rPr>
      <w:t>59</w:t>
    </w:r>
    <w:r>
      <w:rPr>
        <w:rStyle w:val="PageNumber"/>
      </w:rPr>
      <w:fldChar w:fldCharType="end"/>
    </w:r>
  </w:p>
  <w:p w14:paraId="37D8ED4F" w14:textId="77777777" w:rsidR="00DB63AF" w:rsidRDefault="00DB63AF">
    <w:pPr>
      <w:pStyle w:val="Footer"/>
    </w:pPr>
  </w:p>
  <w:p w14:paraId="37D8ED50" w14:textId="77777777" w:rsidR="00DB63AF" w:rsidRDefault="00DB63AF"/>
  <w:p w14:paraId="37D8ED51" w14:textId="77777777" w:rsidR="00DB63AF" w:rsidRDefault="00DB63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A710" w14:textId="77777777" w:rsidR="009A42B2" w:rsidRDefault="009A42B2">
      <w:pPr>
        <w:spacing w:after="0" w:line="240" w:lineRule="auto"/>
      </w:pPr>
      <w:r>
        <w:separator/>
      </w:r>
    </w:p>
  </w:footnote>
  <w:footnote w:type="continuationSeparator" w:id="0">
    <w:p w14:paraId="17778CA2" w14:textId="77777777" w:rsidR="009A42B2" w:rsidRDefault="009A42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6"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9"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9"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28"/>
  </w:num>
  <w:num w:numId="4">
    <w:abstractNumId w:val="8"/>
  </w:num>
  <w:num w:numId="5">
    <w:abstractNumId w:val="26"/>
  </w:num>
  <w:num w:numId="6">
    <w:abstractNumId w:val="7"/>
  </w:num>
  <w:num w:numId="7">
    <w:abstractNumId w:val="13"/>
  </w:num>
  <w:num w:numId="8">
    <w:abstractNumId w:val="9"/>
  </w:num>
  <w:num w:numId="9">
    <w:abstractNumId w:val="14"/>
  </w:num>
  <w:num w:numId="10">
    <w:abstractNumId w:val="15"/>
  </w:num>
  <w:num w:numId="11">
    <w:abstractNumId w:val="10"/>
  </w:num>
  <w:num w:numId="12">
    <w:abstractNumId w:val="18"/>
  </w:num>
  <w:num w:numId="13">
    <w:abstractNumId w:val="27"/>
  </w:num>
  <w:num w:numId="14">
    <w:abstractNumId w:val="20"/>
  </w:num>
  <w:num w:numId="15">
    <w:abstractNumId w:val="5"/>
  </w:num>
  <w:num w:numId="16">
    <w:abstractNumId w:val="24"/>
  </w:num>
  <w:num w:numId="17">
    <w:abstractNumId w:val="16"/>
  </w:num>
  <w:num w:numId="18">
    <w:abstractNumId w:val="3"/>
  </w:num>
  <w:num w:numId="19">
    <w:abstractNumId w:val="17"/>
  </w:num>
  <w:num w:numId="20">
    <w:abstractNumId w:val="23"/>
  </w:num>
  <w:num w:numId="21">
    <w:abstractNumId w:val="22"/>
  </w:num>
  <w:num w:numId="22">
    <w:abstractNumId w:val="6"/>
  </w:num>
  <w:num w:numId="23">
    <w:abstractNumId w:val="2"/>
  </w:num>
  <w:num w:numId="24">
    <w:abstractNumId w:val="21"/>
  </w:num>
  <w:num w:numId="25">
    <w:abstractNumId w:val="25"/>
  </w:num>
  <w:num w:numId="26">
    <w:abstractNumId w:val="19"/>
  </w:num>
  <w:num w:numId="27">
    <w:abstractNumId w:val="11"/>
  </w:num>
  <w:num w:numId="28">
    <w:abstractNumId w:val="4"/>
  </w:num>
  <w:num w:numId="29">
    <w:abstractNumId w:val="2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D8E5B7"/>
  <w15:docId w15:val="{CD5CC38C-FFA8-4658-9193-720BD6E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ì¬º¥¹¥È¶ÎÂä Char,ÁÐ³ö¶ÎÂä Char,¥ê¥¹¥È¶ÎÂä Char,1st level - Bullet 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3.xml><?xml version="1.0" encoding="utf-8"?>
<ds:datastoreItem xmlns:ds="http://schemas.openxmlformats.org/officeDocument/2006/customXml" ds:itemID="{6539A9EA-DC2A-460A-8C32-DCF1A5E36121}">
  <ds:schemaRefs>
    <ds:schemaRef ds:uri="http://schemas.openxmlformats.org/officeDocument/2006/bibliography"/>
  </ds:schemaRefs>
</ds:datastoreItem>
</file>

<file path=customXml/itemProps4.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98B1DA77-27B9-4E8D-B396-77C97E596FD6}">
  <ds:schemaRefs>
    <ds:schemaRef ds:uri="http://schemas.openxmlformats.org/officeDocument/2006/bibliography"/>
  </ds:schemaRefs>
</ds:datastoreItem>
</file>

<file path=customXml/itemProps8.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63</Pages>
  <Words>28690</Words>
  <Characters>163536</Characters>
  <Application>Microsoft Office Word</Application>
  <DocSecurity>0</DocSecurity>
  <Lines>1362</Lines>
  <Paragraphs>383</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191843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Kyle Pan</cp:lastModifiedBy>
  <cp:revision>4</cp:revision>
  <cp:lastPrinted>2019-01-10T09:30:00Z</cp:lastPrinted>
  <dcterms:created xsi:type="dcterms:W3CDTF">2021-05-21T02:30:00Z</dcterms:created>
  <dcterms:modified xsi:type="dcterms:W3CDTF">2021-05-21T02:51:00Z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1621115896</vt:lpwstr>
  </property>
</Properties>
</file>