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w:t>
            </w:r>
            <w:r>
              <w:rPr>
                <w:rFonts w:ascii="Times New Roman" w:hAnsi="Times New Roman"/>
                <w:sz w:val="22"/>
                <w:szCs w:val="22"/>
                <w:lang w:eastAsia="zh-CN"/>
              </w:rPr>
              <w:lastRenderedPageBreak/>
              <w:t>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w:t>
            </w:r>
            <w:r>
              <w:rPr>
                <w:rFonts w:ascii="Times New Roman" w:hAnsi="Times New Roman"/>
                <w:bCs/>
                <w:szCs w:val="20"/>
                <w:lang w:eastAsia="zh-CN"/>
              </w:rPr>
              <w:lastRenderedPageBreak/>
              <w:t>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We understand your concerns and, as such, we provided an alternative proposal on how to support CGI report for 480/960 kHz SSB in Section C above. Regarding your comment on “Alt1” (configuring in SIB1) being a simpler option that “Alt2” (dedicated signaling), we </w:t>
            </w:r>
            <w:r>
              <w:rPr>
                <w:rFonts w:ascii="Times New Roman" w:hAnsi="Times New Roman"/>
                <w:szCs w:val="20"/>
                <w:lang w:eastAsia="zh-CN"/>
              </w:rPr>
              <w:lastRenderedPageBreak/>
              <w:t>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lastRenderedPageBreak/>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w:t>
            </w:r>
            <w:r>
              <w:rPr>
                <w:rFonts w:ascii="Times New Roman" w:hAnsi="Times New Roman"/>
                <w:szCs w:val="20"/>
                <w:lang w:eastAsia="zh-CN"/>
              </w:rPr>
              <w:lastRenderedPageBreak/>
              <w:t xml:space="preserve">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lastRenderedPageBreak/>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lastRenderedPageBreak/>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AE276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w:t>
            </w:r>
            <w:r>
              <w:rPr>
                <w:color w:val="000000" w:themeColor="text1"/>
                <w:lang w:eastAsia="zh-CN"/>
              </w:rPr>
              <w:lastRenderedPageBreak/>
              <w:t>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85pt;height:21.3pt;mso-width-percent:0;mso-height-percent:0;mso-width-percent:0;mso-height-percent:0" o:ole="">
                  <v:imagedata r:id="rId17" o:title=""/>
                </v:shape>
                <o:OLEObject Type="Embed" ProgID="Equation.3" ShapeID="_x0000_i1025" DrawAspect="Content" ObjectID="_1683453655"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45pt;height:15.05pt;mso-width-percent:0;mso-height-percent:0;mso-width-percent:0;mso-height-percent:0" o:ole="">
                  <v:imagedata r:id="rId19" o:title=""/>
                </v:shape>
                <o:OLEObject Type="Embed" ProgID="Equation.3" ShapeID="_x0000_i1026" DrawAspect="Content" ObjectID="_1683453656"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lastRenderedPageBreak/>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AE276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AE2761">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96"/>
        <w:gridCol w:w="8566"/>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lastRenderedPageBreak/>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7.6pt;height:98.9pt;mso-width-percent:0;mso-height-percent:0;mso-width-percent:0;mso-height-percent:0" o:ole="">
                  <v:imagedata r:id="rId21" o:title=""/>
                </v:shape>
                <o:OLEObject Type="Embed" ProgID="Visio.Drawing.15" ShapeID="_x0000_i1027" DrawAspect="Content" ObjectID="_1683453657"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lastRenderedPageBreak/>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AE276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AE276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lastRenderedPageBreak/>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Whether or not new SSB-CORESET0 offsets are needed (still an FFS item) depends on the RAN4 sync raster design. If the existing FR2 sync raster granularity (17.28 MHz) is </w:t>
            </w:r>
            <w:r>
              <w:rPr>
                <w:rFonts w:ascii="Times New Roman" w:hAnsi="Times New Roman"/>
                <w:szCs w:val="22"/>
                <w:lang w:eastAsia="zh-CN"/>
              </w:rPr>
              <w:lastRenderedPageBreak/>
              <w:t>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 xml:space="preserve">or SCS{SSB, CORESET#0} = {120, 120} kHz, at least SSB and CORESET#0 multiplexing patterns, number of RBs for CORESET#0, number </w:t>
            </w:r>
            <w:r>
              <w:rPr>
                <w:rFonts w:ascii="Times New Roman" w:hAnsi="Times New Roman" w:hint="eastAsia"/>
                <w:sz w:val="22"/>
                <w:szCs w:val="22"/>
                <w:lang w:eastAsia="zh-CN"/>
              </w:rPr>
              <w:lastRenderedPageBreak/>
              <w:t>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bookmarkStart w:id="26" w:name="_GoBack"/>
      <w:bookmarkEnd w:id="26"/>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7" w:name="OLE_LINK46"/>
            <w:bookmarkStart w:id="28" w:name="OLE_LINK47"/>
            <w:r>
              <w:rPr>
                <w:lang w:eastAsia="zh-CN"/>
              </w:rPr>
              <w:t>maximum transmission power limit and power spectrum density limit</w:t>
            </w:r>
            <w:bookmarkEnd w:id="27"/>
            <w:bookmarkEnd w:id="28"/>
            <w:r>
              <w:rPr>
                <w:lang w:eastAsia="zh-CN"/>
              </w:rPr>
              <w:t xml:space="preserve"> should be observed and</w:t>
            </w:r>
            <w:bookmarkStart w:id="29" w:name="OLE_LINK48"/>
            <w:bookmarkStart w:id="30" w:name="OLE_LINK49"/>
            <w:r>
              <w:rPr>
                <w:lang w:eastAsia="zh-CN"/>
              </w:rPr>
              <w:t xml:space="preserve"> to make full use of the transmit power</w:t>
            </w:r>
            <w:bookmarkEnd w:id="29"/>
            <w:bookmarkEnd w:id="30"/>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5.85pt;height:21.3pt;mso-width-percent:0;mso-height-percent:0;mso-width-percent:0;mso-height-percent:0" o:ole="">
                  <v:imagedata r:id="rId17" o:title=""/>
                </v:shape>
                <o:OLEObject Type="Embed" ProgID="Equation.3" ShapeID="_x0000_i1028" DrawAspect="Content" ObjectID="_1683453658"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45pt;height:15.05pt;mso-width-percent:0;mso-height-percent:0;mso-width-percent:0;mso-height-percent:0" o:ole="">
                  <v:imagedata r:id="rId19" o:title=""/>
                </v:shape>
                <o:OLEObject Type="Embed" ProgID="Equation.3" ShapeID="_x0000_i1029" DrawAspect="Content" ObjectID="_1683453659"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1"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1"/>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w:t>
            </w:r>
            <w:r>
              <w:rPr>
                <w:rFonts w:ascii="Times New Roman" w:hAnsi="Times New Roman"/>
                <w:sz w:val="22"/>
                <w:szCs w:val="22"/>
                <w:lang w:eastAsia="zh-CN"/>
              </w:rPr>
              <w:lastRenderedPageBreak/>
              <w:t xml:space="preserve">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2"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2"/>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lastRenderedPageBreak/>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 xml:space="preserve">Q6) This may depend on discussion on gaps in Q2-Q4, considering that the ‘RO density per reference slot’ includes two dimensions, one is number of ROs per slot, and the other </w:t>
            </w:r>
            <w:r>
              <w:rPr>
                <w:sz w:val="22"/>
                <w:szCs w:val="22"/>
                <w:lang w:eastAsia="zh-CN"/>
              </w:rPr>
              <w:lastRenderedPageBreak/>
              <w:t>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lastRenderedPageBreak/>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3" w:name="_Hlk505324461"/>
            <w:r>
              <w:rPr>
                <w:i/>
                <w:sz w:val="22"/>
                <w:szCs w:val="22"/>
              </w:rPr>
              <w:t>ra-ResponseWindow</w:t>
            </w:r>
            <w:bookmarkEnd w:id="33"/>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1.1pt;height:110.8pt;mso-width-percent:0;mso-height-percent:0;mso-width-percent:0;mso-height-percent:0" o:ole="">
                  <v:imagedata r:id="rId30" o:title=""/>
                </v:shape>
                <o:OLEObject Type="Embed" ProgID="Visio.Drawing.15" ShapeID="_x0000_i1030" DrawAspect="Content" ObjectID="_1683453660"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4"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5" w:author="Jiang, Qinyan/蒋 琴艳" w:date="2021-05-25T16:41:00Z">
              <w:r>
                <w:rPr>
                  <w:rFonts w:ascii="Times New Roman" w:hAnsi="Times New Roman"/>
                  <w:color w:val="0070C0"/>
                  <w:sz w:val="22"/>
                  <w:szCs w:val="22"/>
                  <w:lang w:eastAsia="zh-CN"/>
                </w:rPr>
                <w:t xml:space="preserve">the </w:t>
              </w:r>
            </w:ins>
            <w:ins w:id="36"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7" w:author="Jiang, Qinyan/蒋 琴艳" w:date="2021-05-25T16:40:00Z">
              <w:r>
                <w:rPr>
                  <w:rFonts w:ascii="Times New Roman" w:hAnsi="Times New Roman"/>
                  <w:color w:val="0070C0"/>
                  <w:sz w:val="22"/>
                  <w:szCs w:val="22"/>
                  <w:lang w:eastAsia="zh-CN"/>
                </w:rPr>
                <w:t>At least</w:t>
              </w:r>
            </w:ins>
            <w:del w:id="38"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9"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40" w:author="Jiang, Qinyan/蒋 琴艳" w:date="2021-05-25T16:04:00Z">
              <w:r>
                <w:rPr>
                  <w:rFonts w:ascii="Times New Roman" w:hAnsi="Times New Roman"/>
                  <w:color w:val="0070C0"/>
                  <w:sz w:val="22"/>
                  <w:szCs w:val="22"/>
                  <w:lang w:eastAsia="zh-CN"/>
                </w:rPr>
                <w:delText xml:space="preserve">PRACH slots </w:delText>
              </w:r>
            </w:del>
            <w:ins w:id="41" w:author="Jiang, Qinyan/蒋 琴艳" w:date="2021-05-25T16:04:00Z">
              <w:r>
                <w:rPr>
                  <w:rFonts w:ascii="Times New Roman" w:hAnsi="Times New Roman"/>
                  <w:color w:val="0070C0"/>
                  <w:sz w:val="22"/>
                  <w:szCs w:val="22"/>
                  <w:lang w:eastAsia="zh-CN"/>
                </w:rPr>
                <w:t>RO</w:t>
              </w:r>
            </w:ins>
            <w:ins w:id="42" w:author="Jiang, Qinyan/蒋 琴艳" w:date="2021-05-25T16:13:00Z">
              <w:r>
                <w:rPr>
                  <w:rFonts w:ascii="Times New Roman" w:hAnsi="Times New Roman"/>
                  <w:color w:val="0070C0"/>
                  <w:sz w:val="22"/>
                  <w:szCs w:val="22"/>
                  <w:lang w:eastAsia="zh-CN"/>
                </w:rPr>
                <w:t>s</w:t>
              </w:r>
            </w:ins>
            <w:ins w:id="43"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4"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5" w:author="Jiang, Qinyan/蒋 琴艳" w:date="2021-05-25T16:36:00Z">
              <w:r>
                <w:rPr>
                  <w:rFonts w:ascii="Times New Roman" w:hAnsi="Times New Roman"/>
                  <w:color w:val="0070C0"/>
                  <w:sz w:val="22"/>
                  <w:szCs w:val="22"/>
                  <w:lang w:eastAsia="zh-CN"/>
                </w:rPr>
                <w:t xml:space="preserve">in </w:t>
              </w:r>
            </w:ins>
            <w:ins w:id="46" w:author="Jiang, Qinyan/蒋 琴艳" w:date="2021-05-25T16:42:00Z">
              <w:r>
                <w:rPr>
                  <w:rFonts w:ascii="Times New Roman" w:hAnsi="Times New Roman"/>
                  <w:color w:val="0070C0"/>
                  <w:sz w:val="22"/>
                  <w:szCs w:val="22"/>
                  <w:lang w:eastAsia="zh-CN"/>
                </w:rPr>
                <w:t xml:space="preserve">the legacy </w:t>
              </w:r>
            </w:ins>
            <w:ins w:id="47" w:author="Jiang, Qinyan/蒋 琴艳" w:date="2021-05-25T16:36:00Z">
              <w:r>
                <w:rPr>
                  <w:rFonts w:ascii="Times New Roman" w:hAnsi="Times New Roman"/>
                  <w:color w:val="0070C0"/>
                  <w:sz w:val="22"/>
                  <w:szCs w:val="22"/>
                  <w:lang w:eastAsia="zh-CN"/>
                </w:rPr>
                <w:t>FR2</w:t>
              </w:r>
            </w:ins>
            <w:ins w:id="48"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9"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50"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AE2761">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AE2761">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lastRenderedPageBreak/>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1"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2" w:author="Zhang, Jian/张 健" w:date="2021-05-24T17:30:00Z">
              <w:r>
                <w:rPr>
                  <w:rFonts w:ascii="Times New Roman" w:hAnsi="Times New Roman"/>
                  <w:sz w:val="22"/>
                  <w:szCs w:val="22"/>
                  <w:lang w:eastAsia="zh-CN"/>
                </w:rPr>
                <w:t xml:space="preserve"> is necessary for future discussions, we’d like to make Option 2) to be more general</w:t>
              </w:r>
            </w:ins>
            <w:ins w:id="53" w:author="Zhang, Jian/张 健" w:date="2021-05-24T17:31:00Z">
              <w:r>
                <w:rPr>
                  <w:rFonts w:ascii="Times New Roman" w:hAnsi="Times New Roman"/>
                  <w:sz w:val="22"/>
                  <w:szCs w:val="22"/>
                  <w:lang w:eastAsia="zh-CN"/>
                </w:rPr>
                <w:t xml:space="preserve"> for now</w:t>
              </w:r>
            </w:ins>
            <w:ins w:id="54" w:author="Jiang, Qinyan/蒋 琴艳" w:date="2021-05-24T17:39:00Z">
              <w:r>
                <w:rPr>
                  <w:rFonts w:ascii="Times New Roman" w:hAnsi="Times New Roman" w:hint="eastAsia"/>
                  <w:sz w:val="22"/>
                  <w:szCs w:val="22"/>
                  <w:lang w:eastAsia="zh-CN"/>
                </w:rPr>
                <w:t>,</w:t>
              </w:r>
            </w:ins>
            <w:ins w:id="55"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6" w:author="Zhang, Jian/张 健" w:date="2021-05-24T17:25:00Z">
                  <m:rPr>
                    <m:sty m:val="p"/>
                  </m:rPr>
                  <w:rPr>
                    <w:rFonts w:ascii="Cambria Math" w:hAnsi="Cambria Math"/>
                    <w:sz w:val="22"/>
                    <w:szCs w:val="22"/>
                    <w:lang w:eastAsia="zh-CN"/>
                  </w:rPr>
                  <m:t>80</m:t>
                </w:del>
              </m:r>
              <m:r>
                <w:ins w:id="57"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8" w:author="Zhang, Jian/张 健" w:date="2021-05-24T17:25:00Z">
                  <m:rPr>
                    <m:sty m:val="p"/>
                  </m:rPr>
                  <w:rPr>
                    <w:rFonts w:ascii="Cambria Math" w:hAnsi="Cambria Math"/>
                    <w:sz w:val="22"/>
                    <w:szCs w:val="22"/>
                    <w:lang w:eastAsia="zh-CN"/>
                  </w:rPr>
                  <m:t>80</m:t>
                </w:del>
              </m:r>
              <m:r>
                <w:ins w:id="59"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60" w:author="Zhang, Jian/张 健" w:date="2021-05-24T17:25:00Z">
                  <m:rPr>
                    <m:sty m:val="p"/>
                  </m:rPr>
                  <w:rPr>
                    <w:rFonts w:ascii="Cambria Math" w:hAnsi="Cambria Math"/>
                    <w:sz w:val="22"/>
                    <w:szCs w:val="22"/>
                    <w:lang w:eastAsia="zh-CN"/>
                  </w:rPr>
                  <m:t>80</m:t>
                </w:del>
              </m:r>
              <m:r>
                <w:ins w:id="6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2" w:author="Zhang, Jian/张 健" w:date="2021-05-24T17:25:00Z">
                      <m:rPr>
                        <m:lit/>
                        <m:sty m:val="p"/>
                      </m:rPr>
                      <w:rPr>
                        <w:rFonts w:ascii="Cambria Math" w:hAnsi="Cambria Math"/>
                        <w:sz w:val="22"/>
                        <w:szCs w:val="22"/>
                        <w:lang w:eastAsia="zh-CN"/>
                      </w:rPr>
                      <m:t>80</m:t>
                    </w:del>
                  </m:r>
                  <m:r>
                    <w:ins w:id="63"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lastRenderedPageBreak/>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lastRenderedPageBreak/>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E495" w14:textId="77777777" w:rsidR="00AE2761" w:rsidRDefault="00AE2761">
      <w:pPr>
        <w:spacing w:after="0" w:line="240" w:lineRule="auto"/>
      </w:pPr>
      <w:r>
        <w:separator/>
      </w:r>
    </w:p>
  </w:endnote>
  <w:endnote w:type="continuationSeparator" w:id="0">
    <w:p w14:paraId="3DC4718A" w14:textId="77777777" w:rsidR="00AE2761" w:rsidRDefault="00AE2761">
      <w:pPr>
        <w:spacing w:after="0" w:line="240" w:lineRule="auto"/>
      </w:pPr>
      <w:r>
        <w:continuationSeparator/>
      </w:r>
    </w:p>
  </w:endnote>
  <w:endnote w:type="continuationNotice" w:id="1">
    <w:p w14:paraId="46EB7C6E" w14:textId="77777777" w:rsidR="00AE2761" w:rsidRDefault="00AE2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F1" w14:textId="11DAE3EE"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0A53A3">
      <w:rPr>
        <w:rStyle w:val="PageNumber"/>
        <w:noProof/>
      </w:rPr>
      <w:t>112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53A3">
      <w:rPr>
        <w:rStyle w:val="PageNumber"/>
        <w:noProof/>
      </w:rPr>
      <w:t>159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8E287" w14:textId="77777777" w:rsidR="00AE2761" w:rsidRDefault="00AE2761">
      <w:pPr>
        <w:spacing w:after="0" w:line="240" w:lineRule="auto"/>
      </w:pPr>
      <w:r>
        <w:separator/>
      </w:r>
    </w:p>
  </w:footnote>
  <w:footnote w:type="continuationSeparator" w:id="0">
    <w:p w14:paraId="18506C19" w14:textId="77777777" w:rsidR="00AE2761" w:rsidRDefault="00AE2761">
      <w:pPr>
        <w:spacing w:after="0" w:line="240" w:lineRule="auto"/>
      </w:pPr>
      <w:r>
        <w:continuationSeparator/>
      </w:r>
    </w:p>
  </w:footnote>
  <w:footnote w:type="continuationNotice" w:id="1">
    <w:p w14:paraId="6C5B7072" w14:textId="77777777" w:rsidR="00AE2761" w:rsidRDefault="00AE27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6E32F6-6325-4BB1-B2E3-F58A94BAB5E7}">
  <ds:schemaRefs>
    <ds:schemaRef ds:uri="http://schemas.openxmlformats.org/officeDocument/2006/bibliography"/>
  </ds:schemaRefs>
</ds:datastoreItem>
</file>

<file path=customXml/itemProps8.xml><?xml version="1.0" encoding="utf-8"?>
<ds:datastoreItem xmlns:ds="http://schemas.openxmlformats.org/officeDocument/2006/customXml" ds:itemID="{FBAB9DBA-3775-460B-B26A-FB23E192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159</Pages>
  <Words>54692</Words>
  <Characters>311745</Characters>
  <Application>Microsoft Office Word</Application>
  <DocSecurity>0</DocSecurity>
  <Lines>2597</Lines>
  <Paragraphs>731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Hongbo Si/5G Standards /SRA/Engineer/Samsung Electronics </cp:lastModifiedBy>
  <cp:revision>2</cp:revision>
  <cp:lastPrinted>2011-11-09T07:49:00Z</cp:lastPrinted>
  <dcterms:created xsi:type="dcterms:W3CDTF">2021-05-25T18:14:00Z</dcterms:created>
  <dcterms:modified xsi:type="dcterms:W3CDTF">2021-05-25T18:14:00Z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