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f2"/>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240kHz SCS can be </w:t>
      </w:r>
      <w:proofErr w:type="gramStart"/>
      <w:r w:rsidRPr="00ED7F3E">
        <w:rPr>
          <w:rFonts w:ascii="Times New Roman" w:hAnsi="Times New Roman"/>
          <w:sz w:val="22"/>
          <w:szCs w:val="22"/>
          <w:lang w:eastAsia="zh-CN"/>
        </w:rPr>
        <w:t>down-prioritized</w:t>
      </w:r>
      <w:proofErr w:type="gramEnd"/>
      <w:r w:rsidRPr="00ED7F3E">
        <w:rPr>
          <w:rFonts w:ascii="Times New Roman" w:hAnsi="Times New Roman"/>
          <w:sz w:val="22"/>
          <w:szCs w:val="22"/>
          <w:lang w:eastAsia="zh-CN"/>
        </w:rPr>
        <w:t>.</w:t>
      </w:r>
    </w:p>
    <w:p w14:paraId="319F813A"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The sync raster for 480/960kHz SSB is sparse </w:t>
      </w:r>
      <w:proofErr w:type="gramStart"/>
      <w:r w:rsidRPr="00ED7F3E">
        <w:rPr>
          <w:rFonts w:ascii="Times New Roman" w:hAnsi="Times New Roman"/>
          <w:sz w:val="22"/>
          <w:szCs w:val="22"/>
          <w:lang w:eastAsia="zh-CN"/>
        </w:rPr>
        <w:t>enough;</w:t>
      </w:r>
      <w:proofErr w:type="gramEnd"/>
    </w:p>
    <w:p w14:paraId="365D3835" w14:textId="77777777" w:rsidR="00324766"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Support of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and/or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36F8A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c"/>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c"/>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SSB and CORESET0 multiplexing configuration tables can be reused for 120kHz </w:t>
      </w:r>
      <w:proofErr w:type="gramStart"/>
      <w:r w:rsidRPr="00456299">
        <w:rPr>
          <w:rFonts w:ascii="Times New Roman" w:hAnsi="Times New Roman"/>
          <w:sz w:val="22"/>
          <w:szCs w:val="22"/>
          <w:lang w:eastAsia="zh-CN"/>
        </w:rPr>
        <w:t>SCS SSB, but</w:t>
      </w:r>
      <w:proofErr w:type="gramEnd"/>
      <w:r w:rsidRPr="00456299">
        <w:rPr>
          <w:rFonts w:ascii="Times New Roman" w:hAnsi="Times New Roman"/>
          <w:sz w:val="22"/>
          <w:szCs w:val="22"/>
          <w:lang w:eastAsia="zh-CN"/>
        </w:rPr>
        <w:t xml:space="preserve"> may need update if additional SCS for SSB is agreed for initial access.</w:t>
      </w:r>
    </w:p>
    <w:p w14:paraId="332E8D5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and 960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can be based on Rel-15/16 SSB design as baseline to minimize the specification impact.  </w:t>
      </w:r>
    </w:p>
    <w:p w14:paraId="16511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c"/>
        <w:spacing w:after="0"/>
        <w:rPr>
          <w:rFonts w:ascii="Times New Roman" w:hAnsi="Times New Roman"/>
          <w:sz w:val="22"/>
          <w:szCs w:val="22"/>
          <w:lang w:eastAsia="zh-CN"/>
        </w:rPr>
      </w:pPr>
    </w:p>
    <w:p w14:paraId="586781B8" w14:textId="77777777" w:rsidR="00324766" w:rsidRDefault="00324766" w:rsidP="00324766">
      <w:pPr>
        <w:pStyle w:val="ac"/>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c"/>
        <w:spacing w:after="0"/>
        <w:rPr>
          <w:rFonts w:ascii="Times New Roman" w:hAnsi="Times New Roman"/>
          <w:sz w:val="22"/>
          <w:szCs w:val="22"/>
          <w:lang w:eastAsia="zh-CN"/>
        </w:rPr>
      </w:pPr>
    </w:p>
    <w:p w14:paraId="6F2C91D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c"/>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c"/>
        <w:spacing w:after="0"/>
        <w:rPr>
          <w:rFonts w:ascii="Times New Roman" w:hAnsi="Times New Roman"/>
          <w:sz w:val="22"/>
          <w:szCs w:val="22"/>
          <w:lang w:eastAsia="zh-CN"/>
        </w:rPr>
      </w:pPr>
    </w:p>
    <w:p w14:paraId="3D35BD41" w14:textId="6CFC936B" w:rsidR="006948D7" w:rsidRDefault="0056388F" w:rsidP="00BD767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w:t>
      </w:r>
      <w:proofErr w:type="gramStart"/>
      <w:r w:rsidR="00BD767C">
        <w:rPr>
          <w:rFonts w:ascii="Times New Roman" w:hAnsi="Times New Roman"/>
          <w:sz w:val="22"/>
          <w:szCs w:val="22"/>
          <w:lang w:eastAsia="zh-CN"/>
        </w:rPr>
        <w:t>of  480</w:t>
      </w:r>
      <w:proofErr w:type="gramEnd"/>
      <w:r w:rsidR="00BD767C">
        <w:rPr>
          <w:rFonts w:ascii="Times New Roman" w:hAnsi="Times New Roman"/>
          <w:sz w:val="22"/>
          <w:szCs w:val="22"/>
          <w:lang w:eastAsia="zh-CN"/>
        </w:rPr>
        <w:t xml:space="preserve">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c"/>
        <w:spacing w:after="0"/>
        <w:ind w:left="720"/>
        <w:rPr>
          <w:rFonts w:ascii="Times New Roman" w:hAnsi="Times New Roman"/>
          <w:sz w:val="22"/>
          <w:szCs w:val="22"/>
          <w:lang w:eastAsia="zh-CN"/>
        </w:rPr>
      </w:pPr>
    </w:p>
    <w:p w14:paraId="7B6934D8" w14:textId="0085FAAF" w:rsidR="00EA47DC" w:rsidRDefault="00EA47DC" w:rsidP="00EA47D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c"/>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ac"/>
        <w:spacing w:after="0"/>
        <w:rPr>
          <w:rFonts w:ascii="Times New Roman" w:hAnsi="Times New Roman"/>
          <w:sz w:val="22"/>
          <w:szCs w:val="22"/>
          <w:lang w:eastAsia="zh-CN"/>
        </w:rPr>
      </w:pPr>
    </w:p>
    <w:p w14:paraId="63E6450F" w14:textId="77777777" w:rsidR="00BD767C" w:rsidRPr="00BD767C" w:rsidRDefault="00BD767C" w:rsidP="00BD767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10F45A" w14:textId="6D11375C" w:rsidR="007119AC" w:rsidRDefault="004044EA"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ＭＳ 明朝" w:hAnsi="Times New Roman"/>
                <w:sz w:val="22"/>
                <w:szCs w:val="22"/>
                <w:lang w:eastAsia="ja-JP"/>
              </w:rPr>
              <w:t>bullets</w:t>
            </w:r>
            <w:proofErr w:type="gramEnd"/>
            <w:r>
              <w:rPr>
                <w:rFonts w:ascii="Times New Roman" w:eastAsia="ＭＳ 明朝" w:hAnsi="Times New Roman"/>
                <w:sz w:val="22"/>
                <w:szCs w:val="22"/>
                <w:lang w:eastAsia="ja-JP"/>
              </w:rPr>
              <w:t xml:space="preserve"> but it should depend on the exact alternative we will take in our view. </w:t>
            </w:r>
          </w:p>
          <w:p w14:paraId="0C9C6A10" w14:textId="52E9EBAB" w:rsidR="004044EA" w:rsidRPr="00CC4929" w:rsidRDefault="004044EA" w:rsidP="004044EA">
            <w:pPr>
              <w:pStyle w:val="ac"/>
              <w:spacing w:after="0"/>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For the 2</w:t>
            </w:r>
            <w:r w:rsidRPr="00CC4929">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ＭＳ 明朝" w:hAnsi="Times New Roman"/>
                <w:sz w:val="22"/>
                <w:szCs w:val="22"/>
                <w:lang w:eastAsia="ja-JP"/>
              </w:rPr>
              <w:t xml:space="preserve">, </w:t>
            </w:r>
            <w:proofErr w:type="gramStart"/>
            <w:r w:rsidR="00FD65BE">
              <w:rPr>
                <w:rFonts w:ascii="Times New Roman" w:eastAsia="ＭＳ 明朝" w:hAnsi="Times New Roman"/>
                <w:sz w:val="22"/>
                <w:szCs w:val="22"/>
                <w:lang w:eastAsia="ja-JP"/>
              </w:rPr>
              <w:t>i.e.</w:t>
            </w:r>
            <w:proofErr w:type="gramEnd"/>
            <w:r w:rsidR="00FD65BE">
              <w:rPr>
                <w:rFonts w:ascii="Times New Roman" w:eastAsia="ＭＳ 明朝" w:hAnsi="Times New Roman"/>
                <w:sz w:val="22"/>
                <w:szCs w:val="22"/>
                <w:lang w:eastAsia="ja-JP"/>
              </w:rPr>
              <w:t xml:space="preserve"> the 2</w:t>
            </w:r>
            <w:r w:rsidR="00FD65BE" w:rsidRPr="00CC4929">
              <w:rPr>
                <w:rFonts w:ascii="Times New Roman" w:eastAsia="ＭＳ 明朝" w:hAnsi="Times New Roman"/>
                <w:sz w:val="22"/>
                <w:szCs w:val="22"/>
                <w:vertAlign w:val="superscript"/>
                <w:lang w:eastAsia="ja-JP"/>
              </w:rPr>
              <w:t>nd</w:t>
            </w:r>
            <w:r w:rsidR="00FD65BE">
              <w:rPr>
                <w:rFonts w:ascii="Times New Roman" w:eastAsia="ＭＳ 明朝" w:hAnsi="Times New Roman"/>
                <w:sz w:val="22"/>
                <w:szCs w:val="22"/>
                <w:lang w:eastAsia="ja-JP"/>
              </w:rPr>
              <w:t xml:space="preserve"> sub-sub-bullet in the 1</w:t>
            </w:r>
            <w:r w:rsidR="00FD65BE" w:rsidRPr="00CC4929">
              <w:rPr>
                <w:rFonts w:ascii="Times New Roman" w:eastAsia="ＭＳ 明朝" w:hAnsi="Times New Roman"/>
                <w:sz w:val="22"/>
                <w:szCs w:val="22"/>
                <w:vertAlign w:val="superscript"/>
                <w:lang w:eastAsia="ja-JP"/>
              </w:rPr>
              <w:t>st</w:t>
            </w:r>
            <w:r w:rsidR="00FD65BE">
              <w:rPr>
                <w:rFonts w:ascii="Times New Roman" w:eastAsia="ＭＳ 明朝" w:hAnsi="Times New Roman"/>
                <w:sz w:val="22"/>
                <w:szCs w:val="22"/>
                <w:lang w:eastAsia="ja-JP"/>
              </w:rPr>
              <w:t xml:space="preserve"> sub-bullet and Alt A. </w:t>
            </w:r>
          </w:p>
        </w:tc>
      </w:tr>
    </w:tbl>
    <w:p w14:paraId="25526C6F" w14:textId="77777777" w:rsidR="007119AC" w:rsidRDefault="007119AC" w:rsidP="007119AC">
      <w:pPr>
        <w:pStyle w:val="ac"/>
        <w:spacing w:after="0"/>
        <w:rPr>
          <w:rFonts w:ascii="Times New Roman" w:hAnsi="Times New Roman"/>
          <w:sz w:val="22"/>
          <w:szCs w:val="22"/>
          <w:lang w:eastAsia="zh-CN"/>
        </w:rPr>
      </w:pPr>
    </w:p>
    <w:p w14:paraId="6616AE92" w14:textId="77777777" w:rsidR="007119AC" w:rsidRDefault="007119AC" w:rsidP="007119AC">
      <w:pPr>
        <w:pStyle w:val="ac"/>
        <w:spacing w:after="0"/>
        <w:rPr>
          <w:rFonts w:ascii="Times New Roman" w:hAnsi="Times New Roman"/>
          <w:sz w:val="22"/>
          <w:szCs w:val="22"/>
          <w:lang w:eastAsia="zh-CN"/>
        </w:rPr>
      </w:pPr>
    </w:p>
    <w:p w14:paraId="0F34057D" w14:textId="77777777" w:rsidR="007119AC" w:rsidRDefault="007119AC" w:rsidP="007119AC">
      <w:pPr>
        <w:pStyle w:val="ac"/>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c"/>
        <w:spacing w:after="0"/>
        <w:rPr>
          <w:rFonts w:ascii="Times New Roman" w:hAnsi="Times New Roman"/>
          <w:sz w:val="22"/>
          <w:szCs w:val="22"/>
          <w:lang w:eastAsia="zh-CN"/>
        </w:rPr>
      </w:pPr>
    </w:p>
    <w:p w14:paraId="726EC0EF" w14:textId="4CF1D2AA" w:rsidR="00324766" w:rsidRDefault="00324766" w:rsidP="00324766">
      <w:pPr>
        <w:pStyle w:val="ac"/>
        <w:spacing w:after="0"/>
        <w:rPr>
          <w:rFonts w:ascii="Times New Roman" w:hAnsi="Times New Roman"/>
          <w:sz w:val="22"/>
          <w:szCs w:val="22"/>
          <w:lang w:eastAsia="zh-CN"/>
        </w:rPr>
      </w:pPr>
    </w:p>
    <w:p w14:paraId="742BA6BC" w14:textId="49A8787A" w:rsidR="00BD767C" w:rsidRDefault="00BD767C" w:rsidP="00324766">
      <w:pPr>
        <w:pStyle w:val="ac"/>
        <w:spacing w:after="0"/>
        <w:rPr>
          <w:rFonts w:ascii="Times New Roman" w:hAnsi="Times New Roman"/>
          <w:sz w:val="22"/>
          <w:szCs w:val="22"/>
          <w:lang w:eastAsia="zh-CN"/>
        </w:rPr>
      </w:pPr>
    </w:p>
    <w:p w14:paraId="5F22B5A9" w14:textId="51A01053" w:rsidR="00BD767C" w:rsidRDefault="00BD767C" w:rsidP="00324766">
      <w:pPr>
        <w:pStyle w:val="ac"/>
        <w:spacing w:after="0"/>
        <w:rPr>
          <w:rFonts w:ascii="Times New Roman" w:hAnsi="Times New Roman"/>
          <w:sz w:val="22"/>
          <w:szCs w:val="22"/>
          <w:lang w:eastAsia="zh-CN"/>
        </w:rPr>
      </w:pPr>
    </w:p>
    <w:p w14:paraId="049F2AA1" w14:textId="77777777" w:rsidR="00BD767C" w:rsidRDefault="00BD767C" w:rsidP="00324766">
      <w:pPr>
        <w:pStyle w:val="ac"/>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lastRenderedPageBreak/>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The agreement of supporting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non-initial access should be extended to include the feature to address ANR issue.</w:t>
      </w:r>
    </w:p>
    <w:p w14:paraId="5C8D3C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c"/>
        <w:spacing w:after="0"/>
        <w:rPr>
          <w:rFonts w:ascii="Times New Roman" w:hAnsi="Times New Roman"/>
          <w:sz w:val="22"/>
          <w:szCs w:val="22"/>
          <w:lang w:eastAsia="zh-CN"/>
        </w:rPr>
      </w:pPr>
    </w:p>
    <w:p w14:paraId="0D478F70" w14:textId="77777777" w:rsidR="00324766" w:rsidRDefault="00324766" w:rsidP="00324766">
      <w:pPr>
        <w:pStyle w:val="ac"/>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t>Summary of Discussions</w:t>
      </w:r>
    </w:p>
    <w:p w14:paraId="4A6BD3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c"/>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c"/>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1"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c"/>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1"/>
    <w:p w14:paraId="1ED4631B" w14:textId="71965C91" w:rsidR="007119AC" w:rsidRDefault="007119AC" w:rsidP="006B7C97">
      <w:pPr>
        <w:pStyle w:val="ac"/>
        <w:spacing w:after="0"/>
        <w:rPr>
          <w:rFonts w:ascii="Times New Roman" w:hAnsi="Times New Roman"/>
          <w:sz w:val="22"/>
          <w:szCs w:val="22"/>
          <w:lang w:eastAsia="zh-CN"/>
        </w:rPr>
      </w:pPr>
    </w:p>
    <w:p w14:paraId="7E2C31A9" w14:textId="77777777" w:rsidR="006B7C97" w:rsidRDefault="006B7C97"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D7ED60" w14:textId="044C1520" w:rsidR="007119AC" w:rsidRPr="00CC4929" w:rsidRDefault="00FD65BE"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bl>
    <w:p w14:paraId="5DB4817F" w14:textId="77777777" w:rsidR="007119AC" w:rsidRDefault="007119AC" w:rsidP="007119AC">
      <w:pPr>
        <w:pStyle w:val="ac"/>
        <w:spacing w:after="0"/>
        <w:rPr>
          <w:rFonts w:ascii="Times New Roman" w:hAnsi="Times New Roman"/>
          <w:sz w:val="22"/>
          <w:szCs w:val="22"/>
          <w:lang w:eastAsia="zh-CN"/>
        </w:rPr>
      </w:pPr>
    </w:p>
    <w:p w14:paraId="70D8C2A5" w14:textId="77777777" w:rsidR="007119AC" w:rsidRDefault="007119AC" w:rsidP="007119AC">
      <w:pPr>
        <w:pStyle w:val="ac"/>
        <w:spacing w:after="0"/>
        <w:rPr>
          <w:rFonts w:ascii="Times New Roman" w:hAnsi="Times New Roman"/>
          <w:sz w:val="22"/>
          <w:szCs w:val="22"/>
          <w:lang w:eastAsia="zh-CN"/>
        </w:rPr>
      </w:pPr>
    </w:p>
    <w:p w14:paraId="46B02828" w14:textId="77777777" w:rsidR="007119AC" w:rsidRDefault="007119AC" w:rsidP="007119AC">
      <w:pPr>
        <w:pStyle w:val="ac"/>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c"/>
        <w:spacing w:after="0"/>
        <w:rPr>
          <w:rFonts w:ascii="Times New Roman" w:hAnsi="Times New Roman"/>
          <w:sz w:val="22"/>
          <w:szCs w:val="22"/>
          <w:lang w:eastAsia="zh-CN"/>
        </w:rPr>
      </w:pPr>
    </w:p>
    <w:p w14:paraId="3E094EF9" w14:textId="77777777" w:rsidR="00324766" w:rsidRDefault="00324766" w:rsidP="00324766">
      <w:pPr>
        <w:pStyle w:val="ac"/>
        <w:spacing w:after="0"/>
        <w:rPr>
          <w:rFonts w:ascii="Times New Roman" w:hAnsi="Times New Roman"/>
          <w:sz w:val="22"/>
          <w:szCs w:val="22"/>
          <w:lang w:eastAsia="zh-CN"/>
        </w:rPr>
      </w:pPr>
    </w:p>
    <w:p w14:paraId="06278864" w14:textId="77777777" w:rsidR="00324766" w:rsidRDefault="00324766" w:rsidP="00324766">
      <w:pPr>
        <w:pStyle w:val="ac"/>
        <w:spacing w:after="0"/>
        <w:rPr>
          <w:rFonts w:ascii="Times New Roman" w:hAnsi="Times New Roman"/>
          <w:sz w:val="22"/>
          <w:szCs w:val="22"/>
          <w:lang w:eastAsia="zh-CN"/>
        </w:rPr>
      </w:pPr>
    </w:p>
    <w:p w14:paraId="35A82751" w14:textId="77777777" w:rsidR="00324766" w:rsidRDefault="00324766" w:rsidP="00324766">
      <w:pPr>
        <w:pStyle w:val="ac"/>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ac"/>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lastRenderedPageBreak/>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roofErr w:type="gramStart"/>
      <w:r w:rsidRPr="002F3DBF">
        <w:rPr>
          <w:rFonts w:ascii="Times New Roman" w:hAnsi="Times New Roman"/>
          <w:sz w:val="22"/>
          <w:szCs w:val="22"/>
          <w:lang w:eastAsia="zh-CN"/>
        </w:rPr>
        <w:t>);</w:t>
      </w:r>
      <w:proofErr w:type="gramEnd"/>
    </w:p>
    <w:p w14:paraId="5788D9C7"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indicator in </w:t>
      </w:r>
      <w:proofErr w:type="gramStart"/>
      <w:r w:rsidRPr="002F3DBF">
        <w:rPr>
          <w:rFonts w:ascii="Times New Roman" w:hAnsi="Times New Roman"/>
          <w:sz w:val="22"/>
          <w:szCs w:val="22"/>
          <w:lang w:eastAsia="zh-CN"/>
        </w:rPr>
        <w:t>PBCH;</w:t>
      </w:r>
      <w:proofErr w:type="gramEnd"/>
    </w:p>
    <w:p w14:paraId="38178DCC"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1: Specify the value of Q for each </w:t>
      </w:r>
      <w:proofErr w:type="gramStart"/>
      <w:r w:rsidRPr="002F3DBF">
        <w:rPr>
          <w:rFonts w:ascii="Times New Roman" w:hAnsi="Times New Roman"/>
          <w:sz w:val="22"/>
          <w:szCs w:val="22"/>
          <w:lang w:eastAsia="zh-CN"/>
        </w:rPr>
        <w:t>SCS;</w:t>
      </w:r>
      <w:proofErr w:type="gramEnd"/>
    </w:p>
    <w:p w14:paraId="7FEC43AE"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Utilize the bits in </w:t>
      </w:r>
      <w:proofErr w:type="gramStart"/>
      <w:r w:rsidRPr="002F3DBF">
        <w:rPr>
          <w:rFonts w:ascii="Times New Roman" w:hAnsi="Times New Roman"/>
          <w:sz w:val="22"/>
          <w:szCs w:val="22"/>
          <w:lang w:eastAsia="zh-CN"/>
        </w:rPr>
        <w:t>PBCH;</w:t>
      </w:r>
      <w:proofErr w:type="gramEnd"/>
    </w:p>
    <w:p w14:paraId="25ED56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w:t>
      </w:r>
      <w:proofErr w:type="gramStart"/>
      <w:r w:rsidRPr="00290194">
        <w:rPr>
          <w:rFonts w:ascii="Times New Roman" w:hAnsi="Times New Roman"/>
          <w:sz w:val="22"/>
          <w:szCs w:val="22"/>
          <w:lang w:eastAsia="zh-CN"/>
        </w:rPr>
        <w:t>actually transmitted</w:t>
      </w:r>
      <w:proofErr w:type="gramEnd"/>
      <w:r w:rsidRPr="00290194">
        <w:rPr>
          <w:rFonts w:ascii="Times New Roman" w:hAnsi="Times New Roman"/>
          <w:sz w:val="22"/>
          <w:szCs w:val="22"/>
          <w:lang w:eastAsia="zh-CN"/>
        </w:rPr>
        <w:t xml:space="preserve"> SSBs and LBT procedure for other/rest of the SSBs.</w:t>
      </w:r>
    </w:p>
    <w:p w14:paraId="4CF39A82"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lastRenderedPageBreak/>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w:t>
      </w:r>
      <w:proofErr w:type="gramStart"/>
      <w:r w:rsidRPr="00271C26">
        <w:rPr>
          <w:rFonts w:ascii="Times New Roman" w:hAnsi="Times New Roman"/>
          <w:sz w:val="22"/>
          <w:szCs w:val="22"/>
          <w:lang w:eastAsia="zh-CN"/>
        </w:rPr>
        <w:t>candidate</w:t>
      </w:r>
      <w:proofErr w:type="gramEnd"/>
      <w:r w:rsidRPr="00271C26">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Support floating DBTW, where the time (or slot) offset for DBTW can be smaller than 5msec.</w:t>
      </w:r>
    </w:p>
    <w:p w14:paraId="05FC3690"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w:t>
      </w:r>
      <w:proofErr w:type="gramStart"/>
      <w:r w:rsidRPr="00A02C8C">
        <w:rPr>
          <w:rFonts w:ascii="Times New Roman" w:hAnsi="Times New Roman"/>
          <w:sz w:val="22"/>
          <w:szCs w:val="22"/>
          <w:lang w:eastAsia="zh-CN"/>
        </w:rPr>
        <w:t>long term</w:t>
      </w:r>
      <w:proofErr w:type="gramEnd"/>
      <w:r w:rsidRPr="00A02C8C">
        <w:rPr>
          <w:rFonts w:ascii="Times New Roman" w:hAnsi="Times New Roman"/>
          <w:sz w:val="22"/>
          <w:szCs w:val="22"/>
          <w:lang w:eastAsia="zh-CN"/>
        </w:rPr>
        <w:t xml:space="preserve"> sensing could be considered as an approach to mechanism for enabling/disabling DBTW. </w:t>
      </w:r>
    </w:p>
    <w:p w14:paraId="0D73A28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Q can be in MIB for a best effort, and if not possible, in </w:t>
      </w:r>
      <w:proofErr w:type="gramStart"/>
      <w:r w:rsidRPr="000643AA">
        <w:rPr>
          <w:rFonts w:ascii="Times New Roman" w:hAnsi="Times New Roman"/>
          <w:sz w:val="22"/>
          <w:szCs w:val="22"/>
          <w:lang w:eastAsia="zh-CN"/>
        </w:rPr>
        <w:t>SIB1;</w:t>
      </w:r>
      <w:proofErr w:type="gramEnd"/>
    </w:p>
    <w:p w14:paraId="632F432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DBTW disabling can be joint coded with the indication of </w:t>
      </w:r>
      <w:proofErr w:type="gramStart"/>
      <w:r w:rsidRPr="000643AA">
        <w:rPr>
          <w:rFonts w:ascii="Times New Roman" w:hAnsi="Times New Roman"/>
          <w:sz w:val="22"/>
          <w:szCs w:val="22"/>
          <w:lang w:eastAsia="zh-CN"/>
        </w:rPr>
        <w:t>Q;</w:t>
      </w:r>
      <w:proofErr w:type="gramEnd"/>
    </w:p>
    <w:p w14:paraId="272F74A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w:t>
      </w:r>
      <w:proofErr w:type="gramStart"/>
      <w:r w:rsidRPr="000643AA">
        <w:rPr>
          <w:rFonts w:ascii="Times New Roman" w:hAnsi="Times New Roman"/>
          <w:sz w:val="22"/>
          <w:szCs w:val="22"/>
          <w:lang w:eastAsia="zh-CN"/>
        </w:rPr>
        <w:t>frame;</w:t>
      </w:r>
      <w:proofErr w:type="gramEnd"/>
      <w:r w:rsidRPr="000643AA">
        <w:rPr>
          <w:rFonts w:ascii="Times New Roman" w:hAnsi="Times New Roman"/>
          <w:sz w:val="22"/>
          <w:szCs w:val="22"/>
          <w:lang w:eastAsia="zh-CN"/>
        </w:rPr>
        <w:t xml:space="preserve"> </w:t>
      </w:r>
    </w:p>
    <w:p w14:paraId="629AE37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Current PBCH payload can support timing indication of up to 128 candidate SS/PBCH block candidate </w:t>
      </w:r>
      <w:proofErr w:type="gramStart"/>
      <w:r w:rsidRPr="000643AA">
        <w:rPr>
          <w:rFonts w:ascii="Times New Roman" w:hAnsi="Times New Roman"/>
          <w:sz w:val="22"/>
          <w:szCs w:val="22"/>
          <w:lang w:eastAsia="zh-CN"/>
        </w:rPr>
        <w:t>locations;</w:t>
      </w:r>
      <w:proofErr w:type="gramEnd"/>
    </w:p>
    <w:p w14:paraId="6B1519EE"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For example, for 120 kHz SCS, support 80 candidate SS/PBCH block locations within a half </w:t>
      </w:r>
      <w:proofErr w:type="gramStart"/>
      <w:r w:rsidRPr="000643AA">
        <w:rPr>
          <w:rFonts w:ascii="Times New Roman" w:hAnsi="Times New Roman"/>
          <w:sz w:val="22"/>
          <w:szCs w:val="22"/>
          <w:lang w:eastAsia="zh-CN"/>
        </w:rPr>
        <w:t>frame;</w:t>
      </w:r>
      <w:proofErr w:type="gramEnd"/>
    </w:p>
    <w:p w14:paraId="2390A72A"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lastRenderedPageBreak/>
        <w:t>subCarrierSpacingCommon</w:t>
      </w:r>
      <w:proofErr w:type="spellEnd"/>
    </w:p>
    <w:p w14:paraId="2F68EE6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w:t>
      </w:r>
      <w:proofErr w:type="gramStart"/>
      <w:r w:rsidRPr="000643AA">
        <w:rPr>
          <w:rFonts w:ascii="Times New Roman" w:hAnsi="Times New Roman"/>
          <w:sz w:val="22"/>
          <w:szCs w:val="22"/>
          <w:lang w:eastAsia="zh-CN"/>
        </w:rPr>
        <w:t>actually transmitted</w:t>
      </w:r>
      <w:proofErr w:type="gramEnd"/>
      <w:r w:rsidRPr="000643AA">
        <w:rPr>
          <w:rFonts w:ascii="Times New Roman" w:hAnsi="Times New Roman"/>
          <w:sz w:val="22"/>
          <w:szCs w:val="22"/>
          <w:lang w:eastAsia="zh-CN"/>
        </w:rPr>
        <w:t xml:space="preserve">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c"/>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c"/>
        <w:spacing w:after="0"/>
        <w:rPr>
          <w:rFonts w:ascii="Times New Roman" w:hAnsi="Times New Roman"/>
          <w:sz w:val="22"/>
          <w:szCs w:val="22"/>
          <w:lang w:eastAsia="zh-CN"/>
        </w:rPr>
      </w:pPr>
    </w:p>
    <w:p w14:paraId="0F0D7612" w14:textId="77777777" w:rsidR="00324766" w:rsidRDefault="00324766" w:rsidP="00324766">
      <w:pPr>
        <w:pStyle w:val="ac"/>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3FC9EDDE" w14:textId="7E165B7C"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4BF76F9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5D7D5F0" w14:textId="77777777" w:rsidR="00324766" w:rsidRDefault="00324766" w:rsidP="00324766">
      <w:pPr>
        <w:pStyle w:val="ac"/>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2"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7A9F86" w14:textId="534C48E5" w:rsidR="00E21BFB" w:rsidRDefault="00E21BFB" w:rsidP="00E21BFB">
      <w:pPr>
        <w:pStyle w:val="ac"/>
        <w:spacing w:after="0"/>
        <w:rPr>
          <w:rFonts w:ascii="Times New Roman" w:hAnsi="Times New Roman"/>
          <w:sz w:val="22"/>
          <w:szCs w:val="22"/>
          <w:lang w:eastAsia="zh-CN"/>
        </w:rPr>
      </w:pPr>
    </w:p>
    <w:p w14:paraId="30954BB0" w14:textId="1D4C3327"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2"/>
    <w:p w14:paraId="79B3B543"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B14C38D" w14:textId="77777777" w:rsidR="007119AC"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w:t>
            </w:r>
            <w:r w:rsidR="00652230">
              <w:rPr>
                <w:rFonts w:ascii="Times New Roman" w:eastAsia="ＭＳ 明朝" w:hAnsi="Times New Roman"/>
                <w:sz w:val="22"/>
                <w:szCs w:val="22"/>
                <w:lang w:eastAsia="ja-JP"/>
              </w:rPr>
              <w:t xml:space="preserve">increasing UE implementation burden. </w:t>
            </w:r>
          </w:p>
          <w:p w14:paraId="5A4D6782" w14:textId="0C3D3C39"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4754A377" w14:textId="1BCC6B4D"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bl>
    <w:p w14:paraId="42A05521" w14:textId="77777777" w:rsidR="007119AC" w:rsidRDefault="007119AC" w:rsidP="007119AC">
      <w:pPr>
        <w:pStyle w:val="ac"/>
        <w:spacing w:after="0"/>
        <w:rPr>
          <w:rFonts w:ascii="Times New Roman" w:hAnsi="Times New Roman"/>
          <w:sz w:val="22"/>
          <w:szCs w:val="22"/>
          <w:lang w:eastAsia="zh-CN"/>
        </w:rPr>
      </w:pPr>
    </w:p>
    <w:p w14:paraId="1BEEA6B0" w14:textId="77777777" w:rsidR="007119AC" w:rsidRDefault="007119AC" w:rsidP="007119AC">
      <w:pPr>
        <w:pStyle w:val="ac"/>
        <w:spacing w:after="0"/>
        <w:rPr>
          <w:rFonts w:ascii="Times New Roman" w:hAnsi="Times New Roman"/>
          <w:sz w:val="22"/>
          <w:szCs w:val="22"/>
          <w:lang w:eastAsia="zh-CN"/>
        </w:rPr>
      </w:pPr>
    </w:p>
    <w:p w14:paraId="2D7D5D4B" w14:textId="77777777" w:rsidR="007119AC" w:rsidRDefault="007119AC" w:rsidP="007119AC">
      <w:pPr>
        <w:pStyle w:val="ac"/>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3BAB5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c"/>
        <w:spacing w:after="0"/>
        <w:rPr>
          <w:rFonts w:ascii="Times New Roman" w:hAnsi="Times New Roman"/>
          <w:sz w:val="22"/>
          <w:szCs w:val="22"/>
          <w:lang w:eastAsia="zh-CN"/>
        </w:rPr>
      </w:pPr>
    </w:p>
    <w:p w14:paraId="64372476" w14:textId="77777777" w:rsidR="00324766" w:rsidRDefault="00324766" w:rsidP="00324766">
      <w:pPr>
        <w:pStyle w:val="ac"/>
        <w:spacing w:after="0"/>
        <w:rPr>
          <w:rFonts w:ascii="Times New Roman" w:hAnsi="Times New Roman"/>
          <w:sz w:val="22"/>
          <w:szCs w:val="22"/>
          <w:lang w:eastAsia="zh-CN"/>
        </w:rPr>
      </w:pPr>
    </w:p>
    <w:p w14:paraId="327EBFA0" w14:textId="77777777" w:rsidR="00324766" w:rsidRDefault="00324766" w:rsidP="00324766">
      <w:pPr>
        <w:pStyle w:val="ac"/>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 for both 480 kHz and 960 kHz SCS</w:t>
      </w:r>
    </w:p>
    <w:p w14:paraId="0AB7A96C"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(n=0,1,2,…,31,40,…,71) for 480 kHz SCS;</w:t>
      </w:r>
    </w:p>
    <w:p w14:paraId="599D8698"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(n=0,1,2,…,63) for 960 kHz SCS.</w:t>
      </w:r>
    </w:p>
    <w:p w14:paraId="0B4164F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1: New SSB pattern introducing gaps between contiguous </w:t>
      </w:r>
      <w:proofErr w:type="gramStart"/>
      <w:r w:rsidRPr="002F3DBF">
        <w:rPr>
          <w:rFonts w:ascii="Times New Roman" w:hAnsi="Times New Roman"/>
          <w:sz w:val="22"/>
          <w:szCs w:val="22"/>
          <w:lang w:eastAsia="zh-CN"/>
        </w:rPr>
        <w:t>candidate</w:t>
      </w:r>
      <w:proofErr w:type="gramEnd"/>
      <w:r w:rsidRPr="002F3DBF">
        <w:rPr>
          <w:rFonts w:ascii="Times New Roman" w:hAnsi="Times New Roman"/>
          <w:sz w:val="22"/>
          <w:szCs w:val="22"/>
          <w:lang w:eastAsia="zh-CN"/>
        </w:rPr>
        <w:t xml:space="preserve"> SSBs;</w:t>
      </w:r>
    </w:p>
    <w:p w14:paraId="5EB77A92"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same QCL assumptions for contiguous candidate </w:t>
      </w:r>
      <w:proofErr w:type="gramStart"/>
      <w:r w:rsidRPr="002F3DBF">
        <w:rPr>
          <w:rFonts w:ascii="Times New Roman" w:hAnsi="Times New Roman"/>
          <w:sz w:val="22"/>
          <w:szCs w:val="22"/>
          <w:lang w:eastAsia="zh-CN"/>
        </w:rPr>
        <w:t>SSBs;</w:t>
      </w:r>
      <w:proofErr w:type="gramEnd"/>
    </w:p>
    <w:p w14:paraId="3FE61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0151DDAC"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9808B5">
        <w:rPr>
          <w:rFonts w:ascii="Times New Roman" w:hAnsi="Times New Roman"/>
          <w:sz w:val="22"/>
          <w:szCs w:val="22"/>
          <w:lang w:eastAsia="zh-CN"/>
        </w:rPr>
        <w:t>of  occasional</w:t>
      </w:r>
      <w:proofErr w:type="gramEnd"/>
      <w:r w:rsidRPr="009808B5">
        <w:rPr>
          <w:rFonts w:ascii="Times New Roman" w:hAnsi="Times New Roman"/>
          <w:sz w:val="22"/>
          <w:szCs w:val="22"/>
          <w:lang w:eastAsia="zh-CN"/>
        </w:rPr>
        <w:t xml:space="preserve"> LBT failure. The issue of supporting additional bit(s) for the extension of SSB candidate index needs further study.</w:t>
      </w:r>
    </w:p>
    <w:p w14:paraId="3CB1BC38"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c"/>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In order to</w:t>
      </w:r>
      <w:proofErr w:type="gramEnd"/>
      <w:r w:rsidRPr="00467B61">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n = 0,1,2, 4,5,6, 8,9,10, 12,13,14, 16,17,18, 20,21,22, 24,25,26, 28,29,30, 32,33,</w:t>
      </w:r>
      <w:proofErr w:type="gramStart"/>
      <w:r w:rsidRPr="00271C26">
        <w:rPr>
          <w:rFonts w:ascii="Times New Roman" w:hAnsi="Times New Roman"/>
          <w:sz w:val="22"/>
          <w:szCs w:val="22"/>
          <w:lang w:eastAsia="zh-CN"/>
        </w:rPr>
        <w:t>34,  36</w:t>
      </w:r>
      <w:proofErr w:type="gramEnd"/>
      <w:r w:rsidRPr="00271C26">
        <w:rPr>
          <w:rFonts w:ascii="Times New Roman" w:hAnsi="Times New Roman"/>
          <w:sz w:val="22"/>
          <w:szCs w:val="22"/>
          <w:lang w:eastAsia="zh-CN"/>
        </w:rPr>
        <w:t xml:space="preserve">,37,38, 40,41. </w:t>
      </w:r>
    </w:p>
    <w:p w14:paraId="74CD1916"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1F10F79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c"/>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t>Summary of Discussions</w:t>
      </w:r>
    </w:p>
    <w:p w14:paraId="7F6E3E7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530EBC8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c"/>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 xml:space="preserve">slots that may contain candidate SSB(s) (including maximum number of </w:t>
      </w:r>
      <w:proofErr w:type="gramStart"/>
      <w:r w:rsidRPr="007C22DD">
        <w:rPr>
          <w:rFonts w:ascii="Times New Roman" w:hAnsi="Times New Roman"/>
          <w:sz w:val="22"/>
          <w:szCs w:val="22"/>
          <w:lang w:eastAsia="zh-CN"/>
        </w:rPr>
        <w:t>candidate</w:t>
      </w:r>
      <w:proofErr w:type="gramEnd"/>
      <w:r w:rsidRPr="007C22DD">
        <w:rPr>
          <w:rFonts w:ascii="Times New Roman" w:hAnsi="Times New Roman"/>
          <w:sz w:val="22"/>
          <w:szCs w:val="22"/>
          <w:lang w:eastAsia="zh-CN"/>
        </w:rPr>
        <w:t xml:space="preserve"> SSB in half-radio frame</w:t>
      </w:r>
      <w:r>
        <w:rPr>
          <w:rFonts w:ascii="Times New Roman" w:hAnsi="Times New Roman"/>
          <w:sz w:val="22"/>
          <w:szCs w:val="22"/>
          <w:lang w:eastAsia="zh-CN"/>
        </w:rPr>
        <w:t>)</w:t>
      </w:r>
    </w:p>
    <w:p w14:paraId="4C602246" w14:textId="77777777" w:rsidR="00324766" w:rsidRDefault="00324766" w:rsidP="00324766">
      <w:pPr>
        <w:pStyle w:val="ac"/>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3"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c"/>
        <w:spacing w:after="0"/>
        <w:rPr>
          <w:rFonts w:ascii="Times New Roman" w:hAnsi="Times New Roman"/>
          <w:sz w:val="22"/>
          <w:szCs w:val="22"/>
          <w:lang w:eastAsia="zh-CN"/>
        </w:rPr>
      </w:pPr>
    </w:p>
    <w:p w14:paraId="16809A9F" w14:textId="51E71C9D"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FD8B902" w14:textId="6A800414"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7C7F56A4" w14:textId="34E8B345"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51192A53" w14:textId="50FE508F"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w:t>
      </w:r>
      <w:proofErr w:type="gramStart"/>
      <w:r w:rsidR="00BE0F65" w:rsidRPr="00271C26">
        <w:rPr>
          <w:rFonts w:ascii="Times New Roman" w:hAnsi="Times New Roman"/>
          <w:sz w:val="22"/>
          <w:szCs w:val="22"/>
          <w:lang w:eastAsia="zh-CN"/>
        </w:rPr>
        <w:t>34,  36</w:t>
      </w:r>
      <w:proofErr w:type="gramEnd"/>
      <w:r w:rsidR="00BE0F65" w:rsidRPr="00271C26">
        <w:rPr>
          <w:rFonts w:ascii="Times New Roman" w:hAnsi="Times New Roman"/>
          <w:sz w:val="22"/>
          <w:szCs w:val="22"/>
          <w:lang w:eastAsia="zh-CN"/>
        </w:rPr>
        <w:t>,37,38, 40,41.</w:t>
      </w:r>
    </w:p>
    <w:p w14:paraId="29E209A5" w14:textId="2A8712DC"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76B26774" w14:textId="17B1BAAE"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E5832C6" w14:textId="77777777"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2957CDBA" w14:textId="693CECB8"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c"/>
        <w:spacing w:after="0"/>
        <w:rPr>
          <w:rFonts w:ascii="Times New Roman" w:hAnsi="Times New Roman"/>
          <w:sz w:val="22"/>
          <w:szCs w:val="22"/>
          <w:lang w:eastAsia="zh-CN"/>
        </w:rPr>
      </w:pPr>
    </w:p>
    <w:p w14:paraId="237559BF" w14:textId="0994342F" w:rsidR="00DE410E" w:rsidRDefault="00DE410E" w:rsidP="00DE410E">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c"/>
        <w:spacing w:after="0"/>
        <w:rPr>
          <w:rFonts w:ascii="Times New Roman" w:hAnsi="Times New Roman"/>
          <w:sz w:val="22"/>
          <w:szCs w:val="22"/>
          <w:lang w:eastAsia="zh-CN"/>
        </w:rPr>
      </w:pPr>
    </w:p>
    <w:p w14:paraId="1B711D15" w14:textId="071F5452"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c"/>
        <w:spacing w:after="0"/>
        <w:ind w:left="1440"/>
        <w:rPr>
          <w:rFonts w:ascii="Times New Roman" w:hAnsi="Times New Roman"/>
          <w:sz w:val="22"/>
          <w:szCs w:val="22"/>
          <w:lang w:eastAsia="zh-CN"/>
        </w:rPr>
      </w:pPr>
    </w:p>
    <w:bookmarkEnd w:id="3"/>
    <w:p w14:paraId="612E428B" w14:textId="77777777" w:rsidR="00BE0F65" w:rsidRDefault="00BE0F65"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50677E0" w14:textId="77777777" w:rsidR="007119AC"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59C3EA1B" w14:textId="77777777" w:rsidR="000F7123"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F4F558A" w14:textId="77777777"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1AF98E12" w14:textId="0DC12D6F" w:rsidR="000F7123" w:rsidRPr="00CC4929" w:rsidRDefault="000F7123" w:rsidP="000F7123">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bl>
    <w:p w14:paraId="17E8E79C" w14:textId="77777777" w:rsidR="007119AC" w:rsidRDefault="007119AC" w:rsidP="007119AC">
      <w:pPr>
        <w:pStyle w:val="ac"/>
        <w:spacing w:after="0"/>
        <w:rPr>
          <w:rFonts w:ascii="Times New Roman" w:hAnsi="Times New Roman"/>
          <w:sz w:val="22"/>
          <w:szCs w:val="22"/>
          <w:lang w:eastAsia="zh-CN"/>
        </w:rPr>
      </w:pPr>
    </w:p>
    <w:p w14:paraId="5D0A030B" w14:textId="77777777" w:rsidR="007119AC" w:rsidRDefault="007119AC" w:rsidP="007119AC">
      <w:pPr>
        <w:pStyle w:val="ac"/>
        <w:spacing w:after="0"/>
        <w:rPr>
          <w:rFonts w:ascii="Times New Roman" w:hAnsi="Times New Roman"/>
          <w:sz w:val="22"/>
          <w:szCs w:val="22"/>
          <w:lang w:eastAsia="zh-CN"/>
        </w:rPr>
      </w:pPr>
    </w:p>
    <w:p w14:paraId="64239FC0" w14:textId="77777777" w:rsidR="007119AC" w:rsidRDefault="007119AC" w:rsidP="007119AC">
      <w:pPr>
        <w:pStyle w:val="ac"/>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c"/>
        <w:spacing w:after="0"/>
        <w:rPr>
          <w:rFonts w:ascii="Times New Roman" w:hAnsi="Times New Roman"/>
          <w:sz w:val="22"/>
          <w:szCs w:val="22"/>
          <w:lang w:eastAsia="zh-CN"/>
        </w:rPr>
      </w:pPr>
    </w:p>
    <w:p w14:paraId="1F0FBCA9" w14:textId="77777777" w:rsidR="00324766" w:rsidRDefault="00324766" w:rsidP="00324766">
      <w:pPr>
        <w:pStyle w:val="ac"/>
        <w:spacing w:after="0"/>
        <w:rPr>
          <w:rFonts w:ascii="Times New Roman" w:hAnsi="Times New Roman"/>
          <w:sz w:val="22"/>
          <w:szCs w:val="22"/>
          <w:lang w:eastAsia="zh-CN"/>
        </w:rPr>
      </w:pPr>
    </w:p>
    <w:p w14:paraId="39C56215" w14:textId="77777777" w:rsidR="00324766" w:rsidRDefault="00324766" w:rsidP="00324766">
      <w:pPr>
        <w:pStyle w:val="ac"/>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the following CORESET#0 RB offsets values for {SSB, CORESET#0} SCS</w:t>
      </w:r>
      <w:proofErr w:type="gramStart"/>
      <w:r w:rsidRPr="008D61F6">
        <w:rPr>
          <w:rFonts w:ascii="Times New Roman" w:hAnsi="Times New Roman"/>
          <w:sz w:val="22"/>
          <w:szCs w:val="22"/>
          <w:lang w:eastAsia="zh-CN"/>
        </w:rPr>
        <w:t>={</w:t>
      </w:r>
      <w:proofErr w:type="gramEnd"/>
      <w:r w:rsidRPr="008D61F6">
        <w:rPr>
          <w:rFonts w:ascii="Times New Roman" w:hAnsi="Times New Roman"/>
          <w:sz w:val="22"/>
          <w:szCs w:val="22"/>
          <w:lang w:eastAsia="zh-CN"/>
        </w:rPr>
        <w:t xml:space="preserve">120, 120} kHz: </w:t>
      </w:r>
    </w:p>
    <w:p w14:paraId="00775B77"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lastRenderedPageBreak/>
        <w:t>(480K, 480K): Pattern 1, Pattern 3</w:t>
      </w:r>
    </w:p>
    <w:p w14:paraId="7B1AE9DF"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96}. In case SSB and Type0 CORESET multiplexing pattern 1 removing option of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24} could be considered.</w:t>
      </w:r>
    </w:p>
    <w:p w14:paraId="3538DB1E"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E76050"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E76050"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c"/>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ac"/>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 xml:space="preserve">For SSB and CORESET#0/Type0-PDCCH with 120 </w:t>
      </w:r>
      <w:proofErr w:type="spellStart"/>
      <w:r w:rsidRPr="00487B8C">
        <w:rPr>
          <w:rFonts w:ascii="Times New Roman" w:hAnsi="Times New Roman"/>
          <w:sz w:val="22"/>
          <w:szCs w:val="22"/>
          <w:lang w:eastAsia="zh-CN"/>
        </w:rPr>
        <w:t>KHz</w:t>
      </w:r>
      <w:proofErr w:type="spellEnd"/>
      <w:r w:rsidRPr="00487B8C">
        <w:rPr>
          <w:rFonts w:ascii="Times New Roman" w:hAnsi="Times New Roman"/>
          <w:sz w:val="22"/>
          <w:szCs w:val="22"/>
          <w:lang w:eastAsia="zh-CN"/>
        </w:rPr>
        <w:t xml:space="preserve"> SCS, support the following combinations of SSB/CORESET multiplexing pattern, number of RB and symbols for CORESET.</w:t>
      </w:r>
    </w:p>
    <w:p w14:paraId="24887843"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w:t>
      </w:r>
      <w:proofErr w:type="gramStart"/>
      <w:r w:rsidRPr="00931614">
        <w:rPr>
          <w:rFonts w:ascii="Times New Roman" w:hAnsi="Times New Roman"/>
          <w:sz w:val="22"/>
          <w:szCs w:val="22"/>
          <w:lang w:eastAsia="zh-CN"/>
        </w:rPr>
        <w:t>similar to</w:t>
      </w:r>
      <w:proofErr w:type="gramEnd"/>
      <w:r w:rsidRPr="00931614">
        <w:rPr>
          <w:rFonts w:ascii="Times New Roman" w:hAnsi="Times New Roman"/>
          <w:sz w:val="22"/>
          <w:szCs w:val="22"/>
          <w:lang w:eastAsia="zh-CN"/>
        </w:rPr>
        <w:t xml:space="preserve"> the existing NR Rel-16 design)</w:t>
      </w:r>
    </w:p>
    <w:p w14:paraId="6D9E2C0A"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UE is not expected to support 480 kHz SCS for SSB if it doesn’t support 480 kHz SCS for data/control channels.</w:t>
      </w:r>
    </w:p>
    <w:p w14:paraId="5388B69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as 120 </w:t>
      </w:r>
      <w:proofErr w:type="gramStart"/>
      <w:r w:rsidRPr="000643AA">
        <w:rPr>
          <w:rFonts w:ascii="Times New Roman" w:hAnsi="Times New Roman"/>
          <w:sz w:val="22"/>
          <w:szCs w:val="22"/>
          <w:lang w:eastAsia="zh-CN"/>
        </w:rPr>
        <w:t>kHz;</w:t>
      </w:r>
      <w:proofErr w:type="gramEnd"/>
    </w:p>
    <w:p w14:paraId="683A36C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additional CORESET#0 RB offsets are </w:t>
      </w:r>
      <w:proofErr w:type="gramStart"/>
      <w:r w:rsidRPr="000643AA">
        <w:rPr>
          <w:rFonts w:ascii="Times New Roman" w:hAnsi="Times New Roman"/>
          <w:sz w:val="22"/>
          <w:szCs w:val="22"/>
          <w:lang w:eastAsia="zh-CN"/>
        </w:rPr>
        <w:t>needed;</w:t>
      </w:r>
      <w:proofErr w:type="gramEnd"/>
    </w:p>
    <w:p w14:paraId="1C546FE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same as SS/PBCH block </w:t>
      </w:r>
      <w:proofErr w:type="gramStart"/>
      <w:r w:rsidRPr="000643AA">
        <w:rPr>
          <w:rFonts w:ascii="Times New Roman" w:hAnsi="Times New Roman"/>
          <w:sz w:val="22"/>
          <w:szCs w:val="22"/>
          <w:lang w:eastAsia="zh-CN"/>
        </w:rPr>
        <w:t>SCS;</w:t>
      </w:r>
      <w:proofErr w:type="gramEnd"/>
    </w:p>
    <w:p w14:paraId="6E012488"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sidRPr="000643AA">
        <w:rPr>
          <w:rFonts w:ascii="Times New Roman" w:hAnsi="Times New Roman"/>
          <w:sz w:val="22"/>
          <w:szCs w:val="22"/>
          <w:lang w:eastAsia="zh-CN"/>
        </w:rPr>
        <w:t>SCS;</w:t>
      </w:r>
      <w:proofErr w:type="gramEnd"/>
    </w:p>
    <w:p w14:paraId="3CE3644D"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w:t>
      </w:r>
      <w:proofErr w:type="gramStart"/>
      <w:r w:rsidRPr="000643AA">
        <w:rPr>
          <w:rFonts w:ascii="Times New Roman" w:hAnsi="Times New Roman"/>
          <w:sz w:val="22"/>
          <w:szCs w:val="22"/>
          <w:lang w:eastAsia="zh-CN"/>
        </w:rPr>
        <w:t>0;</w:t>
      </w:r>
      <w:proofErr w:type="gramEnd"/>
    </w:p>
    <w:p w14:paraId="7A8BB13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c"/>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 xml:space="preserve">We propose that SS/PBCH block and CORESET#0/RMSI can be multiplexed in TDM/FDM within a slot considering multi-beam operation and it can be closely located without the gap </w:t>
      </w:r>
      <w:r w:rsidRPr="000000D2">
        <w:rPr>
          <w:rFonts w:eastAsia="SimSun"/>
          <w:lang w:eastAsia="zh-CN"/>
        </w:rPr>
        <w:lastRenderedPageBreak/>
        <w:t>between SSB and CORESET#0/RMSI for not allowing any in-between channel access operation in the unlicensed band.</w:t>
      </w:r>
    </w:p>
    <w:p w14:paraId="6CB675BF" w14:textId="77777777" w:rsidR="00324766" w:rsidRPr="00610D09" w:rsidRDefault="00324766" w:rsidP="00324766">
      <w:pPr>
        <w:pStyle w:val="ac"/>
        <w:spacing w:after="0"/>
        <w:rPr>
          <w:rFonts w:ascii="Times New Roman" w:hAnsi="Times New Roman"/>
          <w:sz w:val="22"/>
          <w:szCs w:val="22"/>
          <w:lang w:eastAsia="zh-CN"/>
        </w:rPr>
      </w:pPr>
    </w:p>
    <w:p w14:paraId="2ED008EA" w14:textId="77777777" w:rsidR="00324766" w:rsidRDefault="00324766" w:rsidP="00324766">
      <w:pPr>
        <w:pStyle w:val="ac"/>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083E25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c"/>
        <w:spacing w:after="0"/>
        <w:rPr>
          <w:rFonts w:ascii="Times New Roman" w:hAnsi="Times New Roman"/>
          <w:sz w:val="22"/>
          <w:szCs w:val="22"/>
          <w:lang w:eastAsia="zh-CN"/>
        </w:rPr>
      </w:pPr>
    </w:p>
    <w:p w14:paraId="6257367C" w14:textId="77777777" w:rsidR="00324766" w:rsidRDefault="00324766" w:rsidP="00FE1ECE">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following issues:</w:t>
      </w:r>
    </w:p>
    <w:p w14:paraId="46D21D8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ac"/>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4"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c"/>
        <w:spacing w:after="0"/>
        <w:rPr>
          <w:rFonts w:ascii="Times New Roman" w:hAnsi="Times New Roman"/>
          <w:sz w:val="22"/>
          <w:szCs w:val="22"/>
          <w:lang w:eastAsia="zh-CN"/>
        </w:rPr>
      </w:pPr>
    </w:p>
    <w:p w14:paraId="7495110C" w14:textId="073C3BEC" w:rsidR="00AB2D51" w:rsidRDefault="00AB2D51" w:rsidP="00AB2D5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c"/>
        <w:spacing w:after="0"/>
        <w:rPr>
          <w:rFonts w:ascii="Times New Roman" w:hAnsi="Times New Roman"/>
          <w:sz w:val="22"/>
          <w:szCs w:val="22"/>
          <w:lang w:eastAsia="zh-CN"/>
        </w:rPr>
      </w:pPr>
    </w:p>
    <w:p w14:paraId="6ABC4632" w14:textId="77777777" w:rsidR="0086233D" w:rsidRDefault="0086233D" w:rsidP="0086233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6A5279" w14:textId="77777777" w:rsidR="00EC0BA7" w:rsidRDefault="00EC0BA7" w:rsidP="00EC0BA7">
      <w:pPr>
        <w:pStyle w:val="ac"/>
        <w:spacing w:after="0"/>
        <w:ind w:left="720"/>
        <w:rPr>
          <w:rFonts w:ascii="Times New Roman" w:hAnsi="Times New Roman"/>
          <w:sz w:val="22"/>
          <w:szCs w:val="22"/>
          <w:lang w:eastAsia="zh-CN"/>
        </w:rPr>
      </w:pPr>
    </w:p>
    <w:p w14:paraId="764AFD03" w14:textId="40AD88EA" w:rsidR="007119AC" w:rsidRDefault="0086233D"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c"/>
        <w:spacing w:after="0"/>
        <w:ind w:left="720"/>
        <w:rPr>
          <w:rFonts w:ascii="Times New Roman" w:hAnsi="Times New Roman"/>
          <w:sz w:val="22"/>
          <w:szCs w:val="22"/>
          <w:lang w:eastAsia="zh-CN"/>
        </w:rPr>
      </w:pPr>
    </w:p>
    <w:p w14:paraId="733E7470" w14:textId="75EAC126" w:rsidR="0086233D" w:rsidRDefault="0086233D" w:rsidP="0086233D">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c"/>
        <w:spacing w:after="0"/>
        <w:ind w:left="720"/>
        <w:rPr>
          <w:rFonts w:ascii="Times New Roman" w:hAnsi="Times New Roman"/>
          <w:sz w:val="22"/>
          <w:szCs w:val="22"/>
          <w:lang w:eastAsia="zh-CN"/>
        </w:rPr>
      </w:pPr>
    </w:p>
    <w:p w14:paraId="0B10388E" w14:textId="1957D0D4" w:rsidR="0086233D" w:rsidRDefault="0086233D" w:rsidP="008623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
    <w:p w14:paraId="1EC25086" w14:textId="39FE7921" w:rsidR="00AB2D51" w:rsidRDefault="00AB2D51" w:rsidP="00AB2D51">
      <w:pPr>
        <w:pStyle w:val="ac"/>
        <w:spacing w:after="0"/>
        <w:rPr>
          <w:rFonts w:ascii="Times New Roman" w:hAnsi="Times New Roman"/>
          <w:sz w:val="22"/>
          <w:szCs w:val="22"/>
          <w:lang w:eastAsia="zh-CN"/>
        </w:rPr>
      </w:pPr>
    </w:p>
    <w:p w14:paraId="7279B955" w14:textId="77777777" w:rsidR="0086233D" w:rsidRDefault="0086233D" w:rsidP="00AB2D51">
      <w:pPr>
        <w:pStyle w:val="ac"/>
        <w:spacing w:after="0"/>
        <w:rPr>
          <w:rFonts w:ascii="Times New Roman" w:hAnsi="Times New Roman"/>
          <w:sz w:val="22"/>
          <w:szCs w:val="22"/>
          <w:lang w:eastAsia="zh-CN"/>
        </w:rPr>
      </w:pPr>
    </w:p>
    <w:p w14:paraId="241A90DB" w14:textId="77777777" w:rsidR="00AB2D51" w:rsidRDefault="00AB2D51" w:rsidP="00AB2D5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93E97DA" w14:textId="77777777" w:rsidR="007119AC"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t>
            </w:r>
            <w:r w:rsidR="007D4A35">
              <w:rPr>
                <w:rFonts w:ascii="Times New Roman" w:eastAsia="ＭＳ 明朝"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w:t>
            </w:r>
            <w:proofErr w:type="gramStart"/>
            <w:r>
              <w:rPr>
                <w:rFonts w:ascii="Times New Roman" w:eastAsia="ＭＳ 明朝" w:hAnsi="Times New Roman"/>
                <w:sz w:val="22"/>
                <w:szCs w:val="22"/>
                <w:lang w:eastAsia="ja-JP"/>
              </w:rPr>
              <w:t>depend</w:t>
            </w:r>
            <w:proofErr w:type="gramEnd"/>
            <w:r>
              <w:rPr>
                <w:rFonts w:ascii="Times New Roman" w:eastAsia="ＭＳ 明朝" w:hAnsi="Times New Roman"/>
                <w:sz w:val="22"/>
                <w:szCs w:val="22"/>
                <w:lang w:eastAsia="ja-JP"/>
              </w:rPr>
              <w:t xml:space="preserve"> on other aspects. </w:t>
            </w:r>
          </w:p>
        </w:tc>
      </w:tr>
    </w:tbl>
    <w:p w14:paraId="236BCFCA" w14:textId="77777777" w:rsidR="007119AC" w:rsidRDefault="007119AC" w:rsidP="007119AC">
      <w:pPr>
        <w:pStyle w:val="ac"/>
        <w:spacing w:after="0"/>
        <w:rPr>
          <w:rFonts w:ascii="Times New Roman" w:hAnsi="Times New Roman"/>
          <w:sz w:val="22"/>
          <w:szCs w:val="22"/>
          <w:lang w:eastAsia="zh-CN"/>
        </w:rPr>
      </w:pPr>
    </w:p>
    <w:p w14:paraId="7A0F2AE2" w14:textId="77777777" w:rsidR="007119AC" w:rsidRDefault="007119AC" w:rsidP="007119AC">
      <w:pPr>
        <w:pStyle w:val="ac"/>
        <w:spacing w:after="0"/>
        <w:rPr>
          <w:rFonts w:ascii="Times New Roman" w:hAnsi="Times New Roman"/>
          <w:sz w:val="22"/>
          <w:szCs w:val="22"/>
          <w:lang w:eastAsia="zh-CN"/>
        </w:rPr>
      </w:pPr>
    </w:p>
    <w:p w14:paraId="32ED0A47" w14:textId="77777777" w:rsidR="007119AC" w:rsidRDefault="007119AC" w:rsidP="007119AC">
      <w:pPr>
        <w:pStyle w:val="ac"/>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c"/>
        <w:spacing w:after="0"/>
        <w:rPr>
          <w:rFonts w:ascii="Times New Roman" w:hAnsi="Times New Roman"/>
          <w:sz w:val="22"/>
          <w:szCs w:val="22"/>
          <w:lang w:eastAsia="zh-CN"/>
        </w:rPr>
      </w:pPr>
    </w:p>
    <w:p w14:paraId="60CB59A0" w14:textId="77777777" w:rsidR="007119AC" w:rsidRDefault="007119AC" w:rsidP="00324766">
      <w:pPr>
        <w:pStyle w:val="ac"/>
        <w:spacing w:after="0"/>
        <w:rPr>
          <w:rFonts w:ascii="Times New Roman" w:hAnsi="Times New Roman"/>
          <w:sz w:val="22"/>
          <w:szCs w:val="22"/>
          <w:lang w:eastAsia="zh-CN"/>
        </w:rPr>
      </w:pPr>
    </w:p>
    <w:p w14:paraId="0A5AECF1" w14:textId="77777777" w:rsidR="00324766" w:rsidRDefault="00324766" w:rsidP="00324766">
      <w:pPr>
        <w:pStyle w:val="ac"/>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37114D1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2DC676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c"/>
        <w:spacing w:after="0"/>
        <w:rPr>
          <w:rFonts w:ascii="Times New Roman" w:hAnsi="Times New Roman"/>
          <w:sz w:val="22"/>
          <w:szCs w:val="22"/>
          <w:lang w:eastAsia="zh-CN"/>
        </w:rPr>
      </w:pPr>
    </w:p>
    <w:p w14:paraId="3BEE3ADD" w14:textId="77777777" w:rsidR="00324766" w:rsidRDefault="00324766" w:rsidP="00324766">
      <w:pPr>
        <w:pStyle w:val="ac"/>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25A4CF6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3EB65BE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74F11F9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c"/>
        <w:spacing w:after="0"/>
        <w:ind w:left="720"/>
        <w:rPr>
          <w:rFonts w:ascii="Times New Roman" w:hAnsi="Times New Roman"/>
          <w:sz w:val="22"/>
          <w:szCs w:val="22"/>
          <w:lang w:eastAsia="zh-CN"/>
        </w:rPr>
      </w:pPr>
    </w:p>
    <w:p w14:paraId="500566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c"/>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c"/>
        <w:spacing w:after="0"/>
        <w:rPr>
          <w:rFonts w:ascii="Times New Roman" w:hAnsi="Times New Roman"/>
          <w:sz w:val="22"/>
          <w:szCs w:val="22"/>
          <w:lang w:eastAsia="zh-CN"/>
        </w:rPr>
      </w:pPr>
    </w:p>
    <w:p w14:paraId="46E33B34" w14:textId="1B0FC1F9" w:rsidR="007119AC"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469128F3" w14:textId="77777777" w:rsidR="00F97341" w:rsidRDefault="00F97341" w:rsidP="00F97341">
      <w:pPr>
        <w:pStyle w:val="ac"/>
        <w:spacing w:after="0"/>
        <w:ind w:left="720"/>
        <w:rPr>
          <w:rFonts w:ascii="Times New Roman" w:hAnsi="Times New Roman"/>
          <w:sz w:val="22"/>
          <w:szCs w:val="22"/>
          <w:lang w:eastAsia="zh-CN"/>
        </w:rPr>
      </w:pPr>
    </w:p>
    <w:p w14:paraId="05BD1900" w14:textId="49DCD4A8"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aff2"/>
        <w:rPr>
          <w:lang w:eastAsia="zh-CN"/>
        </w:rPr>
      </w:pPr>
    </w:p>
    <w:p w14:paraId="37D71DD4" w14:textId="7AF18CBE"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ac"/>
        <w:spacing w:after="0"/>
        <w:rPr>
          <w:rFonts w:ascii="Times New Roman" w:hAnsi="Times New Roman"/>
          <w:sz w:val="22"/>
          <w:szCs w:val="22"/>
          <w:lang w:eastAsia="zh-CN"/>
        </w:rPr>
      </w:pPr>
    </w:p>
    <w:p w14:paraId="03782C2E" w14:textId="77777777" w:rsidR="00F97341" w:rsidRDefault="00F97341" w:rsidP="00F973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ABA4D5" w14:textId="77777777" w:rsidTr="00BD767C">
        <w:tc>
          <w:tcPr>
            <w:tcW w:w="1805" w:type="dxa"/>
          </w:tcPr>
          <w:p w14:paraId="2D20A8BC" w14:textId="77777777" w:rsidR="007119AC" w:rsidRDefault="007119AC" w:rsidP="00BD767C">
            <w:pPr>
              <w:pStyle w:val="ac"/>
              <w:spacing w:after="0"/>
              <w:rPr>
                <w:rFonts w:ascii="Times New Roman" w:hAnsi="Times New Roman"/>
                <w:sz w:val="22"/>
                <w:szCs w:val="22"/>
                <w:lang w:eastAsia="zh-CN"/>
              </w:rPr>
            </w:pPr>
          </w:p>
        </w:tc>
        <w:tc>
          <w:tcPr>
            <w:tcW w:w="8157" w:type="dxa"/>
          </w:tcPr>
          <w:p w14:paraId="58F60F09" w14:textId="77777777" w:rsidR="007119AC" w:rsidRDefault="007119AC" w:rsidP="00BD767C">
            <w:pPr>
              <w:pStyle w:val="ac"/>
              <w:spacing w:after="0"/>
              <w:rPr>
                <w:rFonts w:ascii="Times New Roman" w:hAnsi="Times New Roman"/>
                <w:sz w:val="22"/>
                <w:szCs w:val="22"/>
                <w:lang w:eastAsia="zh-CN"/>
              </w:rPr>
            </w:pPr>
          </w:p>
        </w:tc>
      </w:tr>
    </w:tbl>
    <w:p w14:paraId="3DDF740B" w14:textId="77777777" w:rsidR="007119AC" w:rsidRDefault="007119AC" w:rsidP="007119AC">
      <w:pPr>
        <w:pStyle w:val="ac"/>
        <w:spacing w:after="0"/>
        <w:rPr>
          <w:rFonts w:ascii="Times New Roman" w:hAnsi="Times New Roman"/>
          <w:sz w:val="22"/>
          <w:szCs w:val="22"/>
          <w:lang w:eastAsia="zh-CN"/>
        </w:rPr>
      </w:pPr>
    </w:p>
    <w:p w14:paraId="40739CCB" w14:textId="77777777" w:rsidR="007119AC" w:rsidRDefault="007119AC" w:rsidP="007119AC">
      <w:pPr>
        <w:pStyle w:val="ac"/>
        <w:spacing w:after="0"/>
        <w:rPr>
          <w:rFonts w:ascii="Times New Roman" w:hAnsi="Times New Roman"/>
          <w:sz w:val="22"/>
          <w:szCs w:val="22"/>
          <w:lang w:eastAsia="zh-CN"/>
        </w:rPr>
      </w:pPr>
    </w:p>
    <w:p w14:paraId="2E52E692" w14:textId="77777777" w:rsidR="007119AC" w:rsidRDefault="007119AC" w:rsidP="007119AC">
      <w:pPr>
        <w:pStyle w:val="ac"/>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c"/>
        <w:spacing w:after="0"/>
        <w:rPr>
          <w:rFonts w:ascii="Times New Roman" w:hAnsi="Times New Roman"/>
          <w:sz w:val="22"/>
          <w:szCs w:val="22"/>
          <w:lang w:eastAsia="zh-CN"/>
        </w:rPr>
      </w:pPr>
    </w:p>
    <w:p w14:paraId="766B6D9C" w14:textId="77777777" w:rsidR="00324766" w:rsidRDefault="00324766" w:rsidP="00324766">
      <w:pPr>
        <w:pStyle w:val="ac"/>
        <w:spacing w:after="0"/>
        <w:rPr>
          <w:rFonts w:ascii="Times New Roman" w:hAnsi="Times New Roman"/>
          <w:sz w:val="22"/>
          <w:szCs w:val="22"/>
          <w:lang w:eastAsia="zh-CN"/>
        </w:rPr>
      </w:pPr>
    </w:p>
    <w:p w14:paraId="1258F83B" w14:textId="77777777" w:rsidR="00324766" w:rsidRDefault="00324766" w:rsidP="00324766">
      <w:pPr>
        <w:pStyle w:val="ac"/>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c"/>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ac"/>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c"/>
        <w:spacing w:after="0"/>
        <w:rPr>
          <w:rFonts w:ascii="Times New Roman" w:hAnsi="Times New Roman"/>
          <w:sz w:val="22"/>
          <w:szCs w:val="22"/>
          <w:lang w:eastAsia="zh-CN"/>
        </w:rPr>
      </w:pPr>
    </w:p>
    <w:p w14:paraId="5254A1DC" w14:textId="77777777" w:rsidR="00324766" w:rsidRDefault="00324766" w:rsidP="00324766">
      <w:pPr>
        <w:pStyle w:val="ac"/>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t>Summary of Discussions</w:t>
      </w:r>
    </w:p>
    <w:p w14:paraId="09D8F5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84252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w:t>
      </w:r>
      <w:r>
        <w:rPr>
          <w:rFonts w:ascii="Times New Roman" w:hAnsi="Times New Roman"/>
          <w:sz w:val="22"/>
          <w:szCs w:val="22"/>
          <w:lang w:eastAsia="zh-CN"/>
        </w:rPr>
        <w:lastRenderedPageBreak/>
        <w:t>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ac"/>
        <w:spacing w:after="0"/>
        <w:rPr>
          <w:rFonts w:ascii="Times New Roman" w:hAnsi="Times New Roman"/>
          <w:sz w:val="22"/>
          <w:szCs w:val="22"/>
          <w:lang w:eastAsia="zh-CN"/>
        </w:rPr>
      </w:pPr>
    </w:p>
    <w:p w14:paraId="538EE684" w14:textId="77777777" w:rsidR="00324766" w:rsidRDefault="00324766" w:rsidP="00324766">
      <w:pPr>
        <w:pStyle w:val="ac"/>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5"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c"/>
        <w:spacing w:after="0"/>
        <w:rPr>
          <w:rFonts w:ascii="Times New Roman" w:hAnsi="Times New Roman"/>
          <w:sz w:val="22"/>
          <w:szCs w:val="22"/>
          <w:lang w:eastAsia="zh-CN"/>
        </w:rPr>
      </w:pPr>
    </w:p>
    <w:p w14:paraId="1229F04E" w14:textId="6D210849" w:rsidR="00DE51C6" w:rsidRDefault="00DE51C6" w:rsidP="007C261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5"/>
    <w:p w14:paraId="3F064861" w14:textId="2747BC07" w:rsidR="007C2612" w:rsidRDefault="007C2612" w:rsidP="00DE51C6">
      <w:pPr>
        <w:pStyle w:val="ac"/>
        <w:spacing w:after="0"/>
        <w:ind w:left="720"/>
        <w:rPr>
          <w:rFonts w:ascii="Times New Roman" w:hAnsi="Times New Roman"/>
          <w:sz w:val="22"/>
          <w:szCs w:val="22"/>
          <w:lang w:eastAsia="zh-CN"/>
        </w:rPr>
      </w:pPr>
    </w:p>
    <w:p w14:paraId="0AF40B7D"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EEB9757" w14:textId="03BC5BF7" w:rsidR="007119AC" w:rsidRPr="00CC4929" w:rsidRDefault="007D4A35"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bl>
    <w:p w14:paraId="49993DF7" w14:textId="77777777" w:rsidR="007119AC" w:rsidRDefault="007119AC" w:rsidP="007119AC">
      <w:pPr>
        <w:pStyle w:val="ac"/>
        <w:spacing w:after="0"/>
        <w:rPr>
          <w:rFonts w:ascii="Times New Roman" w:hAnsi="Times New Roman"/>
          <w:sz w:val="22"/>
          <w:szCs w:val="22"/>
          <w:lang w:eastAsia="zh-CN"/>
        </w:rPr>
      </w:pPr>
    </w:p>
    <w:p w14:paraId="16EAFE2E" w14:textId="77777777" w:rsidR="007119AC" w:rsidRDefault="007119AC" w:rsidP="007119AC">
      <w:pPr>
        <w:pStyle w:val="ac"/>
        <w:spacing w:after="0"/>
        <w:rPr>
          <w:rFonts w:ascii="Times New Roman" w:hAnsi="Times New Roman"/>
          <w:sz w:val="22"/>
          <w:szCs w:val="22"/>
          <w:lang w:eastAsia="zh-CN"/>
        </w:rPr>
      </w:pPr>
    </w:p>
    <w:p w14:paraId="5025EF32" w14:textId="77777777" w:rsidR="007119AC" w:rsidRDefault="007119AC" w:rsidP="007119AC">
      <w:pPr>
        <w:pStyle w:val="ac"/>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c"/>
        <w:spacing w:after="0"/>
        <w:rPr>
          <w:rFonts w:ascii="Times New Roman" w:hAnsi="Times New Roman"/>
          <w:sz w:val="22"/>
          <w:szCs w:val="22"/>
          <w:lang w:eastAsia="zh-CN"/>
        </w:rPr>
      </w:pPr>
    </w:p>
    <w:p w14:paraId="2C2E41A0" w14:textId="77777777" w:rsidR="00324766" w:rsidRDefault="00324766" w:rsidP="00324766">
      <w:pPr>
        <w:pStyle w:val="ac"/>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54AA781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c"/>
        <w:spacing w:after="0"/>
        <w:rPr>
          <w:rFonts w:ascii="Times New Roman" w:hAnsi="Times New Roman"/>
          <w:sz w:val="22"/>
          <w:szCs w:val="22"/>
          <w:lang w:eastAsia="zh-CN"/>
        </w:rPr>
      </w:pPr>
    </w:p>
    <w:p w14:paraId="0306F3B6" w14:textId="77777777" w:rsidR="00324766" w:rsidRDefault="00324766" w:rsidP="00324766">
      <w:pPr>
        <w:pStyle w:val="ac"/>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c"/>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ac"/>
        <w:spacing w:after="0"/>
        <w:ind w:left="720"/>
        <w:rPr>
          <w:rFonts w:ascii="Times New Roman" w:hAnsi="Times New Roman"/>
          <w:sz w:val="22"/>
          <w:szCs w:val="22"/>
          <w:lang w:eastAsia="zh-CN"/>
        </w:rPr>
      </w:pPr>
    </w:p>
    <w:p w14:paraId="3F9A11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ac"/>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c"/>
        <w:spacing w:after="0"/>
        <w:rPr>
          <w:rFonts w:ascii="Times New Roman" w:hAnsi="Times New Roman"/>
          <w:sz w:val="22"/>
          <w:szCs w:val="22"/>
          <w:lang w:eastAsia="zh-CN"/>
        </w:rPr>
      </w:pPr>
    </w:p>
    <w:p w14:paraId="685C1F0C" w14:textId="77777777" w:rsidR="00AA7AD9" w:rsidRDefault="00AA7AD9" w:rsidP="00324766">
      <w:pPr>
        <w:pStyle w:val="ac"/>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6"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6"/>
    <w:p w14:paraId="44A939A8" w14:textId="0E6F9A5C" w:rsidR="00DE51C6" w:rsidRDefault="00DE51C6" w:rsidP="00DE51C6">
      <w:pPr>
        <w:pStyle w:val="ac"/>
        <w:spacing w:after="0"/>
        <w:rPr>
          <w:rFonts w:ascii="Times New Roman" w:hAnsi="Times New Roman"/>
          <w:sz w:val="22"/>
          <w:szCs w:val="22"/>
          <w:lang w:eastAsia="zh-CN"/>
        </w:rPr>
      </w:pPr>
    </w:p>
    <w:p w14:paraId="2156B8DD" w14:textId="77777777" w:rsidR="00DE51C6" w:rsidRDefault="00DE51C6" w:rsidP="00DE51C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C7C9394" w14:textId="605FE884" w:rsidR="007119AC" w:rsidRPr="00CC4929" w:rsidRDefault="007D4A35"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bl>
    <w:p w14:paraId="49FF475B" w14:textId="77777777" w:rsidR="007119AC" w:rsidRDefault="007119AC" w:rsidP="007119AC">
      <w:pPr>
        <w:pStyle w:val="ac"/>
        <w:spacing w:after="0"/>
        <w:rPr>
          <w:rFonts w:ascii="Times New Roman" w:hAnsi="Times New Roman"/>
          <w:sz w:val="22"/>
          <w:szCs w:val="22"/>
          <w:lang w:eastAsia="zh-CN"/>
        </w:rPr>
      </w:pPr>
    </w:p>
    <w:p w14:paraId="6161492B" w14:textId="77777777" w:rsidR="007119AC" w:rsidRDefault="007119AC" w:rsidP="007119AC">
      <w:pPr>
        <w:pStyle w:val="ac"/>
        <w:spacing w:after="0"/>
        <w:rPr>
          <w:rFonts w:ascii="Times New Roman" w:hAnsi="Times New Roman"/>
          <w:sz w:val="22"/>
          <w:szCs w:val="22"/>
          <w:lang w:eastAsia="zh-CN"/>
        </w:rPr>
      </w:pPr>
    </w:p>
    <w:p w14:paraId="6C40F207" w14:textId="77777777" w:rsidR="007119AC" w:rsidRDefault="007119AC" w:rsidP="007119AC">
      <w:pPr>
        <w:pStyle w:val="ac"/>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c"/>
        <w:spacing w:after="0"/>
        <w:rPr>
          <w:rFonts w:ascii="Times New Roman" w:hAnsi="Times New Roman"/>
          <w:sz w:val="22"/>
          <w:szCs w:val="22"/>
          <w:lang w:eastAsia="zh-CN"/>
        </w:rPr>
      </w:pPr>
    </w:p>
    <w:p w14:paraId="014DEB1C" w14:textId="77777777" w:rsidR="00324766" w:rsidRDefault="00324766" w:rsidP="00324766">
      <w:pPr>
        <w:pStyle w:val="ac"/>
        <w:spacing w:after="0"/>
        <w:rPr>
          <w:rFonts w:ascii="Times New Roman" w:hAnsi="Times New Roman"/>
          <w:sz w:val="22"/>
          <w:szCs w:val="22"/>
          <w:lang w:eastAsia="zh-CN"/>
        </w:rPr>
      </w:pPr>
    </w:p>
    <w:p w14:paraId="25413417" w14:textId="77777777" w:rsidR="00324766" w:rsidRDefault="00324766" w:rsidP="00324766">
      <w:pPr>
        <w:pStyle w:val="ac"/>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ra-</w:t>
      </w:r>
      <w:proofErr w:type="spellStart"/>
      <w:r w:rsidRPr="008D61F6">
        <w:rPr>
          <w:rFonts w:ascii="Times New Roman" w:hAnsi="Times New Roman"/>
          <w:sz w:val="22"/>
          <w:szCs w:val="22"/>
          <w:lang w:eastAsia="zh-CN"/>
        </w:rPr>
        <w:t>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c"/>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RO configuration support of 480/960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120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configuration can be reused for each 8/16 slots within the 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slot time.</w:t>
      </w:r>
    </w:p>
    <w:p w14:paraId="010FF6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numerology for reference slot counting within a system frame remains corresponding to SCS 60 </w:t>
      </w:r>
      <w:proofErr w:type="gramStart"/>
      <w:r w:rsidRPr="00271C26">
        <w:rPr>
          <w:rFonts w:ascii="Times New Roman" w:hAnsi="Times New Roman"/>
          <w:sz w:val="22"/>
          <w:szCs w:val="22"/>
          <w:lang w:eastAsia="zh-CN"/>
        </w:rPr>
        <w:t>kHz;</w:t>
      </w:r>
      <w:proofErr w:type="gramEnd"/>
    </w:p>
    <w:p w14:paraId="3DD687C8"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max number of starting positions for PRACH slots within a reference slot (which has SCS 60 kHz) is equal to </w:t>
      </w:r>
      <w:proofErr w:type="gramStart"/>
      <w:r w:rsidRPr="00271C26">
        <w:rPr>
          <w:rFonts w:ascii="Times New Roman" w:hAnsi="Times New Roman"/>
          <w:sz w:val="22"/>
          <w:szCs w:val="22"/>
          <w:lang w:eastAsia="zh-CN"/>
        </w:rPr>
        <w:t>2;</w:t>
      </w:r>
      <w:proofErr w:type="gramEnd"/>
    </w:p>
    <w:p w14:paraId="6A23E775"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starting position(s) should be aligned with the SSB slot patterns </w:t>
      </w:r>
      <w:proofErr w:type="gramStart"/>
      <w:r w:rsidRPr="00271C26">
        <w:rPr>
          <w:rFonts w:ascii="Times New Roman" w:hAnsi="Times New Roman"/>
          <w:sz w:val="22"/>
          <w:szCs w:val="22"/>
          <w:lang w:eastAsia="zh-CN"/>
        </w:rPr>
        <w:t>in order to</w:t>
      </w:r>
      <w:proofErr w:type="gramEnd"/>
      <w:r w:rsidRPr="00271C26">
        <w:rPr>
          <w:rFonts w:ascii="Times New Roman" w:hAnsi="Times New Roman"/>
          <w:sz w:val="22"/>
          <w:szCs w:val="22"/>
          <w:lang w:eastAsia="zh-CN"/>
        </w:rPr>
        <w:t xml:space="preserve"> avoid systematic overlapping between SSBs and ROs.</w:t>
      </w:r>
    </w:p>
    <w:p w14:paraId="2DDA3C0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PRACH SCS 480 kHz and 960 kHz, introduce optional time gaps between consecutive </w:t>
      </w:r>
      <w:proofErr w:type="gramStart"/>
      <w:r w:rsidRPr="00271C26">
        <w:rPr>
          <w:rFonts w:ascii="Times New Roman" w:hAnsi="Times New Roman"/>
          <w:sz w:val="22"/>
          <w:szCs w:val="22"/>
          <w:lang w:eastAsia="zh-CN"/>
        </w:rPr>
        <w:t>ROs;</w:t>
      </w:r>
      <w:proofErr w:type="gramEnd"/>
    </w:p>
    <w:p w14:paraId="7EAFE03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w:t>
      </w:r>
      <w:proofErr w:type="gramStart"/>
      <w:r w:rsidRPr="00271C26">
        <w:rPr>
          <w:rFonts w:ascii="Times New Roman" w:hAnsi="Times New Roman"/>
          <w:sz w:val="22"/>
          <w:szCs w:val="22"/>
          <w:lang w:eastAsia="zh-CN"/>
        </w:rPr>
        <w:t>gap.</w:t>
      </w:r>
      <w:proofErr w:type="gramEnd"/>
    </w:p>
    <w:p w14:paraId="4324E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376E201C"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c"/>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w:t>
      </w:r>
      <w:proofErr w:type="spellStart"/>
      <w:r w:rsidRPr="00D44AEB">
        <w:rPr>
          <w:rFonts w:ascii="Times New Roman" w:hAnsi="Times New Roman"/>
          <w:sz w:val="22"/>
          <w:szCs w:val="22"/>
          <w:lang w:eastAsia="zh-CN"/>
        </w:rPr>
        <w:t>gNB</w:t>
      </w:r>
      <w:proofErr w:type="spellEnd"/>
      <w:r w:rsidRPr="00D44AEB">
        <w:rPr>
          <w:rFonts w:ascii="Times New Roman" w:hAnsi="Times New Roman"/>
          <w:sz w:val="22"/>
          <w:szCs w:val="22"/>
          <w:lang w:eastAsia="zh-CN"/>
        </w:rPr>
        <w:t>.</w:t>
      </w:r>
    </w:p>
    <w:p w14:paraId="55D1CD10"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c"/>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lastRenderedPageBreak/>
        <w:t>Summary of Discussions</w:t>
      </w:r>
    </w:p>
    <w:p w14:paraId="32AE66B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67A69F5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c"/>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c"/>
        <w:spacing w:after="0"/>
        <w:rPr>
          <w:rFonts w:ascii="Times New Roman" w:hAnsi="Times New Roman"/>
          <w:sz w:val="22"/>
          <w:szCs w:val="22"/>
          <w:lang w:eastAsia="zh-CN"/>
        </w:rPr>
      </w:pPr>
    </w:p>
    <w:p w14:paraId="1F29BE4A" w14:textId="1A58D32F" w:rsidR="00FD1B73" w:rsidRDefault="00FD1B73" w:rsidP="00820719">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c"/>
        <w:spacing w:after="0"/>
        <w:rPr>
          <w:rFonts w:ascii="Times New Roman" w:hAnsi="Times New Roman"/>
          <w:sz w:val="22"/>
          <w:szCs w:val="22"/>
          <w:lang w:eastAsia="zh-CN"/>
        </w:rPr>
      </w:pPr>
    </w:p>
    <w:p w14:paraId="03D207F3" w14:textId="77777777" w:rsidR="00820719" w:rsidRDefault="00820719" w:rsidP="0082071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4E92AAD" w14:textId="77777777" w:rsidR="007119AC"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47CC3D31"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76424852" w14:textId="031230C8"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w:t>
            </w:r>
            <w:r w:rsidR="00CC4929">
              <w:rPr>
                <w:rFonts w:ascii="Times New Roman" w:eastAsia="ＭＳ 明朝"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763F8C9C" w14:textId="400A69BA" w:rsidR="00CC4929" w:rsidRPr="00CC4929" w:rsidRDefault="00CC4929"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bl>
    <w:p w14:paraId="55FC1369" w14:textId="77777777" w:rsidR="007119AC" w:rsidRDefault="007119AC" w:rsidP="007119AC">
      <w:pPr>
        <w:pStyle w:val="ac"/>
        <w:spacing w:after="0"/>
        <w:rPr>
          <w:rFonts w:ascii="Times New Roman" w:hAnsi="Times New Roman"/>
          <w:sz w:val="22"/>
          <w:szCs w:val="22"/>
          <w:lang w:eastAsia="zh-CN"/>
        </w:rPr>
      </w:pPr>
    </w:p>
    <w:p w14:paraId="42818B4C" w14:textId="77777777" w:rsidR="007119AC" w:rsidRDefault="007119AC" w:rsidP="007119AC">
      <w:pPr>
        <w:pStyle w:val="ac"/>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6D40A69"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c"/>
        <w:spacing w:after="0"/>
        <w:rPr>
          <w:rFonts w:ascii="Times New Roman" w:hAnsi="Times New Roman"/>
          <w:sz w:val="22"/>
          <w:szCs w:val="22"/>
          <w:lang w:eastAsia="zh-CN"/>
        </w:rPr>
      </w:pPr>
    </w:p>
    <w:p w14:paraId="4293A438" w14:textId="77777777" w:rsidR="00324766" w:rsidRDefault="00324766" w:rsidP="00324766">
      <w:pPr>
        <w:pStyle w:val="ac"/>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c"/>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lastRenderedPageBreak/>
        <w:t>For higher PRACH SCS (480 and/or 960 kHz), consider the following options for RA-RNTI enhancements:</w:t>
      </w:r>
    </w:p>
    <w:p w14:paraId="5B4DF1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computation equation should be adjusted to avoid overflow in case of PRACH SCS 480 kHz and 960 </w:t>
      </w:r>
      <w:proofErr w:type="gramStart"/>
      <w:r w:rsidRPr="00271C26">
        <w:rPr>
          <w:rFonts w:ascii="Times New Roman" w:hAnsi="Times New Roman"/>
          <w:sz w:val="22"/>
          <w:szCs w:val="22"/>
          <w:lang w:eastAsia="zh-CN"/>
        </w:rPr>
        <w:t>kHz;</w:t>
      </w:r>
      <w:proofErr w:type="gramEnd"/>
    </w:p>
    <w:p w14:paraId="03CE552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w:t>
      </w:r>
      <w:proofErr w:type="gramStart"/>
      <w:r w:rsidRPr="00271C26">
        <w:rPr>
          <w:rFonts w:ascii="Times New Roman" w:hAnsi="Times New Roman"/>
          <w:sz w:val="22"/>
          <w:szCs w:val="22"/>
          <w:lang w:eastAsia="zh-CN"/>
        </w:rPr>
        <w:t>id</w:t>
      </w:r>
      <w:proofErr w:type="spellEnd"/>
      <w:r w:rsidRPr="00271C26">
        <w:rPr>
          <w:rFonts w:ascii="Times New Roman" w:hAnsi="Times New Roman"/>
          <w:sz w:val="22"/>
          <w:szCs w:val="22"/>
          <w:lang w:eastAsia="zh-CN"/>
        </w:rPr>
        <w:t>;</w:t>
      </w:r>
      <w:proofErr w:type="gramEnd"/>
      <w:r w:rsidRPr="00271C26">
        <w:rPr>
          <w:rFonts w:ascii="Times New Roman" w:hAnsi="Times New Roman"/>
          <w:sz w:val="22"/>
          <w:szCs w:val="22"/>
          <w:lang w:eastAsia="zh-CN"/>
        </w:rPr>
        <w:t xml:space="preserve"> and</w:t>
      </w:r>
    </w:p>
    <w:p w14:paraId="5BBCDED5"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ac"/>
        <w:spacing w:after="0"/>
        <w:rPr>
          <w:rFonts w:ascii="Times New Roman" w:hAnsi="Times New Roman"/>
          <w:sz w:val="22"/>
          <w:szCs w:val="22"/>
          <w:lang w:eastAsia="zh-CN"/>
        </w:rPr>
      </w:pPr>
    </w:p>
    <w:p w14:paraId="7B3C5D29" w14:textId="77777777" w:rsidR="00324766" w:rsidRDefault="00324766" w:rsidP="00324766">
      <w:pPr>
        <w:pStyle w:val="ac"/>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lastRenderedPageBreak/>
        <w:t>Summary of Discussions</w:t>
      </w:r>
    </w:p>
    <w:p w14:paraId="7BF06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c"/>
        <w:spacing w:after="0"/>
        <w:ind w:left="720"/>
        <w:rPr>
          <w:rFonts w:ascii="Times New Roman" w:hAnsi="Times New Roman"/>
          <w:sz w:val="22"/>
          <w:szCs w:val="22"/>
          <w:lang w:eastAsia="zh-CN"/>
        </w:rPr>
      </w:pPr>
    </w:p>
    <w:p w14:paraId="225546E3" w14:textId="77777777" w:rsidR="00324766" w:rsidRDefault="00324766" w:rsidP="00324766">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c"/>
        <w:spacing w:after="0"/>
        <w:rPr>
          <w:rFonts w:ascii="Times New Roman" w:hAnsi="Times New Roman"/>
          <w:sz w:val="22"/>
          <w:szCs w:val="22"/>
          <w:lang w:eastAsia="zh-CN"/>
        </w:rPr>
      </w:pPr>
    </w:p>
    <w:p w14:paraId="0E1ABE8B" w14:textId="77777777" w:rsidR="00324766" w:rsidRDefault="00324766" w:rsidP="00324766">
      <w:pPr>
        <w:pStyle w:val="ac"/>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c"/>
        <w:spacing w:after="0"/>
        <w:rPr>
          <w:rFonts w:ascii="Times New Roman" w:hAnsi="Times New Roman"/>
          <w:sz w:val="22"/>
          <w:szCs w:val="22"/>
          <w:lang w:eastAsia="zh-CN"/>
        </w:rPr>
      </w:pPr>
    </w:p>
    <w:p w14:paraId="69A41B5F"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81904F9" w14:textId="19DC463F" w:rsidR="007119AC" w:rsidRPr="00CC4929" w:rsidRDefault="00CC4929" w:rsidP="00BD767C">
            <w:pPr>
              <w:pStyle w:val="ac"/>
              <w:spacing w:after="0"/>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Support Option 3.  </w:t>
            </w:r>
          </w:p>
        </w:tc>
      </w:tr>
    </w:tbl>
    <w:p w14:paraId="1F64ACEE" w14:textId="77777777" w:rsidR="007119AC" w:rsidRDefault="007119AC" w:rsidP="007119AC">
      <w:pPr>
        <w:pStyle w:val="ac"/>
        <w:spacing w:after="0"/>
        <w:rPr>
          <w:rFonts w:ascii="Times New Roman" w:hAnsi="Times New Roman"/>
          <w:sz w:val="22"/>
          <w:szCs w:val="22"/>
          <w:lang w:eastAsia="zh-CN"/>
        </w:rPr>
      </w:pPr>
    </w:p>
    <w:p w14:paraId="744ADC68" w14:textId="77777777" w:rsidR="007119AC" w:rsidRDefault="007119AC" w:rsidP="007119AC">
      <w:pPr>
        <w:pStyle w:val="ac"/>
        <w:spacing w:after="0"/>
        <w:rPr>
          <w:rFonts w:ascii="Times New Roman" w:hAnsi="Times New Roman"/>
          <w:sz w:val="22"/>
          <w:szCs w:val="22"/>
          <w:lang w:eastAsia="zh-CN"/>
        </w:rPr>
      </w:pPr>
    </w:p>
    <w:p w14:paraId="76F67997" w14:textId="77777777" w:rsidR="007119AC" w:rsidRDefault="007119AC" w:rsidP="007119AC">
      <w:pPr>
        <w:pStyle w:val="ac"/>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c"/>
        <w:spacing w:after="0"/>
        <w:rPr>
          <w:rFonts w:ascii="Times New Roman" w:hAnsi="Times New Roman"/>
          <w:sz w:val="22"/>
          <w:szCs w:val="22"/>
          <w:lang w:eastAsia="zh-CN"/>
        </w:rPr>
      </w:pPr>
    </w:p>
    <w:p w14:paraId="330CA4AD" w14:textId="77777777" w:rsidR="00324766" w:rsidRDefault="00324766" w:rsidP="00324766">
      <w:pPr>
        <w:pStyle w:val="ac"/>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lastRenderedPageBreak/>
        <w:t>Consider applying short control signal exemption to PRACH transmission by the UE.</w:t>
      </w:r>
    </w:p>
    <w:p w14:paraId="2221A5BD" w14:textId="77777777" w:rsidR="00324766" w:rsidRDefault="00324766" w:rsidP="00324766">
      <w:pPr>
        <w:pStyle w:val="ac"/>
        <w:spacing w:after="0"/>
        <w:rPr>
          <w:rFonts w:ascii="Times New Roman" w:hAnsi="Times New Roman"/>
          <w:sz w:val="22"/>
          <w:szCs w:val="22"/>
          <w:lang w:eastAsia="zh-CN"/>
        </w:rPr>
      </w:pPr>
    </w:p>
    <w:p w14:paraId="7FDFFA21" w14:textId="77777777" w:rsidR="00324766" w:rsidRDefault="00324766" w:rsidP="00324766">
      <w:pPr>
        <w:pStyle w:val="ac"/>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t>Summary of Discussions</w:t>
      </w:r>
    </w:p>
    <w:p w14:paraId="633FFA2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c"/>
        <w:spacing w:after="0"/>
        <w:rPr>
          <w:rFonts w:ascii="Times New Roman" w:hAnsi="Times New Roman"/>
          <w:sz w:val="22"/>
          <w:szCs w:val="22"/>
          <w:lang w:eastAsia="zh-CN"/>
        </w:rPr>
      </w:pPr>
    </w:p>
    <w:p w14:paraId="2D7527B4" w14:textId="27411CB9" w:rsidR="006A6502" w:rsidRDefault="006A6502" w:rsidP="006A6502">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c"/>
        <w:spacing w:after="0"/>
        <w:rPr>
          <w:rFonts w:ascii="Times New Roman" w:hAnsi="Times New Roman"/>
          <w:sz w:val="22"/>
          <w:szCs w:val="22"/>
          <w:lang w:eastAsia="zh-CN"/>
        </w:rPr>
      </w:pPr>
    </w:p>
    <w:p w14:paraId="0B3CBD65" w14:textId="77777777" w:rsidR="00931B5A" w:rsidRDefault="00931B5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9C90A49" w:rsidR="00931B5A" w:rsidRDefault="00931B5A">
            <w:pPr>
              <w:pStyle w:val="ac"/>
              <w:spacing w:after="0"/>
              <w:rPr>
                <w:rFonts w:ascii="Times New Roman" w:hAnsi="Times New Roman"/>
                <w:sz w:val="22"/>
                <w:szCs w:val="22"/>
                <w:lang w:eastAsia="zh-CN"/>
              </w:rPr>
            </w:pPr>
          </w:p>
        </w:tc>
        <w:tc>
          <w:tcPr>
            <w:tcW w:w="8157" w:type="dxa"/>
          </w:tcPr>
          <w:p w14:paraId="0B3CBD6B" w14:textId="5113A5B6" w:rsidR="00931B5A" w:rsidRDefault="00931B5A">
            <w:pPr>
              <w:pStyle w:val="ac"/>
              <w:spacing w:after="0"/>
              <w:rPr>
                <w:rFonts w:ascii="Times New Roman" w:hAnsi="Times New Roman"/>
                <w:sz w:val="22"/>
                <w:szCs w:val="22"/>
                <w:lang w:eastAsia="zh-CN"/>
              </w:rPr>
            </w:pP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E33" w14:textId="1E0FB56F" w:rsidR="00931B5A" w:rsidRDefault="00931B5A">
      <w:pPr>
        <w:pStyle w:val="ac"/>
        <w:spacing w:after="0"/>
        <w:rPr>
          <w:rFonts w:ascii="Times New Roman" w:hAnsi="Times New Roman"/>
          <w:sz w:val="22"/>
          <w:szCs w:val="22"/>
          <w:lang w:eastAsia="zh-CN"/>
        </w:rPr>
      </w:pPr>
    </w:p>
    <w:p w14:paraId="5BB01680" w14:textId="77777777" w:rsidR="00B573E3" w:rsidRDefault="00B573E3">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f2"/>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f2"/>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aff2"/>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f2"/>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aff2"/>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f2"/>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f2"/>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f2"/>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f2"/>
        <w:numPr>
          <w:ilvl w:val="0"/>
          <w:numId w:val="10"/>
        </w:numPr>
        <w:ind w:left="450" w:hanging="450"/>
        <w:rPr>
          <w:lang w:eastAsia="zh-CN"/>
        </w:rPr>
      </w:pPr>
      <w:r>
        <w:rPr>
          <w:lang w:eastAsia="zh-CN"/>
        </w:rPr>
        <w:lastRenderedPageBreak/>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aff2"/>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aff2"/>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f2"/>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f2"/>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f2"/>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f2"/>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f2"/>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f2"/>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f2"/>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f2"/>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f2"/>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f2"/>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aff2"/>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aff2"/>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f2"/>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f2"/>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f2"/>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f2"/>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f2"/>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5855" w14:textId="77777777" w:rsidR="00E76050" w:rsidRDefault="00E76050">
      <w:pPr>
        <w:spacing w:after="0" w:line="240" w:lineRule="auto"/>
      </w:pPr>
      <w:r>
        <w:separator/>
      </w:r>
    </w:p>
  </w:endnote>
  <w:endnote w:type="continuationSeparator" w:id="0">
    <w:p w14:paraId="3BF38591" w14:textId="77777777" w:rsidR="00E76050" w:rsidRDefault="00E7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1" w14:textId="77777777" w:rsidR="00BD767C" w:rsidRDefault="00BD767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CCAF2" w14:textId="77777777" w:rsidR="00BD767C" w:rsidRDefault="00BD767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3" w14:textId="77777777" w:rsidR="00BD767C" w:rsidRDefault="00BD767C">
    <w:pPr>
      <w:pStyle w:val="af1"/>
      <w:ind w:right="360"/>
    </w:pPr>
    <w:r>
      <w:rPr>
        <w:rStyle w:val="afc"/>
      </w:rPr>
      <w:fldChar w:fldCharType="begin"/>
    </w:r>
    <w:r>
      <w:rPr>
        <w:rStyle w:val="afc"/>
      </w:rPr>
      <w:instrText xml:space="preserve"> PAGE </w:instrText>
    </w:r>
    <w:r>
      <w:rPr>
        <w:rStyle w:val="afc"/>
      </w:rPr>
      <w:fldChar w:fldCharType="separate"/>
    </w:r>
    <w:r>
      <w:rPr>
        <w:rStyle w:val="afc"/>
        <w:noProof/>
      </w:rPr>
      <w:t>96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117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74DD" w14:textId="77777777" w:rsidR="00E76050" w:rsidRDefault="00E76050">
      <w:pPr>
        <w:spacing w:after="0" w:line="240" w:lineRule="auto"/>
      </w:pPr>
      <w:r>
        <w:separator/>
      </w:r>
    </w:p>
  </w:footnote>
  <w:footnote w:type="continuationSeparator" w:id="0">
    <w:p w14:paraId="24003C41" w14:textId="77777777" w:rsidR="00E76050" w:rsidRDefault="00E76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0" w14:textId="77777777" w:rsidR="00BD767C" w:rsidRDefault="00BD76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40A4A"/>
    <w:multiLevelType w:val="hybridMultilevel"/>
    <w:tmpl w:val="FEB2AAC8"/>
    <w:lvl w:ilvl="0" w:tplc="6320468C">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837844"/>
    <w:multiLevelType w:val="hybridMultilevel"/>
    <w:tmpl w:val="671E83CA"/>
    <w:lvl w:ilvl="0" w:tplc="6CCA05F8">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3"/>
  </w:num>
  <w:num w:numId="7">
    <w:abstractNumId w:val="2"/>
  </w:num>
  <w:num w:numId="8">
    <w:abstractNumId w:val="6"/>
  </w:num>
  <w:num w:numId="9">
    <w:abstractNumId w:val="5"/>
  </w:num>
  <w:num w:numId="10">
    <w:abstractNumId w:val="14"/>
  </w:num>
  <w:num w:numId="11">
    <w:abstractNumId w:val="1"/>
  </w:num>
  <w:num w:numId="12">
    <w:abstractNumId w:val="12"/>
  </w:num>
  <w:num w:numId="13">
    <w:abstractNumId w:val="10"/>
  </w:num>
  <w:num w:numId="14">
    <w:abstractNumId w:val="8"/>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f5">
    <w:name w:val="Revision"/>
    <w:hidden/>
    <w:uiPriority w:val="99"/>
    <w:semiHidden/>
    <w:rsid w:val="00324766"/>
    <w:pPr>
      <w:spacing w:after="0" w:line="240" w:lineRule="auto"/>
    </w:pPr>
    <w:rPr>
      <w:rFonts w:ascii="Times New Roman" w:hAnsi="Times New Roman"/>
    </w:rPr>
  </w:style>
  <w:style w:type="table" w:styleId="aff6">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16BADA0D-F2FC-41D3-A077-4B0DC39B98E4}">
  <ds:schemaRefs>
    <ds:schemaRef ds:uri="http://schemas.openxmlformats.org/officeDocument/2006/bibliography"/>
  </ds:schemaRefs>
</ds:datastoreItem>
</file>

<file path=customXml/itemProps2.xml><?xml version="1.0" encoding="utf-8"?>
<ds:datastoreItem xmlns:ds="http://schemas.openxmlformats.org/officeDocument/2006/customXml" ds:itemID="{20074D07-CBBB-4965-B243-E477E34408D4}">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35</Pages>
  <Words>12100</Words>
  <Characters>68975</Characters>
  <Application>Microsoft Office Word</Application>
  <DocSecurity>0</DocSecurity>
  <Lines>574</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2021-05-19T21:54:00Z</dcterms:created>
  <dcterms:modified xsi:type="dcterms:W3CDTF">2021-05-19T21:54:00Z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