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bookmarkStart w:id="0" w:name="_GoBack"/>
      <w:bookmarkEnd w:id="0"/>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1" w:name="Source"/>
      <w:bookmarkEnd w:id="1"/>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2" w:name="DocumentFor"/>
      <w:bookmarkEnd w:id="2"/>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3"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3441BA" w:rsidRPr="00231B58" w:rsidRDefault="003441B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3441BA" w:rsidRPr="00251521" w:rsidRDefault="003441BA"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3441BA" w:rsidRPr="00251521" w:rsidRDefault="003441B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3441BA" w:rsidRPr="00251521" w:rsidRDefault="003441B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3441BA" w:rsidRPr="00251521" w:rsidRDefault="003441B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3441BA" w:rsidRPr="00251521" w:rsidRDefault="003441B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3441BA" w:rsidRPr="00251521" w:rsidRDefault="003441B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3441BA" w:rsidRPr="00787267" w:rsidRDefault="003441BA"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3441BA" w:rsidRPr="00231B58" w:rsidRDefault="003441B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3441BA" w:rsidRPr="00251521" w:rsidRDefault="003441BA"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3441BA" w:rsidRPr="00251521" w:rsidRDefault="003441B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3441BA" w:rsidRPr="00251521" w:rsidRDefault="003441B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3441BA" w:rsidRPr="00251521" w:rsidRDefault="003441B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3441BA" w:rsidRPr="00251521" w:rsidRDefault="003441BA"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3441BA" w:rsidRPr="00251521" w:rsidRDefault="003441BA"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3441BA" w:rsidRPr="00251521" w:rsidRDefault="003441BA"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3441BA" w:rsidRPr="00787267" w:rsidRDefault="003441BA"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3"/>
    </w:p>
    <w:p w14:paraId="5F218BDE" w14:textId="45FC63D2" w:rsidR="00114C50" w:rsidRPr="006F371A" w:rsidRDefault="00D043F3" w:rsidP="00127DB3">
      <w:pPr>
        <w:pStyle w:val="Heading1"/>
      </w:pPr>
      <w:r>
        <w:t>Discussion</w:t>
      </w: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Caption"/>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TableGrid"/>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BodyText"/>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proofErr w:type="spellStart"/>
            <w:r w:rsidRPr="005C0A93">
              <w:rPr>
                <w:lang w:eastAsia="zh-CN"/>
              </w:rPr>
              <w:t>CEmodeB</w:t>
            </w:r>
            <w:proofErr w:type="spellEnd"/>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BodyText"/>
              <w:spacing w:before="0" w:after="0" w:line="240" w:lineRule="auto"/>
              <w:ind w:firstLineChars="0" w:firstLine="0"/>
            </w:pPr>
            <w:r w:rsidRPr="00DF6205">
              <w:rPr>
                <w:b/>
              </w:rPr>
              <w:t>Observation</w:t>
            </w:r>
            <w:r w:rsidRPr="005C0A93">
              <w:t xml:space="preserve"> 3: for NB-IoT, the maximum latency with 2 HARQ processes with up to 4 HARQ transmissions is 2264 </w:t>
            </w:r>
            <w:proofErr w:type="spellStart"/>
            <w:r w:rsidRPr="005C0A93">
              <w:t>ms.</w:t>
            </w:r>
            <w:proofErr w:type="spellEnd"/>
            <w:r w:rsidRPr="005C0A93">
              <w:t xml:space="preserve">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BodyText"/>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BodyText"/>
              <w:spacing w:before="0" w:after="0" w:line="240" w:lineRule="auto"/>
              <w:ind w:firstLineChars="0" w:firstLine="0"/>
              <w:rPr>
                <w:rFonts w:eastAsiaTheme="minorHAnsi"/>
              </w:rPr>
            </w:pPr>
          </w:p>
          <w:p w14:paraId="0F53908F" w14:textId="77777777" w:rsidR="007238A8" w:rsidRPr="00DF6205"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BodyText"/>
              <w:spacing w:before="0" w:after="0" w:line="240" w:lineRule="auto"/>
              <w:ind w:firstLineChars="0" w:firstLine="0"/>
              <w:rPr>
                <w:rFonts w:eastAsiaTheme="minorHAnsi"/>
              </w:rPr>
            </w:pPr>
          </w:p>
          <w:p w14:paraId="0403E10F" w14:textId="4DE44D3F" w:rsidR="00621FAD" w:rsidRPr="00DF6205" w:rsidRDefault="00621FAD" w:rsidP="007238A8">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BodyText"/>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w:t>
            </w:r>
            <w:proofErr w:type="spellStart"/>
            <w:r w:rsidRPr="00DF6205">
              <w:rPr>
                <w:bCs/>
              </w:rPr>
              <w:t>es</w:t>
            </w:r>
            <w:proofErr w:type="spellEnd"/>
            <w:r w:rsidRPr="00DF6205">
              <w:rPr>
                <w:bCs/>
              </w:rPr>
              <w:t>)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3441BA" w:rsidP="007238A8">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NBIoT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3441BA" w:rsidP="007238A8">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7238A8" w:rsidRPr="00953F5D">
                <w:rPr>
                  <w:rStyle w:val="Hyperlink"/>
                  <w:rFonts w:ascii="Times" w:hAnsi="Times" w:cs="Times"/>
                  <w:color w:val="000000" w:themeColor="text1"/>
                  <w:u w:val="none"/>
                  <w:lang w:eastAsia="x-none"/>
                </w:rPr>
                <w:t>R1-210</w:t>
              </w:r>
              <w:r w:rsidR="007238A8">
                <w:rPr>
                  <w:rStyle w:val="Hyperlink"/>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3441BA"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ListParagraph"/>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ListParagraph"/>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ListParagraph"/>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ListParagraph"/>
        <w:ind w:left="0" w:firstLineChars="0" w:firstLine="0"/>
        <w:contextualSpacing/>
        <w:jc w:val="left"/>
        <w:rPr>
          <w:rFonts w:ascii="Times New Roman" w:eastAsia="DengXian" w:hAnsi="Times New Roman"/>
          <w:sz w:val="20"/>
          <w:szCs w:val="20"/>
        </w:rPr>
      </w:pPr>
      <w:r w:rsidRPr="00675026">
        <w:rPr>
          <w:rFonts w:ascii="Times New Roman" w:hAnsi="Times New Roman"/>
          <w:sz w:val="20"/>
          <w:szCs w:val="20"/>
          <w:lang w:val="en-GB"/>
        </w:rPr>
        <w:t xml:space="preserve">Supported by: Huawei, HiSilicon, Oppo,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DengXian" w:hAnsi="Times New Roman"/>
          <w:sz w:val="20"/>
          <w:szCs w:val="20"/>
        </w:rPr>
        <w:t>APT, FGI, ITRI, III, MediaTek, Nokia, NSB, CMCC, Xiaomi, Interdigita</w:t>
      </w:r>
      <w:r w:rsidR="003D0A8E" w:rsidRPr="00675026">
        <w:rPr>
          <w:rFonts w:ascii="Times New Roman" w:eastAsia="DengXian"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DengXian"/>
        </w:rPr>
      </w:pPr>
    </w:p>
    <w:p w14:paraId="79E846CC" w14:textId="6CC7DC14" w:rsidR="0032355E" w:rsidRPr="00675026" w:rsidRDefault="00993EF5" w:rsidP="00675026">
      <w:pPr>
        <w:spacing w:before="120" w:after="120"/>
        <w:ind w:firstLineChars="0" w:firstLine="0"/>
        <w:rPr>
          <w:rFonts w:eastAsia="DengXian"/>
          <w:lang w:eastAsia="zh-CN" w:bidi="ar"/>
        </w:rPr>
      </w:pPr>
      <w:r w:rsidRPr="00675026">
        <w:rPr>
          <w:rFonts w:eastAsia="DengXian"/>
          <w:lang w:eastAsia="zh-CN" w:bidi="ar"/>
        </w:rPr>
        <w:t>C</w:t>
      </w:r>
      <w:r w:rsidR="0032355E" w:rsidRPr="00675026">
        <w:rPr>
          <w:rFonts w:eastAsia="DengXian"/>
          <w:lang w:eastAsia="zh-CN" w:bidi="ar"/>
        </w:rPr>
        <w:t xml:space="preserve">ompanies </w:t>
      </w:r>
      <w:r w:rsidR="00AE467B" w:rsidRPr="00675026">
        <w:rPr>
          <w:rFonts w:eastAsia="DengXian"/>
          <w:lang w:eastAsia="zh-CN" w:bidi="ar"/>
        </w:rPr>
        <w:t xml:space="preserve">discussed </w:t>
      </w:r>
      <w:r w:rsidR="004A702F" w:rsidRPr="00675026">
        <w:rPr>
          <w:rFonts w:eastAsia="DengXian"/>
          <w:lang w:eastAsia="zh-CN" w:bidi="ar"/>
        </w:rPr>
        <w:t>the motivation</w:t>
      </w:r>
      <w:r w:rsidR="00AE467B" w:rsidRPr="00675026">
        <w:rPr>
          <w:rFonts w:eastAsia="DengXian"/>
          <w:lang w:eastAsia="zh-CN" w:bidi="ar"/>
        </w:rPr>
        <w:t xml:space="preserve"> for disabling HARQ feedback and </w:t>
      </w:r>
      <w:r w:rsidR="0032355E" w:rsidRPr="00675026">
        <w:rPr>
          <w:rFonts w:eastAsia="DengXian"/>
          <w:lang w:eastAsia="zh-CN" w:bidi="ar"/>
        </w:rPr>
        <w:t xml:space="preserve">the majority view is not to introduce it in NTN IoT. </w:t>
      </w:r>
      <w:r w:rsidR="00EA07C1" w:rsidRPr="00675026">
        <w:rPr>
          <w:rFonts w:eastAsia="DengXian"/>
          <w:lang w:eastAsia="zh-CN" w:bidi="ar"/>
        </w:rPr>
        <w:t xml:space="preserve">One company thinks that </w:t>
      </w:r>
      <w:r w:rsidR="00AE467B" w:rsidRPr="00675026">
        <w:rPr>
          <w:rFonts w:eastAsia="DengXian"/>
          <w:lang w:eastAsia="zh-CN" w:bidi="ar"/>
        </w:rPr>
        <w:t xml:space="preserve">it is not necessary to introduce it </w:t>
      </w:r>
      <w:r w:rsidR="0032355E" w:rsidRPr="00675026">
        <w:rPr>
          <w:rFonts w:eastAsia="DengXian"/>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DengXian"/>
          <w:lang w:eastAsia="zh-CN" w:bidi="ar"/>
        </w:rPr>
        <w:t xml:space="preserve">s </w:t>
      </w:r>
      <w:r w:rsidR="00E23007" w:rsidRPr="00675026">
        <w:rPr>
          <w:rFonts w:eastAsia="DengXian"/>
          <w:lang w:eastAsia="zh-CN" w:bidi="ar"/>
        </w:rPr>
        <w:t>for</w:t>
      </w:r>
      <w:r w:rsidR="00EA07C1" w:rsidRPr="00675026">
        <w:rPr>
          <w:rFonts w:eastAsia="DengXian"/>
          <w:lang w:eastAsia="zh-CN" w:bidi="ar"/>
        </w:rPr>
        <w:t xml:space="preserve"> </w:t>
      </w:r>
      <w:r w:rsidR="00E23007" w:rsidRPr="00675026">
        <w:rPr>
          <w:rFonts w:eastAsia="DengXian"/>
          <w:lang w:eastAsia="zh-CN" w:bidi="ar"/>
        </w:rPr>
        <w:t xml:space="preserve">UE </w:t>
      </w:r>
      <w:r w:rsidR="00EA07C1" w:rsidRPr="00675026">
        <w:rPr>
          <w:rFonts w:eastAsia="DengXian"/>
          <w:lang w:eastAsia="zh-CN" w:bidi="ar"/>
        </w:rPr>
        <w:t>power consumption and/or latency</w:t>
      </w:r>
      <w:r w:rsidR="00324740">
        <w:rPr>
          <w:rFonts w:eastAsia="DengXian"/>
          <w:lang w:eastAsia="zh-CN" w:bidi="ar"/>
        </w:rPr>
        <w:t xml:space="preserve"> if disabling HARQ is introduced.</w:t>
      </w:r>
      <w:r w:rsidR="00E23007" w:rsidRPr="00675026">
        <w:rPr>
          <w:rFonts w:eastAsia="DengXian"/>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DengXian"/>
          <w:lang w:eastAsia="zh-CN" w:bidi="ar"/>
        </w:rPr>
      </w:pPr>
      <w:r w:rsidRPr="00675026">
        <w:rPr>
          <w:rFonts w:eastAsia="DengXian"/>
          <w:lang w:eastAsia="zh-CN" w:bidi="ar"/>
        </w:rPr>
        <w:t xml:space="preserve">Similar to </w:t>
      </w:r>
      <w:r w:rsidR="00CF7A9B" w:rsidRPr="00675026">
        <w:rPr>
          <w:rFonts w:eastAsia="DengXian"/>
          <w:lang w:eastAsia="zh-CN" w:bidi="ar"/>
        </w:rPr>
        <w:t xml:space="preserve">proposals and discussions during </w:t>
      </w:r>
      <w:r w:rsidRPr="00675026">
        <w:rPr>
          <w:rFonts w:eastAsia="DengXian"/>
          <w:lang w:eastAsia="zh-CN" w:bidi="ar"/>
        </w:rPr>
        <w:t xml:space="preserve">RAN1#104b-e, </w:t>
      </w:r>
      <w:r w:rsidR="00CF7A9B" w:rsidRPr="00675026">
        <w:rPr>
          <w:rFonts w:eastAsia="DengXian"/>
          <w:lang w:eastAsia="zh-CN" w:bidi="ar"/>
        </w:rPr>
        <w:t>the majority of</w:t>
      </w:r>
      <w:r w:rsidRPr="00675026">
        <w:rPr>
          <w:rFonts w:eastAsia="DengXian"/>
          <w:lang w:eastAsia="zh-CN" w:bidi="ar"/>
        </w:rPr>
        <w:t xml:space="preserve"> companies propose</w:t>
      </w:r>
      <w:r w:rsidR="00CF7A9B" w:rsidRPr="00675026">
        <w:rPr>
          <w:rFonts w:eastAsia="DengXian"/>
          <w:lang w:eastAsia="zh-CN" w:bidi="ar"/>
        </w:rPr>
        <w:t>s</w:t>
      </w:r>
      <w:r w:rsidRPr="00675026">
        <w:rPr>
          <w:rFonts w:eastAsia="DengXian"/>
          <w:lang w:eastAsia="zh-CN" w:bidi="ar"/>
        </w:rPr>
        <w:t xml:space="preserve"> not to introduce disabling HARQ </w:t>
      </w:r>
      <w:r w:rsidR="00CF7A9B" w:rsidRPr="00675026">
        <w:rPr>
          <w:rFonts w:eastAsia="DengXian"/>
          <w:lang w:eastAsia="zh-CN" w:bidi="ar"/>
        </w:rPr>
        <w:t xml:space="preserve">feedback </w:t>
      </w:r>
      <w:r w:rsidRPr="00675026">
        <w:rPr>
          <w:rFonts w:eastAsia="DengXian"/>
          <w:lang w:eastAsia="zh-CN" w:bidi="ar"/>
        </w:rPr>
        <w:t xml:space="preserve">for NTN-IoT. Considering </w:t>
      </w:r>
      <w:r w:rsidR="00CF7A9B" w:rsidRPr="00675026">
        <w:rPr>
          <w:rFonts w:eastAsia="DengXian"/>
          <w:lang w:eastAsia="zh-CN" w:bidi="ar"/>
        </w:rPr>
        <w:t xml:space="preserve">companies’ inputs and </w:t>
      </w:r>
      <w:r w:rsidRPr="00675026">
        <w:rPr>
          <w:rFonts w:eastAsia="DengXian"/>
          <w:lang w:eastAsia="zh-CN" w:bidi="ar"/>
        </w:rPr>
        <w:t xml:space="preserve">that this is the last RAN1 meeting for this SI, it is the FL opinion that </w:t>
      </w:r>
      <w:r w:rsidR="00CF7A9B" w:rsidRPr="00675026">
        <w:rPr>
          <w:rFonts w:eastAsia="DengXian"/>
          <w:lang w:eastAsia="zh-CN" w:bidi="ar"/>
        </w:rPr>
        <w:t xml:space="preserve">RAN1 may conclude not introducing this feature. </w:t>
      </w:r>
      <w:r w:rsidR="00892544" w:rsidRPr="00675026">
        <w:rPr>
          <w:rFonts w:eastAsia="DengXian"/>
          <w:lang w:eastAsia="zh-CN" w:bidi="ar"/>
        </w:rPr>
        <w:t>Any further input is welcome</w:t>
      </w:r>
      <w:r w:rsidR="00AA77CF">
        <w:rPr>
          <w:rFonts w:eastAsia="DengXian"/>
          <w:lang w:eastAsia="zh-CN" w:bidi="ar"/>
        </w:rPr>
        <w:t>, including comments on the analysis in [5] and [9]</w:t>
      </w:r>
      <w:r w:rsidR="00892544" w:rsidRPr="00675026">
        <w:rPr>
          <w:rFonts w:eastAsia="DengXian"/>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TableGrid"/>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DengXian"/>
                <w:lang w:eastAsia="zh-CN"/>
              </w:rPr>
            </w:pPr>
            <w:r>
              <w:rPr>
                <w:rFonts w:eastAsia="DengXian"/>
                <w:lang w:eastAsia="zh-CN"/>
              </w:rPr>
              <w:t>In our contribution, we do see the benefits on the introduction</w:t>
            </w:r>
            <w:r w:rsidR="004C66C0">
              <w:rPr>
                <w:rFonts w:eastAsia="DengXian"/>
                <w:lang w:eastAsia="zh-CN"/>
              </w:rPr>
              <w:t xml:space="preserve"> of HARQ disabling for DL only. For IoT over NTN, for each transmission, the needs for disabling is highly up to the used </w:t>
            </w:r>
            <w:r>
              <w:rPr>
                <w:rFonts w:eastAsia="DengXian"/>
                <w:lang w:eastAsia="zh-CN"/>
              </w:rPr>
              <w:t>repetition number</w:t>
            </w:r>
            <w:r w:rsidR="00786213">
              <w:rPr>
                <w:rFonts w:eastAsia="DengXian"/>
                <w:lang w:eastAsia="zh-CN"/>
              </w:rPr>
              <w:t xml:space="preserve">. Moreover, since the available HARQ </w:t>
            </w:r>
            <w:r w:rsidR="00065B99">
              <w:rPr>
                <w:rFonts w:eastAsia="DengXian"/>
                <w:lang w:eastAsia="zh-CN"/>
              </w:rPr>
              <w:t>process</w:t>
            </w:r>
            <w:r w:rsidR="005D7CAD">
              <w:rPr>
                <w:rFonts w:eastAsia="DengXian"/>
                <w:lang w:eastAsia="zh-CN"/>
              </w:rPr>
              <w:t xml:space="preserve"> </w:t>
            </w:r>
            <w:r w:rsidR="00786213">
              <w:rPr>
                <w:rFonts w:eastAsia="DengXian"/>
                <w:lang w:eastAsia="zh-CN"/>
              </w:rPr>
              <w:t xml:space="preserve">number for IoT is limited and dynamic disabling is more </w:t>
            </w:r>
            <w:r w:rsidR="005D7CAD">
              <w:rPr>
                <w:rFonts w:eastAsia="DengXian"/>
                <w:lang w:eastAsia="zh-CN"/>
              </w:rPr>
              <w:t>preferred</w:t>
            </w:r>
            <w:r w:rsidR="00786213">
              <w:rPr>
                <w:rFonts w:eastAsia="DengXian"/>
                <w:lang w:eastAsia="zh-CN"/>
              </w:rPr>
              <w:t xml:space="preserve">. </w:t>
            </w:r>
          </w:p>
          <w:p w14:paraId="6D906A2D" w14:textId="2D4CEEF0" w:rsidR="006C4072" w:rsidRPr="006C4072" w:rsidRDefault="006C4072" w:rsidP="006E4EC3">
            <w:pPr>
              <w:spacing w:beforeLines="50" w:before="120"/>
              <w:ind w:firstLineChars="0" w:firstLine="0"/>
              <w:jc w:val="left"/>
              <w:rPr>
                <w:rFonts w:eastAsia="DengXian"/>
                <w:lang w:eastAsia="zh-CN"/>
              </w:rPr>
            </w:pPr>
            <w:r>
              <w:rPr>
                <w:rFonts w:eastAsia="DengXian"/>
                <w:lang w:eastAsia="zh-CN"/>
              </w:rPr>
              <w:t xml:space="preserve">From SI perspective, since there </w:t>
            </w:r>
            <w:r w:rsidR="006E4EC3">
              <w:rPr>
                <w:rFonts w:eastAsia="DengXian"/>
                <w:lang w:eastAsia="zh-CN"/>
              </w:rPr>
              <w:t>are</w:t>
            </w:r>
            <w:r>
              <w:rPr>
                <w:rFonts w:eastAsia="DengXian"/>
                <w:lang w:eastAsia="zh-CN"/>
              </w:rPr>
              <w:t xml:space="preserve"> strong interests from companies on this topic, it is better to capture the corresponding discussion and solutions</w:t>
            </w:r>
            <w:r w:rsidR="006E4EC3">
              <w:rPr>
                <w:rFonts w:eastAsia="DengXian"/>
                <w:lang w:eastAsia="zh-CN"/>
              </w:rPr>
              <w:t xml:space="preserve"> in TR</w:t>
            </w:r>
            <w:r>
              <w:rPr>
                <w:rFonts w:eastAsia="DengXian"/>
                <w:lang w:eastAsia="zh-CN"/>
              </w:rPr>
              <w:t>.</w:t>
            </w:r>
            <w:r w:rsidR="006E4EC3">
              <w:rPr>
                <w:rFonts w:eastAsia="DengXian"/>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DengXian"/>
                <w:lang w:eastAsia="zh-CN"/>
              </w:rPr>
            </w:pPr>
            <w:r>
              <w:rPr>
                <w:rFonts w:eastAsia="DengXian"/>
                <w:lang w:eastAsia="zh-CN"/>
              </w:rPr>
              <w:t xml:space="preserve">We support the FL proposal, due to limited available HARQ process number, it is not necessary to introduce the feature, especially for NBIoT and </w:t>
            </w:r>
            <w:r>
              <w:rPr>
                <w:rFonts w:eastAsia="DengXian" w:hint="eastAsia"/>
                <w:lang w:eastAsia="zh-CN"/>
              </w:rPr>
              <w:t xml:space="preserve">eMTC </w:t>
            </w:r>
            <w:proofErr w:type="spellStart"/>
            <w:r>
              <w:rPr>
                <w:rFonts w:eastAsia="DengXian"/>
                <w:lang w:eastAsia="zh-CN"/>
              </w:rPr>
              <w:t>CEMode</w:t>
            </w:r>
            <w:proofErr w:type="spellEnd"/>
            <w:r>
              <w:rPr>
                <w:rFonts w:eastAsia="DengXian"/>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DengXian"/>
                <w:lang w:eastAsia="zh-CN"/>
              </w:rPr>
            </w:pPr>
            <w:r w:rsidRPr="006B1A26">
              <w:rPr>
                <w:rFonts w:hint="eastAsia"/>
              </w:rPr>
              <w:t>The</w:t>
            </w:r>
            <w:r w:rsidRPr="006B1A26">
              <w:t xml:space="preserve"> motivation, benefits and concerns of disabling HARQ-ACK feedback are discussed a lot by companies. </w:t>
            </w:r>
            <w:r w:rsidRPr="006B1A26">
              <w:rPr>
                <w:rFonts w:eastAsia="SimSun"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DengXian"/>
                <w:lang w:eastAsia="zh-CN" w:bidi="ar"/>
              </w:rPr>
              <w:t>not</w:t>
            </w:r>
            <w:r>
              <w:rPr>
                <w:rFonts w:eastAsia="DengXian"/>
                <w:lang w:eastAsia="zh-CN" w:bidi="ar"/>
              </w:rPr>
              <w:t xml:space="preserve"> to</w:t>
            </w:r>
            <w:r w:rsidRPr="006B1A26">
              <w:rPr>
                <w:rFonts w:eastAsia="DengXian"/>
                <w:lang w:eastAsia="zh-CN" w:bidi="ar"/>
              </w:rPr>
              <w:t xml:space="preserve"> introduc</w:t>
            </w:r>
            <w:r>
              <w:rPr>
                <w:rFonts w:eastAsia="DengXian"/>
                <w:lang w:eastAsia="zh-CN" w:bidi="ar"/>
              </w:rPr>
              <w:t>e</w:t>
            </w:r>
            <w:r w:rsidRPr="006B1A26">
              <w:rPr>
                <w:rFonts w:eastAsia="DengXian"/>
                <w:lang w:eastAsia="zh-CN" w:bidi="ar"/>
              </w:rPr>
              <w:t xml:space="preserve"> this feature in this release and can further study in future release.</w:t>
            </w:r>
            <w:r>
              <w:rPr>
                <w:rFonts w:eastAsia="DengXian"/>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DengXian"/>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DengXian"/>
                <w:sz w:val="18"/>
                <w:szCs w:val="18"/>
                <w:lang w:eastAsia="zh-CN"/>
              </w:rPr>
            </w:pPr>
            <w:r>
              <w:rPr>
                <w:rFonts w:eastAsia="DengXian"/>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DengXian"/>
                <w:lang w:eastAsia="zh-CN"/>
              </w:rPr>
            </w:pPr>
            <w:r>
              <w:rPr>
                <w:rFonts w:eastAsia="DengXian" w:hint="eastAsia"/>
                <w:lang w:eastAsia="zh-CN"/>
              </w:rPr>
              <w:t>W</w:t>
            </w:r>
            <w:r>
              <w:rPr>
                <w:rFonts w:eastAsia="DengXian"/>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DengXian"/>
                <w:lang w:eastAsia="zh-CN"/>
              </w:rPr>
            </w:pPr>
            <w:r>
              <w:rPr>
                <w:rFonts w:eastAsia="DengXian"/>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DengXian"/>
                <w:lang w:eastAsia="zh-CN"/>
              </w:rPr>
            </w:pPr>
            <w:r>
              <w:rPr>
                <w:rFonts w:eastAsia="DengXian"/>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DengXian"/>
                <w:lang w:eastAsia="zh-CN"/>
              </w:rPr>
            </w:pPr>
            <w:r w:rsidRPr="004178B2">
              <w:rPr>
                <w:rFonts w:eastAsia="DengXian"/>
                <w:lang w:eastAsia="zh-CN"/>
              </w:rPr>
              <w:t>Considering the benefits of reduced power consumption and increased throughput, we think disabling HARQ feedback for downlink transmissions can be supported in IoT over NTN.</w:t>
            </w:r>
            <w:r w:rsidRPr="00091B2A">
              <w:rPr>
                <w:rFonts w:eastAsia="DengXian"/>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327488">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DengXian"/>
                <w:lang w:eastAsia="zh-CN"/>
              </w:rPr>
            </w:pPr>
            <w:r>
              <w:rPr>
                <w:rFonts w:eastAsia="DengXian"/>
                <w:lang w:eastAsia="zh-CN"/>
              </w:rPr>
              <w:t>We suppor</w:t>
            </w:r>
            <w:r w:rsidRPr="00327488">
              <w:rPr>
                <w:rFonts w:eastAsia="DengXian"/>
                <w:lang w:eastAsia="zh-CN"/>
              </w:rPr>
              <w:t>t</w:t>
            </w:r>
            <w:r>
              <w:rPr>
                <w:rFonts w:eastAsia="DengXian"/>
                <w:lang w:eastAsia="zh-CN"/>
              </w:rPr>
              <w:t xml:space="preserve"> </w:t>
            </w:r>
            <w:r w:rsidRPr="00327488">
              <w:rPr>
                <w:rFonts w:eastAsia="DengXian"/>
                <w:lang w:eastAsia="zh-CN"/>
              </w:rPr>
              <w:t>t</w:t>
            </w:r>
            <w:r>
              <w:rPr>
                <w:rFonts w:eastAsia="DengXian"/>
                <w:lang w:eastAsia="zh-CN"/>
              </w:rPr>
              <w:t>he modera</w:t>
            </w:r>
            <w:r w:rsidRPr="00327488">
              <w:rPr>
                <w:rFonts w:eastAsia="DengXian"/>
                <w:lang w:eastAsia="zh-CN"/>
              </w:rPr>
              <w:t>t</w:t>
            </w:r>
            <w:r>
              <w:rPr>
                <w:rFonts w:eastAsia="DengXian"/>
                <w:lang w:eastAsia="zh-CN"/>
              </w:rPr>
              <w:t>or’s conclusion of no</w:t>
            </w:r>
            <w:r w:rsidRPr="00327488">
              <w:rPr>
                <w:rFonts w:eastAsia="DengXian"/>
                <w:lang w:eastAsia="zh-CN"/>
              </w:rPr>
              <w:t>t</w:t>
            </w:r>
            <w:r>
              <w:rPr>
                <w:rFonts w:eastAsia="DengXian"/>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proofErr w:type="gramStart"/>
            <w:r>
              <w:t>Generally</w:t>
            </w:r>
            <w:proofErr w:type="gramEnd"/>
            <w:r>
              <w:t xml:space="preserve"> we agree not support HARQ feedback disabling in </w:t>
            </w:r>
            <w:proofErr w:type="spellStart"/>
            <w:r>
              <w:t>Rel</w:t>
            </w:r>
            <w:proofErr w:type="spellEnd"/>
            <w:r>
              <w:t xml:space="preserve"> 17 IoT NTN SI. </w:t>
            </w:r>
          </w:p>
          <w:p w14:paraId="66B500EE" w14:textId="1EB10AD0" w:rsidR="00802504" w:rsidRDefault="00802504" w:rsidP="00802504">
            <w:pPr>
              <w:spacing w:beforeLines="50" w:before="120"/>
              <w:ind w:firstLineChars="0" w:firstLine="0"/>
              <w:jc w:val="left"/>
              <w:rPr>
                <w:rFonts w:eastAsia="DengXian"/>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B70F28"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BC056B" w:rsidRDefault="00F97250" w:rsidP="00802504">
            <w:pPr>
              <w:snapToGrid w:val="0"/>
              <w:ind w:firstLineChars="0" w:firstLine="0"/>
              <w:jc w:val="left"/>
              <w:rPr>
                <w:rFonts w:eastAsia="DengXian"/>
                <w:color w:val="FF0000"/>
                <w:sz w:val="18"/>
                <w:szCs w:val="18"/>
                <w:lang w:eastAsia="zh-CN"/>
              </w:rPr>
            </w:pPr>
            <w:r w:rsidRPr="00BC056B">
              <w:rPr>
                <w:rFonts w:eastAsia="DengXian"/>
                <w:color w:val="FF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BC056B" w:rsidRDefault="00F97250" w:rsidP="00802504">
            <w:pPr>
              <w:spacing w:beforeLines="50" w:before="120"/>
              <w:ind w:firstLineChars="0" w:firstLine="0"/>
              <w:rPr>
                <w:color w:val="FF0000"/>
              </w:rPr>
            </w:pPr>
            <w:r w:rsidRPr="00BC056B">
              <w:rPr>
                <w:color w:val="FF0000"/>
              </w:rPr>
              <w:t xml:space="preserve">We have demonstrated in our contribution, that </w:t>
            </w:r>
            <w:r w:rsidRPr="00BC056B">
              <w:rPr>
                <w:b/>
                <w:bCs/>
                <w:color w:val="FF0000"/>
              </w:rPr>
              <w:t>we lose at least</w:t>
            </w:r>
            <w:r w:rsidRPr="00BC056B">
              <w:rPr>
                <w:color w:val="FF0000"/>
              </w:rPr>
              <w:t xml:space="preserve"> </w:t>
            </w:r>
            <w:r w:rsidRPr="00BC056B">
              <w:rPr>
                <w:b/>
                <w:bCs/>
                <w:color w:val="FF0000"/>
              </w:rPr>
              <w:t>5.5x</w:t>
            </w:r>
            <w:r w:rsidRPr="00BC056B">
              <w:rPr>
                <w:color w:val="FF0000"/>
              </w:rPr>
              <w:t xml:space="preserve"> (for UEs with 2 HARQ processes) and at least </w:t>
            </w:r>
            <w:r w:rsidRPr="00BC056B">
              <w:rPr>
                <w:b/>
                <w:bCs/>
                <w:color w:val="FF0000"/>
              </w:rPr>
              <w:t>11x</w:t>
            </w:r>
            <w:r w:rsidRPr="00BC056B">
              <w:rPr>
                <w:color w:val="FF0000"/>
              </w:rPr>
              <w:t xml:space="preserve"> (for UEs with 1 HARQ process) </w:t>
            </w:r>
            <w:r w:rsidRPr="00BC056B">
              <w:rPr>
                <w:b/>
                <w:bCs/>
                <w:color w:val="FF0000"/>
              </w:rPr>
              <w:t>in throughput/latency</w:t>
            </w:r>
            <w:r w:rsidRPr="00BC056B">
              <w:rPr>
                <w:color w:val="FF0000"/>
              </w:rPr>
              <w:t xml:space="preserve"> </w:t>
            </w:r>
            <w:r w:rsidR="00BC056B">
              <w:rPr>
                <w:color w:val="FF0000"/>
              </w:rPr>
              <w:t xml:space="preserve">for GEO Set 1 deployments, </w:t>
            </w:r>
            <w:r w:rsidRPr="00BC056B">
              <w:rPr>
                <w:color w:val="FF0000"/>
              </w:rPr>
              <w:t>if we don’t support this simple enhancement of disabling HARQ.</w:t>
            </w:r>
          </w:p>
          <w:p w14:paraId="56FD733C" w14:textId="77777777"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 xml:space="preserve">This is </w:t>
            </w:r>
            <w:r w:rsidRPr="00BC056B">
              <w:rPr>
                <w:b/>
                <w:bCs/>
                <w:color w:val="FF0000"/>
              </w:rPr>
              <w:t>already supported for SC-PTM in NB-IoT</w:t>
            </w:r>
            <w:r w:rsidRPr="00BC056B">
              <w:rPr>
                <w:color w:val="FF0000"/>
              </w:rPr>
              <w:t>—we fail to understand what is the “extra work” in making this simple change.</w:t>
            </w:r>
          </w:p>
          <w:p w14:paraId="4F284DBA" w14:textId="41230796" w:rsidR="00F97250" w:rsidRPr="00BC056B" w:rsidRDefault="00F97250" w:rsidP="00F97250">
            <w:pPr>
              <w:pStyle w:val="ListParagraph"/>
              <w:numPr>
                <w:ilvl w:val="0"/>
                <w:numId w:val="31"/>
              </w:numPr>
              <w:spacing w:beforeLines="50" w:before="120"/>
              <w:ind w:firstLineChars="0"/>
              <w:rPr>
                <w:color w:val="FF0000"/>
              </w:rPr>
            </w:pPr>
            <w:r w:rsidRPr="00BC056B">
              <w:rPr>
                <w:color w:val="FF0000"/>
              </w:rPr>
              <w:t>We keep deferring to NR-NTN for multiple aspects: NR-NTN will support feedback disabled processes</w:t>
            </w:r>
          </w:p>
          <w:p w14:paraId="3C471739" w14:textId="65491535" w:rsidR="00BC056B" w:rsidRPr="00BC056B" w:rsidRDefault="00F97250" w:rsidP="00F97250">
            <w:pPr>
              <w:spacing w:beforeLines="50" w:before="120"/>
              <w:ind w:firstLineChars="0" w:firstLine="0"/>
              <w:rPr>
                <w:color w:val="FF0000"/>
              </w:rPr>
            </w:pPr>
            <w:r w:rsidRPr="00BC056B">
              <w:rPr>
                <w:color w:val="FF0000"/>
              </w:rPr>
              <w:t xml:space="preserve">If a simple enhancement like this, that mitigates against such significant losses, </w:t>
            </w:r>
            <w:r w:rsidR="00BC056B">
              <w:rPr>
                <w:color w:val="FF0000"/>
              </w:rPr>
              <w:t>is</w:t>
            </w:r>
            <w:r w:rsidRPr="00BC056B">
              <w:rPr>
                <w:color w:val="FF0000"/>
              </w:rPr>
              <w:t xml:space="preserve"> not even looked at by the group</w:t>
            </w:r>
            <w:r w:rsidR="00BC056B">
              <w:rPr>
                <w:color w:val="FF0000"/>
              </w:rPr>
              <w:t xml:space="preserve">, </w:t>
            </w:r>
            <w:r w:rsidRPr="00BC056B">
              <w:rPr>
                <w:color w:val="FF0000"/>
              </w:rPr>
              <w:t xml:space="preserve">we fail to understand whether there is real intent by the group on having a reasonable working system in </w:t>
            </w:r>
            <w:proofErr w:type="spellStart"/>
            <w:r w:rsidRPr="00BC056B">
              <w:rPr>
                <w:color w:val="FF0000"/>
              </w:rPr>
              <w:t>Rel</w:t>
            </w:r>
            <w:proofErr w:type="spellEnd"/>
            <w:r w:rsidRPr="00BC056B">
              <w:rPr>
                <w:color w:val="FF0000"/>
              </w:rPr>
              <w:t xml:space="preserve"> 17! </w:t>
            </w:r>
            <w:r w:rsidRPr="00BC056B">
              <w:rPr>
                <w:i/>
                <w:iCs/>
                <w:color w:val="FF0000"/>
              </w:rPr>
              <w:t>If we are going to declare something simple that mitigates a 11x throughput/latency loss as “non-essential”,</w:t>
            </w:r>
            <w:r w:rsidR="00BC056B" w:rsidRPr="00BC056B">
              <w:rPr>
                <w:i/>
                <w:iCs/>
                <w:color w:val="FF0000"/>
              </w:rPr>
              <w:t xml:space="preserve"> we fail to understand what the group deems essential!</w:t>
            </w:r>
          </w:p>
          <w:p w14:paraId="3569756B" w14:textId="003EFB7D" w:rsidR="00F97250" w:rsidRPr="00BC056B" w:rsidRDefault="00BC056B" w:rsidP="00F97250">
            <w:pPr>
              <w:spacing w:beforeLines="50" w:before="120"/>
              <w:ind w:firstLineChars="0" w:firstLine="0"/>
              <w:rPr>
                <w:color w:val="FF0000"/>
              </w:rPr>
            </w:pPr>
            <w:r w:rsidRPr="00BC056B">
              <w:rPr>
                <w:color w:val="FF0000"/>
              </w:rPr>
              <w:t xml:space="preserve">We kindly request companies to give this a little bit of open-minded consideration. It isn’t something new, and it isn’t something that requires much work; however, the benefits are </w:t>
            </w:r>
            <w:r>
              <w:rPr>
                <w:color w:val="FF0000"/>
              </w:rPr>
              <w:t xml:space="preserve">more than </w:t>
            </w:r>
            <w:r w:rsidRPr="00BC056B">
              <w:rPr>
                <w:color w:val="FF0000"/>
              </w:rPr>
              <w:t>significant</w:t>
            </w:r>
            <w:r>
              <w:rPr>
                <w:color w:val="FF0000"/>
              </w:rPr>
              <w: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DengXian"/>
                <w:color w:val="FF0000"/>
                <w:lang w:eastAsia="zh-CN"/>
              </w:rPr>
            </w:pPr>
            <w:r w:rsidRPr="00936EE5">
              <w:rPr>
                <w:rFonts w:eastAsia="DengXian"/>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DengXian"/>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DengXian"/>
                <w:lang w:eastAsia="zh-CN"/>
              </w:rPr>
            </w:pPr>
            <w:r>
              <w:rPr>
                <w:rFonts w:eastAsia="DengXia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DengXian"/>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DengXian"/>
                <w:lang w:eastAsia="zh-CN"/>
              </w:rPr>
              <w:t>C</w:t>
            </w:r>
            <w:r>
              <w:rPr>
                <w:rFonts w:eastAsia="DengXian"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DengXian"/>
                <w:lang w:eastAsia="zh-CN"/>
              </w:rPr>
            </w:pPr>
            <w:r>
              <w:rPr>
                <w:rFonts w:eastAsia="DengXian" w:hint="eastAsia"/>
                <w:lang w:eastAsia="zh-CN"/>
              </w:rPr>
              <w:t>X</w:t>
            </w:r>
            <w:r>
              <w:rPr>
                <w:rFonts w:eastAsia="DengXian"/>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DengXian"/>
                <w:lang w:eastAsia="zh-CN"/>
              </w:rPr>
            </w:pPr>
            <w:r>
              <w:rPr>
                <w:rFonts w:eastAsia="DengXian"/>
                <w:lang w:eastAsia="zh-CN"/>
              </w:rPr>
              <w:t xml:space="preserve">Support FL’s conclusion on </w:t>
            </w:r>
            <w:r w:rsidRPr="00936EE5">
              <w:rPr>
                <w:rFonts w:eastAsia="DengXian"/>
                <w:lang w:eastAsia="zh-CN"/>
              </w:rPr>
              <w:t>HARQ feedback disabling should not be introduced in Rel-17</w:t>
            </w:r>
            <w:r>
              <w:rPr>
                <w:rFonts w:eastAsia="DengXian"/>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DengXian"/>
                <w:lang w:eastAsia="zh-CN"/>
              </w:rPr>
            </w:pPr>
            <w:r>
              <w:rPr>
                <w:rFonts w:eastAsia="DengXian"/>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DengXian"/>
                <w:lang w:eastAsia="zh-CN"/>
              </w:rPr>
            </w:pPr>
            <w:r w:rsidRPr="00936EE5">
              <w:rPr>
                <w:rFonts w:eastAsia="DengXian"/>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DengXian"/>
                <w:lang w:eastAsia="zh-CN"/>
              </w:rPr>
            </w:pPr>
            <w:r>
              <w:rPr>
                <w:rFonts w:eastAsia="DengXian"/>
                <w:lang w:eastAsia="zh-CN"/>
              </w:rPr>
              <w:t>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mMTC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DengXian"/>
                <w:lang w:eastAsia="zh-CN"/>
              </w:rPr>
            </w:pPr>
            <w:r>
              <w:rPr>
                <w:rFonts w:eastAsia="DengXian"/>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DengXian"/>
                <w:lang w:eastAsia="zh-CN"/>
              </w:rPr>
            </w:pPr>
            <w:r>
              <w:rPr>
                <w:rFonts w:eastAsia="DengXian"/>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DengXian"/>
                <w:lang w:eastAsia="zh-CN"/>
              </w:rPr>
            </w:pPr>
            <w:r>
              <w:rPr>
                <w:rFonts w:eastAsia="DengXian"/>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DengXian"/>
                <w:lang w:eastAsia="zh-CN"/>
              </w:rPr>
            </w:pPr>
            <w:r>
              <w:rPr>
                <w:rFonts w:eastAsia="DengXian"/>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DengXian"/>
                <w:lang w:eastAsia="zh-CN"/>
              </w:rPr>
            </w:pPr>
            <w:r>
              <w:rPr>
                <w:rFonts w:eastAsia="DengXian"/>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DengXian"/>
                <w:lang w:eastAsia="zh-CN"/>
              </w:rPr>
            </w:pPr>
            <w:r>
              <w:rPr>
                <w:rFonts w:eastAsia="DengXian"/>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DengXian"/>
                <w:lang w:eastAsia="zh-CN"/>
              </w:rPr>
            </w:pPr>
            <w:r>
              <w:rPr>
                <w:rFonts w:eastAsia="DengXian"/>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DengXian"/>
                <w:lang w:eastAsia="zh-CN"/>
              </w:rPr>
            </w:pPr>
            <w:r w:rsidRPr="00130C5E">
              <w:rPr>
                <w:rFonts w:eastAsia="DengXian"/>
                <w:lang w:eastAsia="zh-CN"/>
              </w:rPr>
              <w:t>Considering limited time in R17 IoT NTN,</w:t>
            </w:r>
            <w:r>
              <w:rPr>
                <w:rFonts w:eastAsia="DengXian"/>
                <w:lang w:eastAsia="zh-CN"/>
              </w:rPr>
              <w:t xml:space="preserve"> w</w:t>
            </w:r>
            <w:r w:rsidRPr="00130C5E">
              <w:rPr>
                <w:rFonts w:eastAsia="DengXian"/>
                <w:lang w:eastAsia="zh-CN"/>
              </w:rPr>
              <w:t>e support moderator’s proposal.</w:t>
            </w:r>
          </w:p>
          <w:p w14:paraId="725CD94A" w14:textId="7CF0FB5D" w:rsidR="00130C5E" w:rsidRDefault="00130C5E" w:rsidP="00130C5E">
            <w:pPr>
              <w:spacing w:beforeLines="50" w:before="120"/>
              <w:ind w:firstLineChars="0" w:firstLine="0"/>
              <w:rPr>
                <w:rFonts w:eastAsia="DengXian"/>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3441BA" w:rsidRDefault="003441BA" w:rsidP="003441BA">
      <w:pPr>
        <w:ind w:firstLineChars="0" w:firstLine="0"/>
        <w:contextualSpacing/>
        <w:jc w:val="left"/>
        <w:rPr>
          <w:b/>
          <w:highlight w:val="yellow"/>
        </w:rPr>
      </w:pPr>
      <w:r w:rsidRPr="003441BA">
        <w:rPr>
          <w:b/>
          <w:highlight w:val="yellow"/>
        </w:rPr>
        <w:t>Proposal 1.</w:t>
      </w:r>
    </w:p>
    <w:p w14:paraId="6378B73C" w14:textId="09033982" w:rsidR="003441BA" w:rsidRPr="003441BA" w:rsidRDefault="003441BA" w:rsidP="003441BA">
      <w:pPr>
        <w:spacing w:line="240" w:lineRule="auto"/>
        <w:ind w:firstLineChars="0" w:firstLine="0"/>
        <w:rPr>
          <w:b/>
          <w:lang w:eastAsia="x-none"/>
        </w:rPr>
      </w:pPr>
      <w:r w:rsidRPr="003441BA">
        <w:rPr>
          <w:b/>
          <w:highlight w:val="yellow"/>
          <w:lang w:eastAsia="x-none"/>
        </w:rPr>
        <w:t>Disabling HARQ feedback for NB-IoT and for eMTC in NTN is recommended not to be supported in Rel-17.</w:t>
      </w:r>
    </w:p>
    <w:p w14:paraId="34A12649" w14:textId="77777777" w:rsidR="00B92DF1" w:rsidRPr="003441BA" w:rsidRDefault="00B92DF1" w:rsidP="003441BA">
      <w:pPr>
        <w:ind w:firstLineChars="0" w:firstLine="0"/>
        <w:contextualSpacing/>
        <w:jc w:val="left"/>
        <w:rPr>
          <w:b/>
        </w:rPr>
      </w:pPr>
    </w:p>
    <w:p w14:paraId="0DCA5C5F" w14:textId="77777777" w:rsidR="00B92DF1" w:rsidRDefault="00B92DF1" w:rsidP="00B92DF1">
      <w:pPr>
        <w:ind w:firstLineChars="0" w:firstLine="0"/>
        <w:contextualSpacing/>
        <w:jc w:val="left"/>
      </w:pPr>
    </w:p>
    <w:p w14:paraId="39392E6D" w14:textId="4468A66F" w:rsidR="006F371A" w:rsidRPr="007937E5" w:rsidRDefault="00A10BEA" w:rsidP="006F371A">
      <w:pPr>
        <w:pStyle w:val="Heading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TableGrid"/>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r w:rsidRPr="000952EE">
              <w:rPr>
                <w:bCs/>
              </w:rPr>
              <w:t>the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 xml:space="preserve">PDCCH monitoring to reduce power </w:t>
      </w:r>
      <w:r w:rsidRPr="00675026">
        <w:rPr>
          <w:lang w:eastAsia="zh-CN"/>
        </w:rPr>
        <w:lastRenderedPageBreak/>
        <w:t>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7757E5">
        <w:rPr>
          <w:rFonts w:cs="Arial"/>
          <w:highlight w:val="yellow"/>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BodyText"/>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 </w:t>
            </w:r>
            <w:hyperlink r:id="rId32"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The earliest subframe for an UE to receive an NPDCCH with DCI format N0/N1 for the same HARQ process depends on the offset between the UL and DL frame timing at the eNB.</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[2] </w:t>
            </w:r>
            <w:hyperlink r:id="rId33"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SimSun"/>
                <w:bCs/>
                <w:iCs/>
                <w:lang w:val="en-GB" w:eastAsia="ja-JP"/>
              </w:rPr>
            </w:pPr>
            <w:r w:rsidRPr="00DF6205">
              <w:rPr>
                <w:rFonts w:eastAsia="SimSun"/>
                <w:b/>
                <w:bCs/>
                <w:iCs/>
                <w:lang w:val="en-GB" w:eastAsia="ja-JP"/>
              </w:rPr>
              <w:t>Proposal</w:t>
            </w:r>
            <w:r w:rsidRPr="005C0A93">
              <w:rPr>
                <w:rFonts w:eastAsia="SimSun"/>
                <w:bCs/>
                <w:iCs/>
                <w:lang w:val="en-GB" w:eastAsia="ja-JP"/>
              </w:rPr>
              <w:t xml:space="preserve"> 5:</w:t>
            </w:r>
            <w:r w:rsidRPr="005C0A93">
              <w:rPr>
                <w:rFonts w:eastAsiaTheme="minorEastAsia"/>
                <w:iCs/>
                <w:lang w:val="en-GB" w:eastAsia="zh-CN"/>
              </w:rPr>
              <w:t xml:space="preserve"> </w:t>
            </w:r>
            <w:r w:rsidRPr="005C0A93">
              <w:rPr>
                <w:rFonts w:eastAsia="SimSun"/>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SimSun"/>
                <w:bCs/>
                <w:iCs/>
                <w:lang w:val="en-GB" w:eastAsia="ja-JP"/>
              </w:rPr>
            </w:pPr>
          </w:p>
          <w:p w14:paraId="4976B2E3"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SimSun"/>
                <w:kern w:val="2"/>
                <w:lang w:eastAsia="zh-CN"/>
              </w:rPr>
            </w:pPr>
          </w:p>
          <w:p w14:paraId="4F9AEE76" w14:textId="77777777" w:rsidR="0009513C" w:rsidRPr="005C0A93" w:rsidRDefault="0009513C" w:rsidP="00AA77CF">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Pr="005C0A93">
              <w:rPr>
                <w:rFonts w:eastAsia="SimSun"/>
                <w:bCs/>
                <w:iCs/>
                <w:lang w:val="en-GB" w:eastAsia="ja-JP"/>
              </w:rPr>
              <w:t xml:space="preserve"> 6:</w:t>
            </w:r>
            <w:r w:rsidRPr="005C0A93">
              <w:rPr>
                <w:rFonts w:eastAsiaTheme="minorEastAsia"/>
                <w:iCs/>
                <w:lang w:val="en-GB" w:eastAsia="zh-CN"/>
              </w:rPr>
              <w:t xml:space="preserve"> </w:t>
            </w:r>
            <w:r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Pr="005C0A93">
              <w:rPr>
                <w:rFonts w:eastAsia="SimSun"/>
                <w:bCs/>
                <w:iCs/>
                <w:lang w:val="en-GB" w:eastAsia="ja-JP"/>
              </w:rPr>
              <w:t xml:space="preserve"> 7:</w:t>
            </w:r>
            <w:r w:rsidRPr="005C0A93">
              <w:rPr>
                <w:rFonts w:eastAsiaTheme="minorEastAsia"/>
                <w:iCs/>
                <w:lang w:val="en-GB" w:eastAsia="zh-CN"/>
              </w:rPr>
              <w:t xml:space="preserve"> </w:t>
            </w:r>
            <w:r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[3] </w:t>
            </w:r>
            <w:hyperlink r:id="rId34"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lastRenderedPageBreak/>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lastRenderedPageBreak/>
              <w:t xml:space="preserve">[4] </w:t>
            </w:r>
            <w:hyperlink r:id="rId35"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[5] </w:t>
            </w:r>
            <w:hyperlink r:id="rId36"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[8] </w:t>
            </w:r>
            <w:hyperlink r:id="rId37"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BodyText"/>
              <w:spacing w:before="0" w:after="0" w:line="240" w:lineRule="auto"/>
              <w:ind w:firstLineChars="0" w:firstLine="0"/>
              <w:rPr>
                <w:rFonts w:eastAsiaTheme="minorHAnsi"/>
              </w:rPr>
            </w:pPr>
          </w:p>
          <w:p w14:paraId="48C9D26F" w14:textId="77777777" w:rsidR="0009513C" w:rsidRPr="005C0A93" w:rsidRDefault="0009513C" w:rsidP="00AA77CF">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[12] </w:t>
            </w:r>
            <w:hyperlink r:id="rId38"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[15] </w:t>
            </w:r>
            <w:hyperlink r:id="rId39"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Hyperlink"/>
                <w:rFonts w:ascii="Times" w:hAnsi="Times" w:cs="Times"/>
                <w:color w:val="000000" w:themeColor="text1"/>
                <w:u w:val="none"/>
                <w:lang w:eastAsia="x-none"/>
              </w:rPr>
            </w:pPr>
            <w:r>
              <w:t xml:space="preserve">[18] </w:t>
            </w:r>
            <w:hyperlink r:id="rId40" w:history="1">
              <w:r w:rsidR="0009513C" w:rsidRPr="00953F5D">
                <w:rPr>
                  <w:rStyle w:val="Hyperlink"/>
                  <w:rFonts w:ascii="Times" w:hAnsi="Times" w:cs="Times"/>
                  <w:color w:val="000000" w:themeColor="text1"/>
                  <w:u w:val="none"/>
                  <w:lang w:eastAsia="x-none"/>
                </w:rPr>
                <w:t>R1-210</w:t>
              </w:r>
              <w:r w:rsidR="0009513C">
                <w:rPr>
                  <w:rStyle w:val="Hyperlink"/>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3441BA"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3441BA"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ListParagraph"/>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ListParagraph"/>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DengXian"/>
                <w:lang w:eastAsia="zh-CN"/>
              </w:rPr>
            </w:pPr>
            <w:r>
              <w:rPr>
                <w:rFonts w:eastAsia="DengXian"/>
                <w:lang w:eastAsia="zh-CN"/>
              </w:rPr>
              <w:t>The first sub-bullet is preferred.</w:t>
            </w:r>
            <w:r w:rsidR="008731D0">
              <w:rPr>
                <w:rFonts w:eastAsia="DengXian" w:hint="eastAsia"/>
                <w:lang w:eastAsia="zh-CN"/>
              </w:rPr>
              <w:t xml:space="preserve"> </w:t>
            </w:r>
            <w:r w:rsidR="008731D0">
              <w:rPr>
                <w:rFonts w:eastAsia="DengXian"/>
                <w:lang w:eastAsia="zh-CN"/>
              </w:rPr>
              <w:t xml:space="preserve"> </w:t>
            </w:r>
            <w:r>
              <w:rPr>
                <w:rFonts w:eastAsia="DengXian"/>
                <w:lang w:eastAsia="zh-CN"/>
              </w:rPr>
              <w:t xml:space="preserve">Power saving is the most important factor </w:t>
            </w:r>
            <w:r w:rsidR="00486FAB">
              <w:rPr>
                <w:rFonts w:eastAsia="DengXian"/>
                <w:lang w:eastAsia="zh-CN"/>
              </w:rPr>
              <w:t xml:space="preserve">to </w:t>
            </w:r>
            <w:r>
              <w:rPr>
                <w:rFonts w:eastAsia="DengXian"/>
                <w:lang w:eastAsia="zh-CN"/>
              </w:rPr>
              <w:t xml:space="preserve">be considered for IoT. Consider the </w:t>
            </w:r>
            <w:r w:rsidR="008731D0">
              <w:rPr>
                <w:rFonts w:eastAsia="DengXian"/>
                <w:lang w:eastAsia="zh-CN"/>
              </w:rPr>
              <w:t xml:space="preserve">IoT </w:t>
            </w:r>
            <w:r>
              <w:rPr>
                <w:rFonts w:eastAsia="DengXian"/>
                <w:lang w:eastAsia="zh-CN"/>
              </w:rPr>
              <w:t>delay tolerant feature, we can receive the new data and even paging</w:t>
            </w:r>
            <w:r w:rsidR="008731D0">
              <w:rPr>
                <w:rFonts w:eastAsia="DengXian"/>
                <w:lang w:eastAsia="zh-CN"/>
              </w:rPr>
              <w:t>/</w:t>
            </w:r>
            <w:r>
              <w:rPr>
                <w:rFonts w:eastAsia="DengXian"/>
                <w:lang w:eastAsia="zh-CN"/>
              </w:rPr>
              <w:t>system information in</w:t>
            </w:r>
            <w:r w:rsidR="008731D0">
              <w:rPr>
                <w:rFonts w:eastAsia="DengXian"/>
                <w:lang w:eastAsia="zh-CN"/>
              </w:rPr>
              <w:t xml:space="preserve"> next available PDCCH occasion.  For an unexpected paging, system </w:t>
            </w:r>
            <w:r w:rsidR="00486FAB">
              <w:rPr>
                <w:rFonts w:eastAsia="DengXian"/>
                <w:lang w:eastAsia="zh-CN"/>
              </w:rPr>
              <w:t>update, it</w:t>
            </w:r>
            <w:r w:rsidR="008731D0">
              <w:rPr>
                <w:rFonts w:eastAsia="DengXian"/>
                <w:lang w:eastAsia="zh-CN"/>
              </w:rPr>
              <w:t xml:space="preserve"> doesn’t make sense to force UE to monitor PDCCH in the whole period</w:t>
            </w:r>
            <w:r w:rsidR="00B200A3">
              <w:rPr>
                <w:rFonts w:eastAsia="DengXian"/>
                <w:lang w:eastAsia="zh-CN"/>
              </w:rPr>
              <w:t xml:space="preserve"> </w:t>
            </w:r>
            <w:r w:rsidR="008731D0">
              <w:rPr>
                <w:rFonts w:eastAsia="DengXian"/>
                <w:lang w:eastAsia="zh-CN"/>
              </w:rPr>
              <w:t xml:space="preserve">without any available HARQ process number. </w:t>
            </w:r>
          </w:p>
          <w:p w14:paraId="16EB1EEA" w14:textId="07B06790" w:rsidR="00B200A3" w:rsidRPr="007757E5" w:rsidRDefault="00B200A3" w:rsidP="008731D0">
            <w:pPr>
              <w:spacing w:beforeLines="50" w:before="120"/>
              <w:rPr>
                <w:rFonts w:eastAsia="DengXian"/>
                <w:lang w:eastAsia="zh-CN"/>
              </w:rPr>
            </w:pPr>
            <w:r>
              <w:rPr>
                <w:rFonts w:eastAsia="DengXian"/>
                <w:lang w:eastAsia="zh-CN"/>
              </w:rPr>
              <w:t>As the NTN throughput is lower than TN throughput, the PDCCH occasion should be reduced accordingly in a particular period.</w:t>
            </w:r>
            <w:r w:rsidR="000B733C">
              <w:rPr>
                <w:rFonts w:eastAsia="DengXian"/>
                <w:lang w:eastAsia="zh-CN"/>
              </w:rPr>
              <w:t xml:space="preserve">   We can either update PDCCH search space parameter (e.g., G) or stop monitoring PDCCH in a duration.  The later one can give UE a long period of “sleep</w:t>
            </w:r>
            <w:r w:rsidR="009745BC">
              <w:rPr>
                <w:rFonts w:eastAsia="DengXian"/>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DengXian"/>
                <w:lang w:eastAsia="zh-CN"/>
              </w:rPr>
            </w:pPr>
            <w:r>
              <w:rPr>
                <w:rFonts w:eastAsia="DengXian" w:hint="eastAsia"/>
                <w:lang w:eastAsia="zh-CN"/>
              </w:rPr>
              <w:t>According</w:t>
            </w:r>
            <w:r>
              <w:rPr>
                <w:rFonts w:eastAsia="DengXian"/>
                <w:lang w:eastAsia="zh-CN"/>
              </w:rPr>
              <w:t xml:space="preserve"> to TS 38.321 Section 5.7,</w:t>
            </w:r>
          </w:p>
          <w:p w14:paraId="494732D8" w14:textId="77777777" w:rsidR="00757352" w:rsidRDefault="00757352" w:rsidP="00757352">
            <w:pPr>
              <w:spacing w:beforeLines="50" w:before="120"/>
              <w:ind w:firstLineChars="0" w:firstLine="0"/>
              <w:rPr>
                <w:rFonts w:eastAsia="DengXian"/>
                <w:lang w:eastAsia="zh-CN"/>
              </w:rPr>
            </w:pPr>
            <w:r>
              <w:rPr>
                <w:rFonts w:eastAsia="DengXian"/>
                <w:lang w:eastAsia="zh-CN"/>
              </w:rPr>
              <w:t>“</w:t>
            </w:r>
            <w:r w:rsidRPr="006D219E">
              <w:rPr>
                <w:rFonts w:eastAsia="DengXian"/>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DengXian"/>
                <w:lang w:eastAsia="zh-CN"/>
              </w:rPr>
              <w:t>”</w:t>
            </w:r>
          </w:p>
          <w:p w14:paraId="4ECA28DA" w14:textId="4B765DBD" w:rsidR="00757352" w:rsidRDefault="00757352" w:rsidP="00757352">
            <w:pPr>
              <w:spacing w:beforeLines="50" w:before="120"/>
              <w:rPr>
                <w:rFonts w:eastAsia="DengXian"/>
                <w:lang w:eastAsia="zh-CN"/>
              </w:rPr>
            </w:pPr>
            <w:r>
              <w:rPr>
                <w:rFonts w:eastAsia="DengXian"/>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1CEE19FC" w14:textId="77777777" w:rsidR="004E5F59" w:rsidRDefault="004E5F59">
            <w:pPr>
              <w:spacing w:beforeLines="50" w:before="120"/>
            </w:pPr>
            <w:r>
              <w:rPr>
                <w:rFonts w:eastAsia="DengXian"/>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DengXian"/>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Pr>
          <w:p w14:paraId="7EFFCDD4" w14:textId="20EDE49C" w:rsidR="007C2DB6" w:rsidRDefault="007C2DB6">
            <w:pPr>
              <w:spacing w:beforeLines="50" w:before="120"/>
              <w:rPr>
                <w:rFonts w:eastAsia="DengXian"/>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Novamin</w:t>
            </w:r>
            <w:r w:rsidRPr="00EB1547">
              <w:rPr>
                <w:rFonts w:eastAsia="DengXian"/>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14:paraId="2BB08E11" w14:textId="77777777" w:rsidTr="004E5F59">
        <w:tc>
          <w:tcPr>
            <w:tcW w:w="1255" w:type="dxa"/>
          </w:tcPr>
          <w:p w14:paraId="58C8B5C4" w14:textId="5543CBE2" w:rsidR="00E27DF1" w:rsidRPr="00E27DF1" w:rsidRDefault="00E27DF1" w:rsidP="00802504">
            <w:pPr>
              <w:snapToGrid w:val="0"/>
              <w:ind w:firstLineChars="0" w:firstLine="0"/>
              <w:jc w:val="left"/>
              <w:rPr>
                <w:rFonts w:eastAsia="DengXian"/>
                <w:color w:val="FF0000"/>
                <w:sz w:val="18"/>
                <w:szCs w:val="18"/>
                <w:lang w:eastAsia="zh-CN"/>
              </w:rPr>
            </w:pPr>
            <w:r w:rsidRPr="00E27DF1">
              <w:rPr>
                <w:rFonts w:eastAsia="DengXian"/>
                <w:color w:val="FF0000"/>
                <w:sz w:val="18"/>
                <w:szCs w:val="18"/>
                <w:lang w:eastAsia="zh-CN"/>
              </w:rPr>
              <w:t>Qualcomm</w:t>
            </w:r>
          </w:p>
        </w:tc>
        <w:tc>
          <w:tcPr>
            <w:tcW w:w="8370" w:type="dxa"/>
          </w:tcPr>
          <w:p w14:paraId="1C8F67A4" w14:textId="5FA682CE" w:rsidR="00E27DF1" w:rsidRPr="00E27DF1" w:rsidRDefault="00E27DF1" w:rsidP="00E27DF1">
            <w:pPr>
              <w:spacing w:beforeLines="50" w:before="120"/>
              <w:ind w:firstLineChars="0" w:firstLine="0"/>
              <w:rPr>
                <w:color w:val="FF0000"/>
              </w:rPr>
            </w:pPr>
            <w:r w:rsidRPr="00E27DF1">
              <w:rPr>
                <w:color w:val="FF0000"/>
              </w:rPr>
              <w:t xml:space="preserve">This should be discussed in RAN2. Either way, we don’t have to </w:t>
            </w:r>
            <w:r>
              <w:rPr>
                <w:color w:val="FF0000"/>
              </w:rPr>
              <w:t>make a binary decision</w:t>
            </w:r>
            <w:r w:rsidRPr="00E27DF1">
              <w:rPr>
                <w:color w:val="FF0000"/>
              </w:rPr>
              <w:t xml:space="preserve"> in this meeting on this in RAN1. </w:t>
            </w:r>
          </w:p>
          <w:p w14:paraId="26F1F77F" w14:textId="778792A4" w:rsidR="00E27DF1" w:rsidRPr="00E27DF1" w:rsidRDefault="00E27DF1" w:rsidP="00E27DF1">
            <w:pPr>
              <w:spacing w:beforeLines="50" w:before="120"/>
              <w:ind w:firstLineChars="0" w:firstLine="0"/>
              <w:rPr>
                <w:color w:val="FF0000"/>
              </w:rPr>
            </w:pPr>
            <w:r w:rsidRPr="00E27DF1">
              <w:rPr>
                <w:color w:val="FF0000"/>
              </w:rPr>
              <w:t>In general, we don’t see a reason to change existing behavior for PDCCH monitoring. It appears to us</w:t>
            </w:r>
            <w:r>
              <w:rPr>
                <w:color w:val="FF0000"/>
              </w:rPr>
              <w:t xml:space="preserve"> (please correct, if we are mistaken)</w:t>
            </w:r>
            <w:r w:rsidRPr="00E27DF1">
              <w:rPr>
                <w:color w:val="FF0000"/>
              </w:rPr>
              <w:t xml:space="preserve">, that the proponents of the reduced monitoring want to disable monitoring for “other kinds of PDCCH”—otherwise, it seems that the definition of the </w:t>
            </w:r>
            <w:r>
              <w:rPr>
                <w:color w:val="FF0000"/>
              </w:rPr>
              <w:t xml:space="preserve">HARQ </w:t>
            </w:r>
            <w:r w:rsidRPr="00E27DF1">
              <w:rPr>
                <w:color w:val="FF0000"/>
              </w:rPr>
              <w:t xml:space="preserve">RTT timer already ensures that the PDCCH for the HARQ process in question isn’t monitored before </w:t>
            </w:r>
            <w:r>
              <w:rPr>
                <w:color w:val="FF0000"/>
              </w:rPr>
              <w:t>the timer expires</w:t>
            </w:r>
            <w:r w:rsidRPr="00E27DF1">
              <w:rPr>
                <w:color w:val="FF0000"/>
              </w:rPr>
              <w:t>.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DengXian"/>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 xml:space="preserve">The following points need to be considered before introducing reduced PDCCH monitoring procedure: (1) Even if UE would not need to monitor PDCCH scheduling for unicast </w:t>
            </w:r>
            <w:proofErr w:type="gramStart"/>
            <w:r w:rsidRPr="00A92364">
              <w:t>UL  data</w:t>
            </w:r>
            <w:proofErr w:type="gramEnd"/>
            <w:r w:rsidRPr="00A92364">
              <w:t>,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DengXian"/>
                <w:lang w:eastAsia="zh-CN"/>
              </w:rPr>
            </w:pPr>
            <w:r>
              <w:rPr>
                <w:rFonts w:eastAsia="DengXian" w:hint="eastAsia"/>
                <w:lang w:eastAsia="zh-CN"/>
              </w:rPr>
              <w:t xml:space="preserve">In general, the first option is acceptable.  For system </w:t>
            </w:r>
            <w:r>
              <w:rPr>
                <w:rFonts w:eastAsia="DengXian"/>
                <w:lang w:eastAsia="zh-CN"/>
              </w:rPr>
              <w:t>information</w:t>
            </w:r>
            <w:r>
              <w:rPr>
                <w:rFonts w:eastAsia="DengXian"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DengXian"/>
                <w:lang w:eastAsia="zh-CN"/>
              </w:rPr>
            </w:pPr>
            <w:r>
              <w:rPr>
                <w:rFonts w:eastAsia="DengXian"/>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DengXian"/>
                <w:lang w:eastAsia="zh-CN"/>
              </w:rPr>
            </w:pPr>
            <w:r>
              <w:rPr>
                <w:rFonts w:eastAsia="DengXian"/>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DengXian"/>
                <w:lang w:eastAsia="zh-CN"/>
              </w:rPr>
            </w:pPr>
            <w:r>
              <w:rPr>
                <w:rFonts w:eastAsia="DengXian"/>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DengXian"/>
                <w:lang w:eastAsia="zh-CN"/>
              </w:rPr>
            </w:pPr>
            <w:r>
              <w:rPr>
                <w:rFonts w:eastAsia="DengXian"/>
                <w:lang w:eastAsia="zh-CN"/>
              </w:rPr>
              <w:t>We prefer f</w:t>
            </w:r>
            <w:r w:rsidRPr="00D07421">
              <w:rPr>
                <w:rFonts w:eastAsia="DengXian"/>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DengXian"/>
                <w:lang w:eastAsia="zh-CN"/>
              </w:rPr>
            </w:pPr>
            <w:r>
              <w:rPr>
                <w:rFonts w:eastAsia="DengXian"/>
                <w:lang w:eastAsia="zh-CN"/>
              </w:rPr>
              <w:t>Power consumption should be the highest priority, but we are open to capture both in the TR.</w:t>
            </w:r>
          </w:p>
        </w:tc>
      </w:tr>
    </w:tbl>
    <w:p w14:paraId="725C8499" w14:textId="23D4D391" w:rsidR="00774F36" w:rsidRPr="004E5F59" w:rsidRDefault="00774F36" w:rsidP="00774F36">
      <w:pPr>
        <w:pStyle w:val="ListParagraph"/>
        <w:ind w:left="0" w:firstLineChars="0" w:firstLine="0"/>
        <w:rPr>
          <w:rFonts w:ascii="Times New Roman" w:hAnsi="Times New Roman"/>
          <w:sz w:val="20"/>
          <w:szCs w:val="20"/>
        </w:rPr>
      </w:pPr>
    </w:p>
    <w:p w14:paraId="36C52869" w14:textId="5D57C69B" w:rsidR="00774F36" w:rsidRDefault="00774F36" w:rsidP="00774F36">
      <w:pPr>
        <w:pStyle w:val="ListParagraph"/>
        <w:ind w:left="0" w:firstLineChars="0" w:firstLine="0"/>
        <w:rPr>
          <w:rFonts w:ascii="Times New Roman" w:hAnsi="Times New Roman"/>
          <w:sz w:val="20"/>
          <w:szCs w:val="20"/>
        </w:rPr>
      </w:pPr>
    </w:p>
    <w:p w14:paraId="0B6B03E0" w14:textId="481CDA1C" w:rsidR="00F12E3D" w:rsidRPr="00F12E3D" w:rsidRDefault="00F12E3D" w:rsidP="00774F36">
      <w:pPr>
        <w:pStyle w:val="ListParagraph"/>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ListParagraph"/>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ListParagraph"/>
        <w:ind w:left="0" w:firstLineChars="0" w:firstLine="0"/>
        <w:rPr>
          <w:rFonts w:ascii="Times New Roman" w:hAnsi="Times New Roman"/>
          <w:sz w:val="20"/>
          <w:szCs w:val="20"/>
        </w:rPr>
      </w:pPr>
    </w:p>
    <w:tbl>
      <w:tblPr>
        <w:tblStyle w:val="TableGrid"/>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DengXian"/>
                <w:sz w:val="18"/>
                <w:szCs w:val="18"/>
                <w:lang w:eastAsia="zh-CN"/>
              </w:rPr>
            </w:pPr>
            <w:r>
              <w:rPr>
                <w:rFonts w:eastAsia="DengXian"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DengXian"/>
                <w:lang w:eastAsia="zh-CN"/>
              </w:rPr>
            </w:pPr>
            <w:r>
              <w:rPr>
                <w:rFonts w:eastAsia="DengXian"/>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DengXian"/>
                <w:lang w:eastAsia="zh-CN"/>
              </w:rPr>
            </w:pPr>
            <w:r>
              <w:rPr>
                <w:rFonts w:eastAsia="DengXian"/>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DengXian"/>
                <w:lang w:eastAsia="zh-CN"/>
              </w:rPr>
            </w:pPr>
            <w:r>
              <w:rPr>
                <w:rFonts w:eastAsia="DengXian" w:hint="eastAsia"/>
                <w:lang w:eastAsia="zh-CN"/>
              </w:rPr>
              <w:t>S</w:t>
            </w:r>
            <w:r>
              <w:rPr>
                <w:rFonts w:eastAsia="DengXian"/>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DengXian"/>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B70F28"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1803A1" w:rsidRDefault="001803A1" w:rsidP="00136A58">
            <w:pPr>
              <w:snapToGrid w:val="0"/>
              <w:ind w:firstLineChars="0" w:firstLine="0"/>
              <w:jc w:val="left"/>
              <w:rPr>
                <w:rFonts w:eastAsia="DengXian"/>
                <w:color w:val="FF0000"/>
                <w:sz w:val="18"/>
                <w:szCs w:val="18"/>
                <w:lang w:eastAsia="zh-CN"/>
              </w:rPr>
            </w:pPr>
            <w:r w:rsidRPr="001803A1">
              <w:rPr>
                <w:rFonts w:eastAsia="DengXian"/>
                <w:color w:val="FF0000"/>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Default="001803A1" w:rsidP="00136A58">
            <w:pPr>
              <w:spacing w:beforeLines="50" w:before="120"/>
              <w:ind w:firstLineChars="0" w:firstLine="0"/>
              <w:rPr>
                <w:color w:val="FF0000"/>
              </w:rPr>
            </w:pPr>
            <w:r w:rsidRPr="001803A1">
              <w:rPr>
                <w:color w:val="FF0000"/>
              </w:rPr>
              <w:t>Not sure about the exact proposal here; in general, the motivation for NTN-specific changes vis-à-vis TN (if that is the intent) isn’t apparent to us at this point.</w:t>
            </w:r>
          </w:p>
          <w:p w14:paraId="62687E3B" w14:textId="15D95754" w:rsidR="001803A1" w:rsidRPr="001803A1" w:rsidRDefault="001803A1" w:rsidP="00136A58">
            <w:pPr>
              <w:spacing w:beforeLines="50" w:before="120"/>
              <w:ind w:firstLineChars="0" w:firstLine="0"/>
              <w:rPr>
                <w:color w:val="FF0000"/>
              </w:rPr>
            </w:pPr>
            <w:r>
              <w:rPr>
                <w:color w:val="FF0000"/>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DengXian"/>
                <w:color w:val="FF0000"/>
                <w:sz w:val="18"/>
                <w:szCs w:val="18"/>
                <w:lang w:eastAsia="zh-CN"/>
              </w:rPr>
            </w:pPr>
            <w:r w:rsidRPr="00A92364">
              <w:rPr>
                <w:rFonts w:eastAsia="DengXi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DengXian"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DengXian"/>
                <w:sz w:val="18"/>
                <w:szCs w:val="18"/>
                <w:lang w:eastAsia="zh-CN"/>
              </w:rPr>
            </w:pPr>
            <w:r>
              <w:rPr>
                <w:rFonts w:eastAsia="DengXian"/>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DengXian"/>
                <w:lang w:eastAsia="zh-CN"/>
              </w:rPr>
            </w:pPr>
            <w:r>
              <w:rPr>
                <w:rFonts w:eastAsia="DengXian"/>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DengXian"/>
                <w:lang w:eastAsia="zh-CN"/>
              </w:rPr>
            </w:pPr>
            <w:r>
              <w:rPr>
                <w:rFonts w:eastAsia="DengXian"/>
                <w:lang w:eastAsia="zh-CN"/>
              </w:rPr>
              <w:t xml:space="preserve">We tend to agree with </w:t>
            </w:r>
            <w:proofErr w:type="spellStart"/>
            <w:r>
              <w:rPr>
                <w:rFonts w:eastAsia="DengXian"/>
                <w:lang w:eastAsia="zh-CN"/>
              </w:rPr>
              <w:t>MediaTek’s</w:t>
            </w:r>
            <w:proofErr w:type="spellEnd"/>
            <w:r>
              <w:rPr>
                <w:rFonts w:eastAsia="DengXian"/>
                <w:lang w:eastAsia="zh-CN"/>
              </w:rPr>
              <w:t xml:space="preserve">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ListParagraph"/>
        <w:ind w:left="0" w:firstLineChars="0" w:firstLine="0"/>
        <w:rPr>
          <w:rFonts w:ascii="Times New Roman" w:hAnsi="Times New Roman"/>
          <w:sz w:val="20"/>
          <w:szCs w:val="20"/>
        </w:rPr>
      </w:pPr>
    </w:p>
    <w:p w14:paraId="75169C4F" w14:textId="4673942C" w:rsidR="00F12E3D" w:rsidRDefault="00C32A9A" w:rsidP="00774F36">
      <w:pPr>
        <w:pStyle w:val="ListParagraph"/>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 xml:space="preserve">a summary </w:t>
      </w:r>
      <w:proofErr w:type="gramStart"/>
      <w:r w:rsidR="00454339">
        <w:rPr>
          <w:rFonts w:ascii="Times New Roman" w:hAnsi="Times New Roman"/>
          <w:sz w:val="20"/>
          <w:szCs w:val="20"/>
        </w:rPr>
        <w:t>follows</w:t>
      </w:r>
      <w:proofErr w:type="gramEnd"/>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ListParagraph"/>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RAN1 has</w:t>
      </w:r>
      <w:r>
        <w:t xml:space="preserve"> not</w:t>
      </w:r>
      <w:r>
        <w:t xml:space="preserve"> reached consensus to </w:t>
      </w:r>
      <w:r>
        <w:t>recommend enhancements to</w:t>
      </w:r>
      <w:r>
        <w:t xml:space="preserve">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ListParagraph"/>
        <w:ind w:left="0" w:firstLineChars="0" w:firstLine="0"/>
        <w:rPr>
          <w:rFonts w:ascii="Times New Roman" w:hAnsi="Times New Roman"/>
          <w:sz w:val="20"/>
          <w:szCs w:val="20"/>
        </w:rPr>
      </w:pPr>
    </w:p>
    <w:p w14:paraId="36A1070D" w14:textId="453B9402" w:rsidR="00C32A9A" w:rsidRDefault="00C32A9A" w:rsidP="00774F36">
      <w:pPr>
        <w:pStyle w:val="ListParagraph"/>
        <w:ind w:left="0" w:firstLineChars="0" w:firstLine="0"/>
        <w:rPr>
          <w:rFonts w:ascii="Times New Roman" w:hAnsi="Times New Roman"/>
          <w:sz w:val="20"/>
          <w:szCs w:val="20"/>
        </w:rPr>
      </w:pPr>
    </w:p>
    <w:p w14:paraId="19A9E207" w14:textId="080722D7" w:rsidR="00C32A9A" w:rsidRPr="0091396D" w:rsidRDefault="00C32A9A" w:rsidP="00774F36">
      <w:pPr>
        <w:pStyle w:val="ListParagraph"/>
        <w:ind w:left="0" w:firstLineChars="0" w:firstLine="0"/>
        <w:rPr>
          <w:rFonts w:ascii="Times" w:hAnsi="Times" w:cs="Times"/>
          <w:b/>
          <w:sz w:val="20"/>
          <w:szCs w:val="20"/>
          <w:highlight w:val="yellow"/>
        </w:rPr>
      </w:pPr>
      <w:r w:rsidRPr="0091396D">
        <w:rPr>
          <w:rFonts w:ascii="Times" w:hAnsi="Times" w:cs="Times"/>
          <w:b/>
          <w:sz w:val="20"/>
          <w:szCs w:val="20"/>
          <w:highlight w:val="yellow"/>
        </w:rPr>
        <w:t>Proposal 2.</w:t>
      </w:r>
    </w:p>
    <w:p w14:paraId="145E949D" w14:textId="209F0A92" w:rsidR="00C32A9A" w:rsidRPr="0091396D" w:rsidRDefault="00454339" w:rsidP="00C32A9A">
      <w:pPr>
        <w:ind w:firstLineChars="0" w:firstLine="0"/>
        <w:rPr>
          <w:rFonts w:ascii="Times" w:hAnsi="Times" w:cs="Times"/>
          <w:b/>
          <w:lang w:eastAsia="en-US"/>
        </w:rPr>
      </w:pPr>
      <w:r w:rsidRPr="0091396D">
        <w:rPr>
          <w:rFonts w:ascii="Times" w:hAnsi="Times" w:cs="Times"/>
          <w:b/>
          <w:highlight w:val="yellow"/>
        </w:rPr>
        <w:t xml:space="preserve">For NB-IoT and eMTC in NTN, </w:t>
      </w:r>
      <w:r w:rsidR="00C32A9A" w:rsidRPr="0091396D">
        <w:rPr>
          <w:rFonts w:ascii="Times" w:hAnsi="Times" w:cs="Times"/>
          <w:b/>
          <w:highlight w:val="yellow"/>
        </w:rPr>
        <w:t>RAN1 has</w:t>
      </w:r>
      <w:r w:rsidR="00C32A9A" w:rsidRPr="0091396D">
        <w:rPr>
          <w:rFonts w:ascii="Times" w:hAnsi="Times" w:cs="Times"/>
          <w:b/>
          <w:highlight w:val="yellow"/>
        </w:rPr>
        <w:t xml:space="preserve"> not reached </w:t>
      </w:r>
      <w:r w:rsidR="00C32A9A" w:rsidRPr="0091396D">
        <w:rPr>
          <w:rFonts w:ascii="Times" w:hAnsi="Times" w:cs="Times"/>
          <w:b/>
          <w:highlight w:val="yellow"/>
        </w:rPr>
        <w:t xml:space="preserve">consensus to </w:t>
      </w:r>
      <w:r w:rsidR="00C32A9A" w:rsidRPr="0091396D">
        <w:rPr>
          <w:rFonts w:ascii="Times" w:hAnsi="Times" w:cs="Times"/>
          <w:b/>
          <w:highlight w:val="yellow"/>
        </w:rPr>
        <w:t xml:space="preserve">recommend enhancements to </w:t>
      </w:r>
      <w:r w:rsidR="00C32A9A" w:rsidRPr="0091396D">
        <w:rPr>
          <w:rFonts w:ascii="Times" w:hAnsi="Times" w:cs="Times"/>
          <w:b/>
          <w:highlight w:val="yellow"/>
        </w:rPr>
        <w:t xml:space="preserve">the Rel-16 procedure for the monitoring of a PDCCH which indicates </w:t>
      </w:r>
      <w:r w:rsidRPr="0091396D">
        <w:rPr>
          <w:rFonts w:ascii="Times" w:hAnsi="Times" w:cs="Times"/>
          <w:b/>
          <w:highlight w:val="yellow"/>
        </w:rPr>
        <w:t>an</w:t>
      </w:r>
      <w:r w:rsidR="00C32A9A" w:rsidRPr="0091396D">
        <w:rPr>
          <w:rFonts w:ascii="Times" w:hAnsi="Times" w:cs="Times"/>
          <w:b/>
          <w:highlight w:val="yellow"/>
        </w:rPr>
        <w:t xml:space="preserve"> ACK/NACK after transmission of a PUSCH.</w:t>
      </w:r>
    </w:p>
    <w:p w14:paraId="67438C24" w14:textId="10E37A1B" w:rsidR="0091396D" w:rsidRPr="0091396D" w:rsidRDefault="0091396D" w:rsidP="0091396D">
      <w:pPr>
        <w:pStyle w:val="ListParagraph"/>
        <w:numPr>
          <w:ilvl w:val="0"/>
          <w:numId w:val="25"/>
        </w:numPr>
        <w:ind w:firstLineChars="0"/>
        <w:rPr>
          <w:rFonts w:ascii="Times" w:hAnsi="Times" w:cs="Times"/>
          <w:b/>
          <w:sz w:val="20"/>
          <w:szCs w:val="20"/>
        </w:rPr>
      </w:pPr>
      <w:r w:rsidRPr="0091396D">
        <w:rPr>
          <w:rFonts w:ascii="Times" w:hAnsi="Times" w:cs="Times"/>
          <w:b/>
          <w:sz w:val="20"/>
          <w:szCs w:val="20"/>
          <w:highlight w:val="yellow"/>
        </w:rPr>
        <w:t>The above is included in the TR.</w:t>
      </w:r>
      <w:r w:rsidRPr="0091396D">
        <w:rPr>
          <w:rFonts w:ascii="Times" w:hAnsi="Times" w:cs="Times"/>
          <w:b/>
          <w:sz w:val="20"/>
          <w:szCs w:val="20"/>
        </w:rPr>
        <w:t xml:space="preserve"> </w:t>
      </w:r>
    </w:p>
    <w:p w14:paraId="14D03BD8" w14:textId="18330DF6" w:rsidR="00C32A9A" w:rsidRDefault="00C32A9A" w:rsidP="00774F36">
      <w:pPr>
        <w:pStyle w:val="ListParagraph"/>
        <w:ind w:left="0" w:firstLineChars="0" w:firstLine="0"/>
        <w:rPr>
          <w:rFonts w:ascii="Times New Roman" w:hAnsi="Times New Roman"/>
          <w:sz w:val="20"/>
          <w:szCs w:val="20"/>
        </w:rPr>
      </w:pPr>
    </w:p>
    <w:p w14:paraId="38BB4ED4" w14:textId="77777777" w:rsidR="00454339" w:rsidRDefault="00454339" w:rsidP="00774F36">
      <w:pPr>
        <w:pStyle w:val="ListParagraph"/>
        <w:ind w:left="0" w:firstLineChars="0" w:firstLine="0"/>
        <w:rPr>
          <w:rFonts w:ascii="Times New Roman" w:hAnsi="Times New Roman"/>
          <w:b/>
          <w:sz w:val="20"/>
          <w:szCs w:val="20"/>
          <w:highlight w:val="yellow"/>
        </w:rPr>
      </w:pPr>
      <w:r>
        <w:rPr>
          <w:rFonts w:ascii="Times New Roman" w:hAnsi="Times New Roman"/>
          <w:b/>
          <w:sz w:val="20"/>
          <w:szCs w:val="20"/>
          <w:highlight w:val="yellow"/>
        </w:rPr>
        <w:t>Proposal 3.</w:t>
      </w:r>
    </w:p>
    <w:p w14:paraId="79AB438C" w14:textId="55C19B7D" w:rsidR="00454339" w:rsidRPr="00454339" w:rsidRDefault="00454339" w:rsidP="00774F36">
      <w:pPr>
        <w:pStyle w:val="ListParagraph"/>
        <w:ind w:left="0" w:firstLineChars="0" w:firstLine="0"/>
        <w:rPr>
          <w:rFonts w:ascii="Times New Roman" w:hAnsi="Times New Roman"/>
          <w:b/>
          <w:sz w:val="20"/>
          <w:szCs w:val="20"/>
        </w:rPr>
      </w:pPr>
      <w:r w:rsidRPr="00454339">
        <w:rPr>
          <w:rFonts w:ascii="Times New Roman" w:hAnsi="Times New Roman"/>
          <w:b/>
          <w:sz w:val="20"/>
          <w:szCs w:val="20"/>
          <w:highlight w:val="yellow"/>
        </w:rPr>
        <w:t xml:space="preserve">Further discuss whether the following text </w:t>
      </w:r>
      <w:r w:rsidR="0091396D">
        <w:rPr>
          <w:rFonts w:ascii="Times New Roman" w:hAnsi="Times New Roman"/>
          <w:b/>
          <w:sz w:val="20"/>
          <w:szCs w:val="20"/>
          <w:highlight w:val="yellow"/>
        </w:rPr>
        <w:t>is</w:t>
      </w:r>
      <w:r w:rsidRPr="00454339">
        <w:rPr>
          <w:rFonts w:ascii="Times New Roman" w:hAnsi="Times New Roman"/>
          <w:b/>
          <w:sz w:val="20"/>
          <w:szCs w:val="20"/>
          <w:highlight w:val="yellow"/>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77777777" w:rsidR="00454339" w:rsidRPr="00C32A9A" w:rsidRDefault="00454339" w:rsidP="00454339">
      <w:pPr>
        <w:pStyle w:val="ListParagraph"/>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49BFD99" w14:textId="77777777" w:rsidR="00454339" w:rsidRDefault="00454339" w:rsidP="00774F36">
      <w:pPr>
        <w:pStyle w:val="ListParagraph"/>
        <w:ind w:left="0" w:firstLineChars="0" w:firstLine="0"/>
        <w:rPr>
          <w:rFonts w:ascii="Times New Roman" w:hAnsi="Times New Roman"/>
          <w:sz w:val="20"/>
          <w:szCs w:val="20"/>
        </w:rPr>
      </w:pPr>
    </w:p>
    <w:p w14:paraId="010B2C56" w14:textId="77777777" w:rsidR="00C32A9A" w:rsidRDefault="00C32A9A" w:rsidP="00774F36">
      <w:pPr>
        <w:pStyle w:val="ListParagraph"/>
        <w:ind w:left="0" w:firstLineChars="0" w:firstLine="0"/>
        <w:rPr>
          <w:rFonts w:ascii="Times New Roman" w:hAnsi="Times New Roman"/>
          <w:sz w:val="20"/>
          <w:szCs w:val="20"/>
        </w:rPr>
      </w:pPr>
    </w:p>
    <w:p w14:paraId="6882885C" w14:textId="77777777" w:rsidR="00F12E3D" w:rsidRPr="00742E0E" w:rsidRDefault="00F12E3D" w:rsidP="00774F36">
      <w:pPr>
        <w:pStyle w:val="ListParagraph"/>
        <w:ind w:left="0" w:firstLineChars="0" w:firstLine="0"/>
        <w:rPr>
          <w:rFonts w:ascii="Times New Roman" w:hAnsi="Times New Roman"/>
          <w:sz w:val="20"/>
          <w:szCs w:val="20"/>
        </w:rPr>
      </w:pPr>
    </w:p>
    <w:p w14:paraId="5BA4CC4B" w14:textId="77777777" w:rsidR="00FD3874" w:rsidRPr="007937E5" w:rsidRDefault="00FD3874" w:rsidP="00FD3874">
      <w:pPr>
        <w:pStyle w:val="Heading2"/>
        <w:ind w:left="576"/>
        <w:rPr>
          <w:lang w:val="en-US"/>
        </w:rPr>
      </w:pPr>
      <w:r>
        <w:rPr>
          <w:lang w:eastAsia="x-none"/>
        </w:rPr>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3441B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3"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3441B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4"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ListParagraph"/>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ListParagraph"/>
        <w:numPr>
          <w:ilvl w:val="0"/>
          <w:numId w:val="21"/>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TableGrid"/>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SimSun"/>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DengXian"/>
                <w:sz w:val="18"/>
                <w:szCs w:val="18"/>
                <w:lang w:eastAsia="zh-CN"/>
              </w:rPr>
            </w:pPr>
            <w:r>
              <w:rPr>
                <w:rFonts w:eastAsia="DengXian"/>
                <w:sz w:val="18"/>
                <w:szCs w:val="18"/>
                <w:lang w:eastAsia="zh-CN"/>
              </w:rPr>
              <w:lastRenderedPageBreak/>
              <w:t>CMCC</w:t>
            </w:r>
          </w:p>
        </w:tc>
        <w:tc>
          <w:tcPr>
            <w:tcW w:w="8280" w:type="dxa"/>
            <w:hideMark/>
          </w:tcPr>
          <w:p w14:paraId="429437FF" w14:textId="00C9F065" w:rsidR="004E5F59" w:rsidRDefault="004E5F59" w:rsidP="004E5F59">
            <w:pPr>
              <w:snapToGrid w:val="0"/>
              <w:ind w:firstLineChars="0" w:firstLine="0"/>
              <w:jc w:val="left"/>
              <w:rPr>
                <w:rFonts w:eastAsia="DengXian"/>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DengXian"/>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DengXian"/>
                <w:lang w:eastAsia="zh-CN"/>
              </w:rPr>
            </w:pPr>
            <w:r>
              <w:rPr>
                <w:rFonts w:eastAsia="DengXian"/>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 xml:space="preserve">If HARQ feedback disabling is not supported in </w:t>
            </w:r>
            <w:proofErr w:type="spellStart"/>
            <w:r>
              <w:t>Rel</w:t>
            </w:r>
            <w:proofErr w:type="spellEnd"/>
            <w:r>
              <w:t xml:space="preserve">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DengXian"/>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DengXian"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DengXian"/>
                <w:sz w:val="18"/>
                <w:szCs w:val="18"/>
                <w:lang w:eastAsia="zh-CN"/>
              </w:rPr>
            </w:pPr>
            <w:r>
              <w:rPr>
                <w:rFonts w:eastAsia="DengXian" w:hint="eastAsia"/>
                <w:sz w:val="18"/>
                <w:szCs w:val="18"/>
                <w:lang w:eastAsia="zh-CN"/>
              </w:rPr>
              <w:t>No need</w:t>
            </w:r>
            <w:r>
              <w:rPr>
                <w:rFonts w:eastAsia="DengXian"/>
                <w:sz w:val="18"/>
                <w:szCs w:val="18"/>
                <w:lang w:eastAsia="zh-CN"/>
              </w:rPr>
              <w:t xml:space="preserve"> to have</w:t>
            </w:r>
            <w:r>
              <w:rPr>
                <w:rFonts w:eastAsia="DengXian"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SONY</w:t>
            </w:r>
            <w:r w:rsidR="000C3044">
              <w:rPr>
                <w:rFonts w:eastAsia="DengXian"/>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DengXian"/>
                <w:sz w:val="18"/>
                <w:szCs w:val="18"/>
                <w:lang w:eastAsia="zh-CN"/>
              </w:rPr>
            </w:pPr>
            <w:r>
              <w:rPr>
                <w:rFonts w:eastAsia="DengXian"/>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DengXian"/>
                <w:sz w:val="18"/>
                <w:szCs w:val="18"/>
                <w:lang w:eastAsia="zh-CN"/>
              </w:rPr>
            </w:pPr>
            <w:r>
              <w:rPr>
                <w:rFonts w:eastAsia="DengXian"/>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DengXian"/>
                <w:sz w:val="18"/>
                <w:szCs w:val="18"/>
                <w:lang w:eastAsia="zh-CN"/>
              </w:rPr>
            </w:pPr>
            <w:r>
              <w:rPr>
                <w:rFonts w:eastAsia="DengXian"/>
                <w:sz w:val="18"/>
                <w:szCs w:val="18"/>
                <w:lang w:eastAsia="zh-CN"/>
              </w:rPr>
              <w:t>Agree with moderator’s proposal for Release 17. Optimizations are good to capture for future post-</w:t>
            </w:r>
            <w:proofErr w:type="spellStart"/>
            <w:r>
              <w:rPr>
                <w:rFonts w:eastAsia="DengXian"/>
                <w:sz w:val="18"/>
                <w:szCs w:val="18"/>
                <w:lang w:eastAsia="zh-CN"/>
              </w:rPr>
              <w:t>Rel</w:t>
            </w:r>
            <w:proofErr w:type="spellEnd"/>
            <w:r>
              <w:rPr>
                <w:rFonts w:eastAsia="DengXian"/>
                <w:sz w:val="18"/>
                <w:szCs w:val="18"/>
                <w:lang w:eastAsia="zh-CN"/>
              </w:rPr>
              <w:t xml:space="preserve">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280" w:type="dxa"/>
          </w:tcPr>
          <w:p w14:paraId="345B23BF" w14:textId="5601338C" w:rsidR="00130C5E" w:rsidRDefault="00130C5E" w:rsidP="00130C5E">
            <w:pPr>
              <w:snapToGrid w:val="0"/>
              <w:ind w:firstLineChars="0" w:firstLine="0"/>
              <w:jc w:val="left"/>
              <w:rPr>
                <w:rFonts w:eastAsia="DengXian"/>
                <w:sz w:val="18"/>
                <w:szCs w:val="18"/>
                <w:lang w:eastAsia="zh-CN"/>
              </w:rPr>
            </w:pPr>
            <w:r w:rsidRPr="00130C5E">
              <w:rPr>
                <w:rFonts w:eastAsia="DengXian"/>
                <w:lang w:eastAsia="zh-CN"/>
              </w:rPr>
              <w:t>Considering limited time in R17 IoT NTN,</w:t>
            </w:r>
            <w:r>
              <w:rPr>
                <w:rFonts w:eastAsia="DengXian"/>
                <w:lang w:eastAsia="zh-CN"/>
              </w:rPr>
              <w:t xml:space="preserve"> we agree with moderator’s conclusions</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r w:rsidRPr="0013215D">
        <w:rPr>
          <w:b/>
          <w:highlight w:val="yellow"/>
        </w:rPr>
        <w:t>.</w:t>
      </w:r>
    </w:p>
    <w:p w14:paraId="4AABD75D" w14:textId="4EAB5A45" w:rsidR="0092076D" w:rsidRPr="0092076D" w:rsidRDefault="0092076D" w:rsidP="0092076D">
      <w:pPr>
        <w:pStyle w:val="ListParagraph"/>
        <w:numPr>
          <w:ilvl w:val="0"/>
          <w:numId w:val="32"/>
        </w:numPr>
        <w:ind w:firstLineChars="0"/>
        <w:rPr>
          <w:rFonts w:ascii="Times" w:eastAsia="DengXian"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w:t>
      </w:r>
      <w:r w:rsidR="002C2DD1" w:rsidRPr="0092076D">
        <w:rPr>
          <w:rFonts w:ascii="Times" w:hAnsi="Times" w:cs="Times"/>
          <w:b/>
          <w:sz w:val="20"/>
          <w:szCs w:val="20"/>
          <w:highlight w:val="yellow"/>
        </w:rPr>
        <w:t xml:space="preserve">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w:t>
      </w:r>
      <w:r w:rsidR="002C2DD1" w:rsidRPr="0092076D">
        <w:rPr>
          <w:rFonts w:ascii="Times" w:hAnsi="Times" w:cs="Times"/>
          <w:b/>
          <w:sz w:val="20"/>
          <w:szCs w:val="20"/>
          <w:highlight w:val="yellow"/>
        </w:rPr>
        <w:t xml:space="preserve">the network </w:t>
      </w:r>
      <w:r w:rsidR="002C2DD1" w:rsidRPr="0092076D">
        <w:rPr>
          <w:rFonts w:ascii="Times" w:hAnsi="Times" w:cs="Times"/>
          <w:b/>
          <w:sz w:val="20"/>
          <w:szCs w:val="20"/>
          <w:highlight w:val="yellow"/>
        </w:rPr>
        <w:t xml:space="preserve">that </w:t>
      </w:r>
      <w:r w:rsidR="002C2DD1" w:rsidRPr="0092076D">
        <w:rPr>
          <w:rFonts w:ascii="Times" w:hAnsi="Times" w:cs="Times"/>
          <w:b/>
          <w:sz w:val="20"/>
          <w:szCs w:val="20"/>
          <w:highlight w:val="yellow"/>
        </w:rPr>
        <w:t>a sufficient number of repetitions has been transmitted</w:t>
      </w:r>
      <w:r w:rsidR="002C2DD1" w:rsidRPr="0092076D">
        <w:rPr>
          <w:rFonts w:ascii="Times" w:hAnsi="Times" w:cs="Times"/>
          <w:b/>
          <w:sz w:val="20"/>
          <w:szCs w:val="20"/>
          <w:highlight w:val="yellow"/>
        </w:rPr>
        <w:t xml:space="preserve">, </w:t>
      </w:r>
      <w:r w:rsidR="002C2DD1" w:rsidRPr="0092076D">
        <w:rPr>
          <w:rFonts w:ascii="Times" w:eastAsia="DengXian" w:hAnsi="Times" w:cs="Times"/>
          <w:b/>
          <w:sz w:val="20"/>
          <w:szCs w:val="20"/>
          <w:highlight w:val="yellow"/>
        </w:rPr>
        <w:t xml:space="preserve">requested number of repetition, BLER-based triggering or bundling of feedback, </w:t>
      </w:r>
      <w:r w:rsidR="002C2DD1" w:rsidRPr="0092076D">
        <w:rPr>
          <w:rFonts w:ascii="Times" w:eastAsia="DengXian" w:hAnsi="Times" w:cs="Times"/>
          <w:b/>
          <w:sz w:val="20"/>
          <w:szCs w:val="20"/>
          <w:highlight w:val="yellow"/>
        </w:rPr>
        <w:t>buffer status, enabling/disabling HARQ feedback</w:t>
      </w:r>
      <w:r w:rsidRPr="0092076D">
        <w:rPr>
          <w:rFonts w:ascii="Times" w:eastAsia="DengXian" w:hAnsi="Times" w:cs="Times"/>
          <w:b/>
          <w:sz w:val="20"/>
          <w:szCs w:val="20"/>
          <w:highlight w:val="yellow"/>
        </w:rPr>
        <w:t>, etc.)</w:t>
      </w:r>
    </w:p>
    <w:p w14:paraId="7F7FC297" w14:textId="57CC10C2" w:rsidR="002C2DD1" w:rsidRPr="0092076D" w:rsidRDefault="0092076D" w:rsidP="0092076D">
      <w:pPr>
        <w:pStyle w:val="ListParagraph"/>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77777777" w:rsidR="002C2DD1" w:rsidRPr="004E5F59" w:rsidRDefault="002C2DD1" w:rsidP="0092076D">
      <w:pPr>
        <w:ind w:firstLineChars="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3441B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5"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BodyText"/>
              <w:spacing w:before="0" w:after="0" w:line="240" w:lineRule="auto"/>
              <w:ind w:firstLineChars="0" w:firstLine="0"/>
              <w:rPr>
                <w:rFonts w:eastAsia="SimSun"/>
                <w:iCs/>
              </w:rPr>
            </w:pPr>
            <w:r w:rsidRPr="00DF6205">
              <w:rPr>
                <w:rFonts w:eastAsiaTheme="minorEastAsia"/>
                <w:b/>
                <w:iCs/>
                <w:lang w:eastAsia="zh-CN"/>
              </w:rPr>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t>R1-2105185</w:t>
            </w:r>
          </w:p>
          <w:p w14:paraId="5F6B99A2"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lastRenderedPageBreak/>
              <w:t>RAN1 discussed the feasibility of the following schemes to guarantee performance when a UE changes cell or beam:</w:t>
            </w:r>
          </w:p>
          <w:p w14:paraId="65EB0BCC" w14:textId="77777777" w:rsidR="0064031F" w:rsidRPr="005C0A93" w:rsidRDefault="0064031F"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3441B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6" w:history="1">
              <w:r w:rsidR="0064031F" w:rsidRPr="00953F5D">
                <w:rPr>
                  <w:rStyle w:val="Hyperlink"/>
                  <w:rFonts w:ascii="Times" w:hAnsi="Times" w:cs="Times"/>
                  <w:color w:val="000000" w:themeColor="text1"/>
                  <w:u w:val="none"/>
                  <w:lang w:eastAsia="x-none"/>
                </w:rPr>
                <w:t>R1-210</w:t>
              </w:r>
              <w:r w:rsidR="0064031F">
                <w:rPr>
                  <w:rStyle w:val="Hyperlink"/>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TableGrid"/>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w:t>
            </w:r>
            <w:proofErr w:type="spellStart"/>
            <w:r w:rsidR="00437A5F">
              <w:rPr>
                <w:sz w:val="18"/>
                <w:szCs w:val="18"/>
              </w:rPr>
              <w:t>beamwidth</w:t>
            </w:r>
            <w:proofErr w:type="spellEnd"/>
            <w:r w:rsidR="00437A5F">
              <w:rPr>
                <w:sz w:val="18"/>
                <w:szCs w:val="18"/>
              </w:rPr>
              <w:t xml:space="preserve">. In this case, the UE can still </w:t>
            </w:r>
            <w:r w:rsidR="00FB2FEE">
              <w:rPr>
                <w:sz w:val="18"/>
                <w:szCs w:val="18"/>
              </w:rPr>
              <w:t>complete</w:t>
            </w:r>
            <w:r w:rsidR="00437A5F">
              <w:rPr>
                <w:sz w:val="18"/>
                <w:szCs w:val="18"/>
              </w:rPr>
              <w:t xml:space="preserve"> the transmission before  cell/beam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DengXian"/>
                <w:sz w:val="18"/>
                <w:szCs w:val="18"/>
                <w:lang w:eastAsia="zh-CN"/>
              </w:rPr>
            </w:pPr>
            <w:r>
              <w:rPr>
                <w:rFonts w:eastAsia="DengXian"/>
                <w:sz w:val="18"/>
                <w:szCs w:val="18"/>
                <w:lang w:eastAsia="zh-CN"/>
              </w:rPr>
              <w:t xml:space="preserve">We agree to address the issue and potential </w:t>
            </w:r>
            <w:r>
              <w:rPr>
                <w:rFonts w:eastAsia="DengXian" w:hint="eastAsia"/>
                <w:sz w:val="18"/>
                <w:szCs w:val="18"/>
                <w:lang w:eastAsia="zh-CN"/>
              </w:rPr>
              <w:t>solutions</w:t>
            </w:r>
            <w:r>
              <w:rPr>
                <w:rFonts w:eastAsia="DengXian"/>
                <w:sz w:val="18"/>
                <w:szCs w:val="18"/>
                <w:lang w:eastAsia="zh-CN"/>
              </w:rPr>
              <w:t xml:space="preserve"> </w:t>
            </w:r>
            <w:r>
              <w:rPr>
                <w:rFonts w:eastAsia="DengXian" w:hint="eastAsia"/>
                <w:sz w:val="18"/>
                <w:szCs w:val="18"/>
                <w:lang w:eastAsia="zh-CN"/>
              </w:rPr>
              <w:t>in</w:t>
            </w:r>
            <w:r>
              <w:rPr>
                <w:rFonts w:eastAsia="DengXian"/>
                <w:sz w:val="18"/>
                <w:szCs w:val="18"/>
                <w:lang w:eastAsia="zh-CN"/>
              </w:rPr>
              <w:t xml:space="preserve"> </w:t>
            </w:r>
            <w:r>
              <w:rPr>
                <w:rFonts w:eastAsia="DengXian" w:hint="eastAsia"/>
                <w:sz w:val="18"/>
                <w:szCs w:val="18"/>
                <w:lang w:eastAsia="zh-CN"/>
              </w:rPr>
              <w:t>TR.</w:t>
            </w:r>
            <w:r>
              <w:rPr>
                <w:rFonts w:eastAsia="DengXian"/>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DengXian"/>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DengXian"/>
                <w:sz w:val="18"/>
                <w:szCs w:val="18"/>
                <w:lang w:eastAsia="zh-CN"/>
              </w:rPr>
              <w:t xml:space="preserve">Regarding serving cell change issue, the feasibility on implementation-based solutions, such as </w:t>
            </w:r>
            <w:r>
              <w:rPr>
                <w:sz w:val="18"/>
                <w:szCs w:val="18"/>
              </w:rPr>
              <w:t xml:space="preserve">scheduling optimization, </w:t>
            </w:r>
            <w:r>
              <w:rPr>
                <w:rFonts w:eastAsia="DengXian"/>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O</w:t>
            </w:r>
            <w:r>
              <w:rPr>
                <w:rFonts w:eastAsia="DengXian"/>
                <w:lang w:eastAsia="zh-CN"/>
              </w:rPr>
              <w:t>PPO</w:t>
            </w:r>
          </w:p>
        </w:tc>
        <w:tc>
          <w:tcPr>
            <w:tcW w:w="8370" w:type="dxa"/>
          </w:tcPr>
          <w:p w14:paraId="7EA20A28" w14:textId="53028604" w:rsidR="00136A58" w:rsidRDefault="00136A58" w:rsidP="00136A58">
            <w:pPr>
              <w:snapToGrid w:val="0"/>
              <w:ind w:firstLineChars="0" w:firstLine="0"/>
              <w:jc w:val="left"/>
              <w:rPr>
                <w:rFonts w:eastAsia="DengXian"/>
                <w:sz w:val="18"/>
                <w:szCs w:val="18"/>
                <w:lang w:eastAsia="zh-CN"/>
              </w:rPr>
            </w:pPr>
            <w:r>
              <w:rPr>
                <w:rFonts w:eastAsia="DengXian" w:hint="eastAsia"/>
                <w:lang w:eastAsia="zh-CN"/>
              </w:rPr>
              <w:t>W</w:t>
            </w:r>
            <w:r>
              <w:rPr>
                <w:rFonts w:eastAsia="DengXian"/>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DengXian"/>
                <w:lang w:eastAsia="zh-CN"/>
              </w:rPr>
            </w:pPr>
            <w:r>
              <w:rPr>
                <w:rFonts w:eastAsia="DengXian"/>
                <w:sz w:val="18"/>
                <w:szCs w:val="18"/>
                <w:lang w:eastAsia="zh-CN"/>
              </w:rPr>
              <w:t>Huawei, HiSilicon</w:t>
            </w:r>
          </w:p>
        </w:tc>
        <w:tc>
          <w:tcPr>
            <w:tcW w:w="8370" w:type="dxa"/>
          </w:tcPr>
          <w:p w14:paraId="51B20D14" w14:textId="0404CA55" w:rsidR="007C2DB6" w:rsidRDefault="007C2DB6" w:rsidP="007C2DB6">
            <w:pPr>
              <w:snapToGrid w:val="0"/>
              <w:ind w:firstLineChars="0" w:firstLine="0"/>
              <w:jc w:val="left"/>
              <w:rPr>
                <w:rFonts w:eastAsia="DengXian"/>
                <w:lang w:eastAsia="zh-CN"/>
              </w:rPr>
            </w:pPr>
            <w:r>
              <w:rPr>
                <w:rFonts w:eastAsia="DengXian"/>
                <w:lang w:eastAsia="zh-CN"/>
              </w:rPr>
              <w:t>As this requires RAN2 involve</w:t>
            </w:r>
            <w:r w:rsidRPr="000862C0">
              <w:rPr>
                <w:rFonts w:eastAsia="DengXian"/>
                <w:lang w:eastAsia="zh-CN"/>
              </w:rPr>
              <w:t xml:space="preserve">ment we cannot see how a feasible conclusion can be reached in the </w:t>
            </w:r>
            <w:r>
              <w:rPr>
                <w:rFonts w:eastAsia="DengXian"/>
                <w:lang w:eastAsia="zh-CN"/>
              </w:rPr>
              <w:t xml:space="preserve">very </w:t>
            </w:r>
            <w:r w:rsidRPr="000862C0">
              <w:rPr>
                <w:rFonts w:eastAsia="DengXian"/>
                <w:lang w:eastAsia="zh-CN"/>
              </w:rPr>
              <w:t>limited time available.</w:t>
            </w:r>
            <w:r>
              <w:rPr>
                <w:rFonts w:eastAsia="DengXian"/>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DengXian"/>
                <w:sz w:val="18"/>
                <w:szCs w:val="18"/>
                <w:lang w:eastAsia="zh-CN"/>
              </w:rPr>
            </w:pPr>
            <w:r w:rsidRPr="004178B2">
              <w:rPr>
                <w:sz w:val="18"/>
                <w:szCs w:val="18"/>
              </w:rPr>
              <w:lastRenderedPageBreak/>
              <w:t>Apple</w:t>
            </w:r>
          </w:p>
        </w:tc>
        <w:tc>
          <w:tcPr>
            <w:tcW w:w="8370" w:type="dxa"/>
          </w:tcPr>
          <w:p w14:paraId="37FE7895" w14:textId="192CEEAF" w:rsidR="004711A1" w:rsidRDefault="004711A1" w:rsidP="004711A1">
            <w:pPr>
              <w:snapToGrid w:val="0"/>
              <w:ind w:firstLineChars="0" w:firstLine="0"/>
              <w:jc w:val="left"/>
              <w:rPr>
                <w:rFonts w:eastAsia="DengXian"/>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 xml:space="preserve">To make the system work, this issue should be studied and captured in TR 36.763, where solution(s) should be added in </w:t>
            </w:r>
            <w:proofErr w:type="spellStart"/>
            <w:r w:rsidRPr="00802504">
              <w:rPr>
                <w:sz w:val="18"/>
                <w:szCs w:val="18"/>
              </w:rPr>
              <w:t>Rel</w:t>
            </w:r>
            <w:proofErr w:type="spellEnd"/>
            <w:r w:rsidRPr="00802504">
              <w:rPr>
                <w:sz w:val="18"/>
                <w:szCs w:val="18"/>
              </w:rPr>
              <w:t xml:space="preserve">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DengXian"/>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DengXian"/>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DengXian"/>
                <w:lang w:eastAsia="zh-CN"/>
              </w:rPr>
            </w:pPr>
            <w:r>
              <w:rPr>
                <w:rFonts w:eastAsia="DengXian"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DengXian"/>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DengXian"/>
                <w:sz w:val="18"/>
                <w:szCs w:val="18"/>
                <w:lang w:eastAsia="zh-CN"/>
              </w:rPr>
            </w:pPr>
            <w:r>
              <w:rPr>
                <w:rFonts w:eastAsia="DengXian"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DengXian"/>
                <w:lang w:eastAsia="zh-CN"/>
              </w:rPr>
              <w:t>I</w:t>
            </w:r>
            <w:r>
              <w:rPr>
                <w:rFonts w:eastAsia="DengXian"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DengXian"/>
                <w:lang w:eastAsia="zh-CN"/>
              </w:rPr>
            </w:pPr>
            <w:r>
              <w:rPr>
                <w:rFonts w:eastAsia="DengXian"/>
                <w:lang w:eastAsia="zh-CN"/>
              </w:rPr>
              <w:t>SONY2</w:t>
            </w:r>
          </w:p>
        </w:tc>
        <w:tc>
          <w:tcPr>
            <w:tcW w:w="8370" w:type="dxa"/>
          </w:tcPr>
          <w:p w14:paraId="2606A7AD" w14:textId="690ADBDB" w:rsidR="00B97637" w:rsidRDefault="00B97637" w:rsidP="00961EF1">
            <w:pPr>
              <w:snapToGrid w:val="0"/>
              <w:ind w:firstLineChars="0" w:firstLine="0"/>
              <w:jc w:val="left"/>
              <w:rPr>
                <w:rFonts w:eastAsia="DengXian"/>
                <w:lang w:eastAsia="zh-CN"/>
              </w:rPr>
            </w:pPr>
            <w:r>
              <w:rPr>
                <w:rFonts w:eastAsia="DengXian"/>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DengXian"/>
                <w:lang w:eastAsia="zh-CN"/>
              </w:rPr>
            </w:pPr>
            <w:r>
              <w:rPr>
                <w:rFonts w:eastAsia="DengXian"/>
                <w:lang w:eastAsia="zh-CN"/>
              </w:rPr>
              <w:t>Inmarsat</w:t>
            </w:r>
          </w:p>
        </w:tc>
        <w:tc>
          <w:tcPr>
            <w:tcW w:w="8370" w:type="dxa"/>
          </w:tcPr>
          <w:p w14:paraId="1C3310D7" w14:textId="6DC0AAED" w:rsidR="00C10CEF" w:rsidRDefault="00C10CEF" w:rsidP="00961EF1">
            <w:pPr>
              <w:snapToGrid w:val="0"/>
              <w:ind w:firstLineChars="0" w:firstLine="0"/>
              <w:jc w:val="left"/>
              <w:rPr>
                <w:rFonts w:eastAsia="DengXian"/>
                <w:lang w:eastAsia="zh-CN"/>
              </w:rPr>
            </w:pPr>
            <w:r>
              <w:rPr>
                <w:rFonts w:eastAsia="DengXian"/>
                <w:lang w:eastAsia="zh-CN"/>
              </w:rPr>
              <w:t xml:space="preserve">This can be captured in the TR, but should be outside of </w:t>
            </w:r>
            <w:proofErr w:type="spellStart"/>
            <w:r>
              <w:rPr>
                <w:rFonts w:eastAsia="DengXian"/>
                <w:lang w:eastAsia="zh-CN"/>
              </w:rPr>
              <w:t>Rel</w:t>
            </w:r>
            <w:proofErr w:type="spellEnd"/>
            <w:r>
              <w:rPr>
                <w:rFonts w:eastAsia="DengXian"/>
                <w:lang w:eastAsia="zh-CN"/>
              </w:rPr>
              <w:t xml:space="preserve">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ue to the large number of repetitions</w:t>
      </w:r>
      <w:r w:rsidRPr="0092076D">
        <w:rPr>
          <w:rFonts w:ascii="Times" w:hAnsi="Times" w:cs="Times"/>
          <w:b/>
          <w:sz w:val="20"/>
          <w:szCs w:val="20"/>
          <w:highlight w:val="yellow"/>
          <w:lang w:eastAsia="en-US"/>
        </w:rPr>
        <w:t xml:space="preserve"> in NTN IoT</w:t>
      </w:r>
      <w:r w:rsidRPr="0092076D">
        <w:rPr>
          <w:rFonts w:ascii="Times" w:hAnsi="Times" w:cs="Times"/>
          <w:b/>
          <w:sz w:val="20"/>
          <w:szCs w:val="20"/>
          <w:highlight w:val="yellow"/>
          <w:lang w:eastAsia="en-US"/>
        </w:rPr>
        <w:t xml:space="preserve">, an UL/DL transmission can be </w:t>
      </w:r>
      <w:r w:rsidRPr="0092076D">
        <w:rPr>
          <w:rFonts w:ascii="Times" w:hAnsi="Times" w:cs="Times"/>
          <w:b/>
          <w:sz w:val="20"/>
          <w:szCs w:val="20"/>
          <w:highlight w:val="yellow"/>
          <w:lang w:eastAsia="en-US"/>
        </w:rPr>
        <w:t xml:space="preserve">have a duration larger </w:t>
      </w:r>
      <w:r w:rsidRPr="0092076D">
        <w:rPr>
          <w:rFonts w:ascii="Times" w:hAnsi="Times" w:cs="Times"/>
          <w:b/>
          <w:sz w:val="20"/>
          <w:szCs w:val="20"/>
          <w:highlight w:val="yellow"/>
          <w:lang w:eastAsia="en-US"/>
        </w:rPr>
        <w:t xml:space="preserve">than the time interval needed by the UE for cell reselection or handover. This can be an issue especially for LEO satellite due to high mobility. </w:t>
      </w:r>
      <w:r w:rsidRPr="0092076D">
        <w:rPr>
          <w:rFonts w:ascii="Times" w:hAnsi="Times" w:cs="Times"/>
          <w:b/>
          <w:sz w:val="20"/>
          <w:szCs w:val="20"/>
          <w:highlight w:val="yellow"/>
          <w:lang w:eastAsia="en-US"/>
        </w:rPr>
        <w:t>Some</w:t>
      </w:r>
      <w:r w:rsidRPr="0092076D">
        <w:rPr>
          <w:rFonts w:ascii="Times" w:hAnsi="Times" w:cs="Times"/>
          <w:b/>
          <w:sz w:val="20"/>
          <w:szCs w:val="20"/>
          <w:highlight w:val="yellow"/>
          <w:lang w:eastAsia="en-US"/>
        </w:rPr>
        <w:t xml:space="preserve"> repetitions c</w:t>
      </w:r>
      <w:r w:rsidRPr="0092076D">
        <w:rPr>
          <w:rFonts w:ascii="Times" w:hAnsi="Times" w:cs="Times"/>
          <w:b/>
          <w:sz w:val="20"/>
          <w:szCs w:val="20"/>
          <w:highlight w:val="yellow"/>
          <w:lang w:eastAsia="en-US"/>
        </w:rPr>
        <w:t>annot</w:t>
      </w:r>
      <w:r w:rsidRPr="0092076D">
        <w:rPr>
          <w:rFonts w:ascii="Times" w:hAnsi="Times" w:cs="Times"/>
          <w:b/>
          <w:sz w:val="20"/>
          <w:szCs w:val="20"/>
          <w:highlight w:val="yellow"/>
          <w:lang w:eastAsia="en-US"/>
        </w:rPr>
        <w:t xml:space="preserve"> be transmitted before the cell change happens and this will cause a waste of resources. </w:t>
      </w:r>
      <w:r w:rsidRPr="0092076D">
        <w:rPr>
          <w:rFonts w:ascii="Times" w:hAnsi="Times" w:cs="Times"/>
          <w:b/>
          <w:sz w:val="20"/>
          <w:szCs w:val="20"/>
          <w:highlight w:val="yellow"/>
          <w:lang w:eastAsia="en-US"/>
        </w:rPr>
        <w:t>Combining</w:t>
      </w:r>
      <w:r w:rsidRPr="0092076D">
        <w:rPr>
          <w:rFonts w:ascii="Times" w:hAnsi="Times" w:cs="Times"/>
          <w:b/>
          <w:sz w:val="20"/>
          <w:szCs w:val="20"/>
          <w:highlight w:val="yellow"/>
          <w:lang w:eastAsia="en-US"/>
        </w:rPr>
        <w:t xml:space="preserve"> repetitions from </w:t>
      </w:r>
      <w:r w:rsidRPr="0092076D">
        <w:rPr>
          <w:rFonts w:ascii="Times" w:hAnsi="Times" w:cs="Times"/>
          <w:b/>
          <w:sz w:val="20"/>
          <w:szCs w:val="20"/>
          <w:highlight w:val="yellow"/>
          <w:lang w:eastAsia="en-US"/>
        </w:rPr>
        <w:t>different</w:t>
      </w:r>
      <w:r w:rsidRPr="0092076D">
        <w:rPr>
          <w:rFonts w:ascii="Times" w:hAnsi="Times" w:cs="Times"/>
          <w:b/>
          <w:sz w:val="20"/>
          <w:szCs w:val="20"/>
          <w:highlight w:val="yellow"/>
          <w:lang w:eastAsia="en-US"/>
        </w:rPr>
        <w:t xml:space="preserve"> cells</w:t>
      </w:r>
      <w:r w:rsidRPr="0092076D">
        <w:rPr>
          <w:rFonts w:ascii="Times" w:hAnsi="Times" w:cs="Times"/>
          <w:b/>
          <w:sz w:val="20"/>
          <w:szCs w:val="20"/>
          <w:highlight w:val="yellow"/>
          <w:lang w:eastAsia="en-US"/>
        </w:rPr>
        <w:t xml:space="preserve"> or </w:t>
      </w:r>
      <w:r w:rsidRPr="0092076D">
        <w:rPr>
          <w:rFonts w:ascii="Times" w:hAnsi="Times" w:cs="Times"/>
          <w:b/>
          <w:sz w:val="20"/>
          <w:szCs w:val="20"/>
          <w:highlight w:val="yellow"/>
          <w:lang w:eastAsia="en-US"/>
        </w:rPr>
        <w:t>different beams</w:t>
      </w:r>
      <w:r w:rsidRPr="0092076D">
        <w:rPr>
          <w:rFonts w:ascii="Times" w:hAnsi="Times" w:cs="Times"/>
          <w:b/>
          <w:sz w:val="20"/>
          <w:szCs w:val="20"/>
          <w:highlight w:val="yellow"/>
          <w:lang w:eastAsia="en-US"/>
        </w:rPr>
        <w:t xml:space="preserve"> are potential solutions.</w:t>
      </w:r>
      <w:r w:rsidRPr="0092076D">
        <w:rPr>
          <w:rFonts w:ascii="Times" w:hAnsi="Times" w:cs="Times"/>
          <w:b/>
          <w:sz w:val="20"/>
          <w:szCs w:val="20"/>
          <w:highlight w:val="yellow"/>
          <w:lang w:eastAsia="en-US"/>
        </w:rPr>
        <w:t xml:space="preserve"> </w:t>
      </w:r>
    </w:p>
    <w:p w14:paraId="13579A35" w14:textId="3307EDCB" w:rsidR="0092076D" w:rsidRPr="0092076D" w:rsidRDefault="0092076D" w:rsidP="0092076D">
      <w:pPr>
        <w:pStyle w:val="ListParagraph"/>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w:t>
      </w:r>
      <w:r w:rsidRPr="0092076D">
        <w:rPr>
          <w:rFonts w:ascii="Times" w:hAnsi="Times" w:cs="Times"/>
          <w:b/>
          <w:sz w:val="20"/>
          <w:szCs w:val="20"/>
          <w:highlight w:val="yellow"/>
          <w:lang w:eastAsia="x-none"/>
        </w:rPr>
        <w:t xml:space="preserve">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0EBA9D79" w:rsidR="001E0D73" w:rsidRDefault="001E0D73" w:rsidP="001E0D73">
      <w:pPr>
        <w:pStyle w:val="Heading2"/>
        <w:ind w:left="576"/>
        <w:rPr>
          <w:lang w:val="en-US"/>
        </w:rPr>
      </w:pPr>
      <w:r>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3441BA" w:rsidP="00AA77CF">
            <w:pPr>
              <w:spacing w:before="0" w:after="0" w:line="240" w:lineRule="auto"/>
              <w:ind w:firstLineChars="0" w:firstLine="0"/>
              <w:jc w:val="left"/>
              <w:rPr>
                <w:rStyle w:val="Hyperlink"/>
                <w:rFonts w:ascii="Times" w:hAnsi="Times" w:cs="Times"/>
                <w:color w:val="000000" w:themeColor="text1"/>
                <w:u w:val="none"/>
                <w:lang w:eastAsia="x-none"/>
              </w:rPr>
            </w:pPr>
            <w:hyperlink r:id="rId47" w:history="1">
              <w:r w:rsidR="002708FC" w:rsidRPr="00953F5D">
                <w:rPr>
                  <w:rStyle w:val="Hyperlink"/>
                  <w:rFonts w:ascii="Times" w:hAnsi="Times" w:cs="Times"/>
                  <w:color w:val="000000" w:themeColor="text1"/>
                  <w:u w:val="none"/>
                  <w:lang w:eastAsia="x-none"/>
                </w:rPr>
                <w:t>R1-210</w:t>
              </w:r>
              <w:r w:rsidR="002708FC">
                <w:rPr>
                  <w:rStyle w:val="Hyperlink"/>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xml:space="preserve">: For GEO Set 1 deployments, with cell-specific </w:t>
            </w:r>
            <w:proofErr w:type="spellStart"/>
            <w:r w:rsidRPr="00DF6205">
              <w:rPr>
                <w:bCs/>
              </w:rPr>
              <w:t>K_offset</w:t>
            </w:r>
            <w:proofErr w:type="spellEnd"/>
            <w:r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lastRenderedPageBreak/>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TableGrid"/>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DengXian"/>
                <w:sz w:val="18"/>
                <w:szCs w:val="18"/>
                <w:lang w:eastAsia="zh-CN"/>
              </w:rPr>
            </w:pPr>
            <w:r>
              <w:rPr>
                <w:rFonts w:eastAsia="DengXian"/>
                <w:sz w:val="18"/>
                <w:szCs w:val="18"/>
                <w:lang w:eastAsia="zh-CN"/>
              </w:rPr>
              <w:t xml:space="preserve">Although, throughput is not </w:t>
            </w:r>
            <w:r w:rsidR="009745BC">
              <w:rPr>
                <w:rFonts w:eastAsia="DengXian"/>
                <w:sz w:val="18"/>
                <w:szCs w:val="18"/>
                <w:lang w:eastAsia="zh-CN"/>
              </w:rPr>
              <w:t>an</w:t>
            </w:r>
            <w:r>
              <w:rPr>
                <w:rFonts w:eastAsia="DengXian"/>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v</w:t>
            </w:r>
            <w:r w:rsidRPr="00347A11">
              <w:rPr>
                <w:rFonts w:eastAsia="DengXian"/>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DengXian"/>
                <w:sz w:val="18"/>
                <w:szCs w:val="18"/>
                <w:lang w:eastAsia="zh-CN"/>
              </w:rPr>
            </w:pPr>
            <w:r>
              <w:rPr>
                <w:rFonts w:eastAsia="DengXian"/>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DengXian"/>
                <w:sz w:val="18"/>
                <w:szCs w:val="18"/>
                <w:lang w:eastAsia="zh-CN"/>
              </w:rPr>
            </w:pPr>
            <w:r w:rsidRPr="004E5F59">
              <w:rPr>
                <w:rFonts w:eastAsia="DengXian"/>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DengXian"/>
                <w:sz w:val="18"/>
                <w:szCs w:val="18"/>
                <w:lang w:eastAsia="zh-CN"/>
              </w:rPr>
            </w:pPr>
            <w:r>
              <w:rPr>
                <w:rFonts w:eastAsia="DengXian" w:hint="eastAsia"/>
                <w:sz w:val="18"/>
                <w:szCs w:val="18"/>
                <w:lang w:eastAsia="zh-CN"/>
              </w:rPr>
              <w:t>O</w:t>
            </w:r>
            <w:r>
              <w:rPr>
                <w:rFonts w:eastAsia="DengXian"/>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DengXian"/>
                <w:sz w:val="18"/>
                <w:szCs w:val="18"/>
                <w:lang w:eastAsia="zh-CN"/>
              </w:rPr>
            </w:pPr>
            <w:r w:rsidRPr="00347A11">
              <w:rPr>
                <w:rFonts w:eastAsia="DengXian" w:hint="eastAsia"/>
                <w:sz w:val="18"/>
                <w:szCs w:val="18"/>
                <w:lang w:eastAsia="zh-CN"/>
              </w:rPr>
              <w:t>N</w:t>
            </w:r>
            <w:r w:rsidRPr="00347A11">
              <w:rPr>
                <w:rFonts w:eastAsia="DengXian"/>
                <w:sz w:val="18"/>
                <w:szCs w:val="18"/>
                <w:lang w:eastAsia="zh-CN"/>
              </w:rPr>
              <w:t xml:space="preserve">ot </w:t>
            </w:r>
            <w:r>
              <w:rPr>
                <w:rFonts w:eastAsia="DengXian"/>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DengXian"/>
                <w:sz w:val="18"/>
                <w:szCs w:val="18"/>
                <w:lang w:eastAsia="zh-CN"/>
              </w:rPr>
            </w:pPr>
            <w:r>
              <w:rPr>
                <w:rFonts w:eastAsia="DengXian"/>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DengXian"/>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DengXian"/>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w:t>
            </w:r>
            <w:proofErr w:type="spellStart"/>
            <w:r>
              <w:rPr>
                <w:bCs/>
                <w:color w:val="FF0000"/>
                <w:sz w:val="18"/>
                <w:szCs w:val="18"/>
              </w:rPr>
              <w:t>K_offset</w:t>
            </w:r>
            <w:proofErr w:type="spellEnd"/>
            <w:r>
              <w:rPr>
                <w:bCs/>
                <w:color w:val="FF0000"/>
                <w:sz w:val="18"/>
                <w:szCs w:val="18"/>
              </w:rPr>
              <w:t>)</w:t>
            </w:r>
            <w:r w:rsidRPr="000702C7">
              <w:rPr>
                <w:bCs/>
                <w:color w:val="FF0000"/>
                <w:sz w:val="18"/>
                <w:szCs w:val="18"/>
              </w:rPr>
              <w:t xml:space="preserve">, in the interest of progress, we are OK if this is not considered for </w:t>
            </w:r>
            <w:proofErr w:type="spellStart"/>
            <w:r w:rsidRPr="000702C7">
              <w:rPr>
                <w:bCs/>
                <w:color w:val="FF0000"/>
                <w:sz w:val="18"/>
                <w:szCs w:val="18"/>
              </w:rPr>
              <w:t>Rel</w:t>
            </w:r>
            <w:proofErr w:type="spellEnd"/>
            <w:r w:rsidRPr="000702C7">
              <w:rPr>
                <w:bCs/>
                <w:color w:val="FF0000"/>
                <w:sz w:val="18"/>
                <w:szCs w:val="18"/>
              </w:rPr>
              <w:t xml:space="preserve">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DengXian"/>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DengXian"/>
                <w:sz w:val="18"/>
                <w:szCs w:val="18"/>
                <w:lang w:eastAsia="zh-CN"/>
              </w:rPr>
            </w:pPr>
            <w:r>
              <w:rPr>
                <w:rFonts w:eastAsia="DengXian" w:hint="eastAsia"/>
                <w:sz w:val="18"/>
                <w:szCs w:val="18"/>
                <w:lang w:eastAsia="zh-CN"/>
              </w:rPr>
              <w:t>Spr</w:t>
            </w:r>
            <w:r>
              <w:rPr>
                <w:rFonts w:eastAsia="DengXian"/>
                <w:sz w:val="18"/>
                <w:szCs w:val="18"/>
                <w:lang w:eastAsia="zh-CN"/>
              </w:rPr>
              <w:t>e</w:t>
            </w:r>
            <w:r>
              <w:rPr>
                <w:rFonts w:eastAsia="DengXian"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DengXian"/>
                <w:sz w:val="18"/>
                <w:szCs w:val="18"/>
                <w:lang w:eastAsia="zh-CN"/>
              </w:rPr>
              <w:t>N</w:t>
            </w:r>
            <w:r>
              <w:rPr>
                <w:rFonts w:eastAsia="DengXian"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DengXian"/>
                <w:sz w:val="18"/>
                <w:szCs w:val="18"/>
                <w:lang w:eastAsia="zh-CN"/>
              </w:rPr>
            </w:pPr>
            <w:r>
              <w:rPr>
                <w:rFonts w:eastAsia="DengXian"/>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DengXian"/>
                <w:sz w:val="18"/>
                <w:szCs w:val="18"/>
                <w:lang w:eastAsia="zh-CN"/>
              </w:rPr>
            </w:pPr>
            <w:r>
              <w:rPr>
                <w:rFonts w:eastAsia="DengXian"/>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DengXian"/>
                <w:sz w:val="18"/>
                <w:szCs w:val="18"/>
                <w:lang w:eastAsia="zh-CN"/>
              </w:rPr>
            </w:pPr>
            <w:r>
              <w:rPr>
                <w:rFonts w:eastAsia="DengXian"/>
                <w:sz w:val="18"/>
                <w:szCs w:val="18"/>
                <w:lang w:eastAsia="zh-CN"/>
              </w:rPr>
              <w:t xml:space="preserve">Can be considered after </w:t>
            </w:r>
            <w:proofErr w:type="spellStart"/>
            <w:r>
              <w:rPr>
                <w:rFonts w:eastAsia="DengXian"/>
                <w:sz w:val="18"/>
                <w:szCs w:val="18"/>
                <w:lang w:eastAsia="zh-CN"/>
              </w:rPr>
              <w:t>Rel</w:t>
            </w:r>
            <w:proofErr w:type="spellEnd"/>
            <w:r>
              <w:rPr>
                <w:rFonts w:eastAsia="DengXian"/>
                <w:sz w:val="18"/>
                <w:szCs w:val="18"/>
                <w:lang w:eastAsia="zh-CN"/>
              </w:rPr>
              <w:t xml:space="preserve">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DengXian"/>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DengXian"/>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w:t>
      </w:r>
      <w:r w:rsidRPr="0092076D">
        <w:rPr>
          <w:rFonts w:ascii="Times" w:hAnsi="Times" w:cs="Times"/>
          <w:b/>
          <w:highlight w:val="yellow"/>
        </w:rPr>
        <w:t>6</w:t>
      </w:r>
      <w:r w:rsidRPr="0092076D">
        <w:rPr>
          <w:rFonts w:ascii="Times" w:hAnsi="Times" w:cs="Times"/>
          <w:b/>
          <w:highlight w:val="yellow"/>
        </w:rPr>
        <w:t xml:space="preserve">. </w:t>
      </w:r>
    </w:p>
    <w:p w14:paraId="07BA4698" w14:textId="374BAB68" w:rsidR="0092076D" w:rsidRPr="0092076D" w:rsidRDefault="0092076D" w:rsidP="0092076D">
      <w:pPr>
        <w:pStyle w:val="ListParagraph"/>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w:t>
      </w:r>
      <w:r w:rsidRPr="0092076D">
        <w:rPr>
          <w:rFonts w:ascii="Times" w:hAnsi="Times" w:cs="Times"/>
          <w:b/>
          <w:bCs/>
          <w:sz w:val="20"/>
          <w:szCs w:val="20"/>
          <w:highlight w:val="yellow"/>
        </w:rPr>
        <w:t xml:space="preserve"> throughput</w:t>
      </w:r>
      <w:r w:rsidRPr="0092076D">
        <w:rPr>
          <w:rFonts w:ascii="Times" w:hAnsi="Times" w:cs="Times"/>
          <w:b/>
          <w:sz w:val="20"/>
          <w:szCs w:val="20"/>
          <w:highlight w:val="yellow"/>
        </w:rPr>
        <w:t>.</w:t>
      </w:r>
    </w:p>
    <w:p w14:paraId="1032F7FC" w14:textId="61C7800A" w:rsidR="0092076D" w:rsidRPr="0092076D" w:rsidRDefault="0092076D" w:rsidP="0092076D">
      <w:pPr>
        <w:pStyle w:val="ListParagraph"/>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solutions </w:t>
      </w:r>
      <w:r w:rsidRPr="0092076D">
        <w:rPr>
          <w:rFonts w:ascii="Times" w:hAnsi="Times" w:cs="Times"/>
          <w:b/>
          <w:sz w:val="20"/>
          <w:szCs w:val="20"/>
          <w:highlight w:val="yellow"/>
          <w:lang w:eastAsia="x-none"/>
        </w:rPr>
        <w:t xml:space="preserve">to enhance throughput </w:t>
      </w:r>
      <w:r w:rsidRPr="0092076D">
        <w:rPr>
          <w:rFonts w:ascii="Times" w:hAnsi="Times" w:cs="Times"/>
          <w:b/>
          <w:sz w:val="20"/>
          <w:szCs w:val="20"/>
          <w:highlight w:val="yellow"/>
          <w:lang w:eastAsia="x-none"/>
        </w:rPr>
        <w:t>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Heading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2: The earliest subframe for an UE to receive an NPDCCH with DCI format N0/N1 for the same HARQ process depends on the offset between the UL and DL frame timing at the eNB.</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4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2: When an IoT device is configured with two HARQ processes and the downlink and uplink frame timing are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SimSun"/>
                <w:bCs/>
                <w:iCs/>
                <w:lang w:val="en-GB" w:eastAsia="ja-JP"/>
              </w:rPr>
            </w:pPr>
            <w:r w:rsidRPr="00984E15">
              <w:rPr>
                <w:rFonts w:eastAsia="SimSun"/>
                <w:b/>
                <w:bCs/>
                <w:iCs/>
                <w:lang w:val="en-GB" w:eastAsia="ja-JP"/>
              </w:rPr>
              <w:t>Observation</w:t>
            </w:r>
            <w:r w:rsidRPr="005C0A93">
              <w:rPr>
                <w:rFonts w:eastAsia="SimSun"/>
                <w:bCs/>
                <w:iCs/>
                <w:lang w:val="en-GB" w:eastAsia="ja-JP"/>
              </w:rPr>
              <w:t xml:space="preserve"> 3: When an IoT device is configured with two HARQ processes and the downlink and uplink frame timing are not aligned at eNB, the IoT device is not expected to receive an NPDCCH with DCI format N0/N1 for the same HARQ process ID as the NPUSCH transmission until </w:t>
            </w:r>
            <w:proofErr w:type="gramStart"/>
            <w:r w:rsidRPr="005C0A93">
              <w:rPr>
                <w:rFonts w:eastAsia="SimSun"/>
                <w:bCs/>
                <w:iCs/>
                <w:lang w:val="en-GB" w:eastAsia="ja-JP"/>
              </w:rPr>
              <w:t>max(</w:t>
            </w:r>
            <w:proofErr w:type="gramEnd"/>
            <w:r w:rsidRPr="005C0A93">
              <w:rPr>
                <w:rFonts w:eastAsia="SimSun"/>
                <w:bCs/>
                <w:iCs/>
                <w:lang w:val="en-GB" w:eastAsia="ja-JP"/>
              </w:rPr>
              <w:t>RTT time, 3 subframe) has elapsed from the end of the NPUSCH.</w:t>
            </w:r>
          </w:p>
          <w:p w14:paraId="4787AA48" w14:textId="77777777" w:rsidR="00984E15" w:rsidRDefault="00984E15" w:rsidP="00984E15">
            <w:pPr>
              <w:pStyle w:val="BodyText"/>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BodyText"/>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BodyText"/>
              <w:spacing w:before="0" w:after="0" w:line="240" w:lineRule="auto"/>
              <w:ind w:firstLineChars="0" w:firstLine="0"/>
              <w:rPr>
                <w:rFonts w:eastAsia="SimSun"/>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BodyText"/>
              <w:spacing w:before="0" w:after="0" w:line="240" w:lineRule="auto"/>
              <w:ind w:firstLineChars="0" w:firstLine="0"/>
              <w:rPr>
                <w:rFonts w:eastAsia="SimSun"/>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5:</w:t>
            </w:r>
            <w:r w:rsidR="000C6C5E" w:rsidRPr="005C0A93">
              <w:rPr>
                <w:rFonts w:eastAsiaTheme="minorEastAsia"/>
                <w:iCs/>
                <w:lang w:val="en-GB" w:eastAsia="zh-CN"/>
              </w:rPr>
              <w:t xml:space="preserve"> </w:t>
            </w:r>
            <w:r w:rsidR="000C6C5E" w:rsidRPr="005C0A93">
              <w:rPr>
                <w:rFonts w:eastAsia="SimSun"/>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SimSun"/>
                <w:kern w:val="2"/>
                <w:lang w:eastAsia="zh-CN"/>
              </w:rPr>
            </w:pPr>
            <w:r w:rsidRPr="00DF6205">
              <w:rPr>
                <w:rFonts w:eastAsia="SimSun"/>
                <w:b/>
                <w:bCs/>
                <w:iCs/>
                <w:lang w:val="en-GB" w:eastAsia="ja-JP"/>
              </w:rPr>
              <w:t>Proposal</w:t>
            </w:r>
            <w:r w:rsidR="000C6C5E" w:rsidRPr="005C0A93">
              <w:rPr>
                <w:rFonts w:eastAsia="SimSun"/>
                <w:bCs/>
                <w:iCs/>
                <w:lang w:val="en-GB" w:eastAsia="ja-JP"/>
              </w:rPr>
              <w:t xml:space="preserve"> 6:</w:t>
            </w:r>
            <w:r w:rsidR="000C6C5E" w:rsidRPr="005C0A93">
              <w:rPr>
                <w:rFonts w:eastAsiaTheme="minorEastAsia"/>
                <w:iCs/>
                <w:lang w:val="en-GB" w:eastAsia="zh-CN"/>
              </w:rPr>
              <w:t xml:space="preserve"> </w:t>
            </w:r>
            <w:r w:rsidR="000C6C5E" w:rsidRPr="005C0A93">
              <w:rPr>
                <w:rFonts w:eastAsia="SimSun"/>
                <w:bCs/>
                <w:iCs/>
                <w:lang w:val="en-GB" w:eastAsia="ja-JP"/>
              </w:rPr>
              <w:t xml:space="preserve">When an IoT device is configured with two HARQ processes, the IoT device is not expected to receive an NPDCCH with DCI format N0/N1 for the same HARQ process ID as the NPUSCH transmission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SimSun"/>
                <w:b/>
                <w:bCs/>
                <w:iCs/>
                <w:lang w:val="en-GB" w:eastAsia="ja-JP"/>
              </w:rPr>
              <w:t>Proposal</w:t>
            </w:r>
            <w:r w:rsidR="000C6C5E" w:rsidRPr="005C0A93">
              <w:rPr>
                <w:rFonts w:eastAsia="SimSun"/>
                <w:bCs/>
                <w:iCs/>
                <w:lang w:val="en-GB" w:eastAsia="ja-JP"/>
              </w:rPr>
              <w:t xml:space="preserve"> 7:</w:t>
            </w:r>
            <w:r w:rsidR="000C6C5E" w:rsidRPr="005C0A93">
              <w:rPr>
                <w:rFonts w:eastAsiaTheme="minorEastAsia"/>
                <w:iCs/>
                <w:lang w:val="en-GB" w:eastAsia="zh-CN"/>
              </w:rPr>
              <w:t xml:space="preserve"> </w:t>
            </w:r>
            <w:r w:rsidR="000C6C5E" w:rsidRPr="005C0A93">
              <w:rPr>
                <w:rFonts w:eastAsia="SimSun"/>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SimSun"/>
                <w:bCs/>
                <w:iCs/>
                <w:lang w:val="en-GB" w:eastAsia="ja-JP"/>
              </w:rPr>
              <w:t>max(</w:t>
            </w:r>
            <w:proofErr w:type="gramEnd"/>
            <w:r w:rsidR="000C6C5E" w:rsidRPr="005C0A93">
              <w:rPr>
                <w:rFonts w:eastAsia="SimSun"/>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lastRenderedPageBreak/>
              <w:t>Proposal</w:t>
            </w:r>
            <w:r w:rsidR="000C6C5E" w:rsidRPr="005C0A93">
              <w:rPr>
                <w:lang w:eastAsia="zh-CN"/>
              </w:rPr>
              <w:t xml:space="preserve"> </w:t>
            </w:r>
            <w:proofErr w:type="gramStart"/>
            <w:r w:rsidR="000C6C5E" w:rsidRPr="005C0A93">
              <w:rPr>
                <w:lang w:eastAsia="zh-CN"/>
              </w:rPr>
              <w:t>3:For</w:t>
            </w:r>
            <w:proofErr w:type="gramEnd"/>
            <w:r w:rsidR="000C6C5E" w:rsidRPr="005C0A93">
              <w:rPr>
                <w:lang w:eastAsia="zh-CN"/>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proofErr w:type="spellStart"/>
            <w:r w:rsidR="000C6C5E" w:rsidRPr="005C0A93">
              <w:rPr>
                <w:lang w:eastAsia="zh-CN"/>
              </w:rPr>
              <w:t>CEmodeB</w:t>
            </w:r>
            <w:proofErr w:type="spellEnd"/>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BodyText"/>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w:t>
            </w:r>
            <w:proofErr w:type="spellStart"/>
            <w:r w:rsidR="000C6C5E" w:rsidRPr="005C0A93">
              <w:t>ms.</w:t>
            </w:r>
            <w:proofErr w:type="spellEnd"/>
            <w:r w:rsidR="000C6C5E" w:rsidRPr="005C0A93">
              <w:t xml:space="preserve">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3"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ListParagraph"/>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4"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BodyText"/>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5"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BodyText"/>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 xml:space="preserve">The current specification does not require the gNB to wait for reception of HARQ-ACK for a DL HARQ process before scheduling a new TB for that HARQ process. gNB </w:t>
            </w:r>
            <w:r w:rsidRPr="00DF6205">
              <w:rPr>
                <w:rFonts w:eastAsiaTheme="minorHAnsi"/>
              </w:rPr>
              <w:lastRenderedPageBreak/>
              <w:t>can maintain downlink peak data rate by scheduling new TB for a given DL HARQ process immediately after the UE transmits the HARQ-ACK feedback.</w:t>
            </w:r>
          </w:p>
          <w:p w14:paraId="1FD54B09" w14:textId="554C2981"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BodyText"/>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BodyText"/>
              <w:spacing w:before="0" w:after="0" w:line="240" w:lineRule="auto"/>
              <w:ind w:firstLineChars="0" w:firstLine="0"/>
              <w:rPr>
                <w:rFonts w:eastAsiaTheme="minorHAnsi"/>
              </w:rPr>
            </w:pPr>
          </w:p>
          <w:p w14:paraId="35247E82" w14:textId="0E2138D7"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BodyText"/>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6"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w:t>
            </w:r>
            <w:proofErr w:type="spellStart"/>
            <w:r w:rsidR="000C6C5E" w:rsidRPr="00DF6205">
              <w:rPr>
                <w:bCs/>
              </w:rPr>
              <w:t>es</w:t>
            </w:r>
            <w:proofErr w:type="spellEnd"/>
            <w:r w:rsidR="000C6C5E" w:rsidRPr="00DF6205">
              <w:rPr>
                <w:bCs/>
              </w:rPr>
              <w:t>)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xml:space="preserve">: For GEO Set 1 deployments, with cell-specific </w:t>
            </w:r>
            <w:proofErr w:type="spellStart"/>
            <w:r w:rsidR="000C6C5E" w:rsidRPr="00DF6205">
              <w:rPr>
                <w:bCs/>
              </w:rPr>
              <w:t>K_offset</w:t>
            </w:r>
            <w:proofErr w:type="spellEnd"/>
            <w:r w:rsidR="000C6C5E" w:rsidRPr="00DF6205">
              <w:rPr>
                <w:bCs/>
              </w:rPr>
              <w: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3441BA" w:rsidP="00984E15">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57"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44225AD3"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ListParagraph"/>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ListParagraph"/>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DengXian" w:hAnsi="Times New Roman"/>
                <w:sz w:val="20"/>
                <w:szCs w:val="20"/>
              </w:rPr>
            </w:pPr>
            <w:r w:rsidRPr="005C0A93">
              <w:rPr>
                <w:rFonts w:ascii="Times New Roman" w:eastAsia="DengXian"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ListParagraph"/>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DengXian"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8"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59"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0"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1"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NBIoT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3441BA" w:rsidP="00984E15">
            <w:pPr>
              <w:spacing w:before="0" w:after="0" w:line="240" w:lineRule="auto"/>
              <w:ind w:firstLineChars="0" w:firstLine="0"/>
              <w:jc w:val="left"/>
              <w:rPr>
                <w:rStyle w:val="Hyperlink"/>
                <w:rFonts w:ascii="Times" w:hAnsi="Times" w:cs="Times"/>
                <w:color w:val="000000" w:themeColor="text1"/>
                <w:u w:val="none"/>
                <w:lang w:eastAsia="x-none"/>
              </w:rPr>
            </w:pPr>
            <w:hyperlink r:id="rId62" w:history="1">
              <w:r w:rsidR="00A11F32" w:rsidRPr="00953F5D">
                <w:rPr>
                  <w:rStyle w:val="Hyperlink"/>
                  <w:rFonts w:ascii="Times" w:hAnsi="Times" w:cs="Times"/>
                  <w:color w:val="000000" w:themeColor="text1"/>
                  <w:u w:val="none"/>
                  <w:lang w:eastAsia="x-none"/>
                </w:rPr>
                <w:t>R1-210</w:t>
              </w:r>
              <w:r w:rsidR="00A11F32">
                <w:rPr>
                  <w:rStyle w:val="Hyperlink"/>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SimSun" w:hAnsi="Times" w:cs="Times"/>
                <w:color w:val="000000" w:themeColor="text1"/>
                <w:kern w:val="2"/>
                <w:lang w:eastAsia="x-none"/>
              </w:rPr>
            </w:pPr>
            <w:r>
              <w:rPr>
                <w:rStyle w:val="Hyperlink"/>
                <w:rFonts w:ascii="Times" w:hAnsi="Times" w:cs="Times"/>
                <w:color w:val="000000" w:themeColor="text1"/>
                <w:u w:val="none"/>
                <w:lang w:eastAsia="x-none"/>
              </w:rPr>
              <w:t>APT,FGI</w:t>
            </w:r>
            <w:r w:rsidR="005C0A93">
              <w:rPr>
                <w:rStyle w:val="Hyperlink"/>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3441B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3441B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3441BA"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NormalWeb"/>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20C4A2CC" w:rsidR="00430839" w:rsidRPr="00307CE5"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0C29308E" w14:textId="18593BC0"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lastRenderedPageBreak/>
        <w:t>The extension of maximal HARQ process number can be considered with following assumptions:</w:t>
      </w:r>
    </w:p>
    <w:p w14:paraId="2585ACFF"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w:t>
      </w:r>
      <w:proofErr w:type="gramStart"/>
      <w:r w:rsidRPr="00307CE5">
        <w:rPr>
          <w:iCs/>
          <w:lang w:eastAsia="x-none"/>
        </w:rPr>
        <w:t>a:Slot</w:t>
      </w:r>
      <w:proofErr w:type="gramEnd"/>
      <w:r w:rsidRPr="00307CE5">
        <w:rPr>
          <w:iCs/>
          <w:lang w:eastAsia="x-none"/>
        </w:rPr>
        <w:t xml:space="preserve">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Note: 32 is taken as maximal supported HARQ processes number for both UL and DL</w:t>
      </w:r>
    </w:p>
    <w:p w14:paraId="5240F140" w14:textId="77777777" w:rsidR="00D746CB" w:rsidRPr="00307CE5" w:rsidRDefault="00D746CB" w:rsidP="00307CE5">
      <w:pPr>
        <w:pStyle w:val="NormalWeb"/>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Hyperlink"/>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 xml:space="preserve">FFS: Whether X should be changed to X = </w:t>
      </w:r>
      <w:proofErr w:type="gramStart"/>
      <w:r w:rsidRPr="00307CE5">
        <w:rPr>
          <w:color w:val="000000"/>
          <w:lang w:eastAsia="zh-CN"/>
        </w:rPr>
        <w:t>max(</w:t>
      </w:r>
      <w:proofErr w:type="gramEnd"/>
      <w:r w:rsidRPr="00307CE5">
        <w:rPr>
          <w:color w:val="000000"/>
          <w:lang w:eastAsia="zh-CN"/>
        </w:rPr>
        <w:t>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AFAD9B5" w:rsidR="00E24A13" w:rsidRDefault="00E24A13" w:rsidP="00472C23">
      <w:pPr>
        <w:rPr>
          <w:lang w:eastAsia="x-none"/>
        </w:rPr>
      </w:pPr>
    </w:p>
    <w:sectPr w:rsidR="00E24A13"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B936D" w14:textId="77777777" w:rsidR="00927AF2" w:rsidRDefault="00927AF2" w:rsidP="007378B8">
      <w:r>
        <w:separator/>
      </w:r>
    </w:p>
  </w:endnote>
  <w:endnote w:type="continuationSeparator" w:id="0">
    <w:p w14:paraId="3B7A04C2" w14:textId="77777777" w:rsidR="00927AF2" w:rsidRDefault="00927AF2"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19820ECC" w:rsidR="003441BA" w:rsidRDefault="003441BA">
    <w:pPr>
      <w:pStyle w:val="Header"/>
      <w:tabs>
        <w:tab w:val="right" w:pos="9639"/>
      </w:tabs>
      <w:jc w:val="center"/>
    </w:pPr>
    <w:r>
      <w:rPr>
        <w:lang w:val="en-US"/>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6BDAEB23" w:rsidR="003441BA" w:rsidRPr="00650EAB" w:rsidRDefault="003441BA"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TVYAW0DAABHBwAADgAAAAAAAAAAAAAAAAAuAgAAZHJzL2Uyb0RvYy54bWxQSwECLQAUAAYA&#10;CAAAACEA8tHuc94AAAALAQAADwAAAAAAAAAAAAAAAADHBQAAZHJzL2Rvd25yZXYueG1sUEsFBgAA&#10;AAAEAAQA8wAAANIGAAAAAA==&#10;" o:allowincell="f" filled="f" stroked="f" strokeweight=".5pt">
              <v:fill o:detectmouseclick="t"/>
              <v:textbox inset="20pt,0,,0">
                <w:txbxContent>
                  <w:p w14:paraId="5B619F3A" w14:textId="6BDAEB23" w:rsidR="00650EAB" w:rsidRPr="00650EAB" w:rsidRDefault="00650EAB" w:rsidP="00650EAB">
                    <w:pPr>
                      <w:spacing w:before="0" w:after="0"/>
                      <w:ind w:firstLine="140"/>
                      <w:jc w:val="left"/>
                      <w:rPr>
                        <w:rFonts w:ascii="Calibri" w:hAnsi="Calibri"/>
                        <w:color w:val="000000"/>
                        <w:sz w:val="14"/>
                      </w:rPr>
                    </w:pPr>
                    <w:r w:rsidRPr="00650EAB">
                      <w:rPr>
                        <w:rFonts w:ascii="Calibri" w:hAnsi="Calibri"/>
                        <w:color w:val="000000"/>
                        <w:sz w:val="14"/>
                      </w:rPr>
                      <w:t>INTERNAL | © INMARSAT</w:t>
                    </w:r>
                  </w:p>
                </w:txbxContent>
              </v:textbox>
              <w10:wrap anchorx="page" anchory="page"/>
            </v:shape>
          </w:pict>
        </mc:Fallback>
      </mc:AlternateContent>
    </w: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796C3B">
      <w:rPr>
        <w:rStyle w:val="PageNumber"/>
        <w:i/>
        <w:color w:val="auto"/>
      </w:rPr>
      <w:t>1</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ED946" w14:textId="77777777" w:rsidR="00927AF2" w:rsidRDefault="00927AF2" w:rsidP="007378B8">
      <w:r>
        <w:separator/>
      </w:r>
    </w:p>
  </w:footnote>
  <w:footnote w:type="continuationSeparator" w:id="0">
    <w:p w14:paraId="477E3684" w14:textId="77777777" w:rsidR="00927AF2" w:rsidRDefault="00927AF2"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3441BA" w:rsidRDefault="003441BA"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94DF4"/>
    <w:multiLevelType w:val="hybridMultilevel"/>
    <w:tmpl w:val="6A9A308C"/>
    <w:lvl w:ilvl="0" w:tplc="2410CB0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144C1D"/>
    <w:multiLevelType w:val="hybridMultilevel"/>
    <w:tmpl w:val="6776AD48"/>
    <w:lvl w:ilvl="0" w:tplc="71AAFD48">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526"/>
        </w:tabs>
        <w:ind w:left="552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2"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30"/>
  </w:num>
  <w:num w:numId="3">
    <w:abstractNumId w:val="10"/>
  </w:num>
  <w:num w:numId="4">
    <w:abstractNumId w:val="21"/>
  </w:num>
  <w:num w:numId="5">
    <w:abstractNumId w:val="1"/>
  </w:num>
  <w:num w:numId="6">
    <w:abstractNumId w:val="6"/>
  </w:num>
  <w:num w:numId="7">
    <w:abstractNumId w:val="29"/>
  </w:num>
  <w:num w:numId="8">
    <w:abstractNumId w:val="2"/>
  </w:num>
  <w:num w:numId="9">
    <w:abstractNumId w:val="7"/>
  </w:num>
  <w:num w:numId="10">
    <w:abstractNumId w:val="26"/>
  </w:num>
  <w:num w:numId="11">
    <w:abstractNumId w:val="16"/>
  </w:num>
  <w:num w:numId="12">
    <w:abstractNumId w:val="19"/>
  </w:num>
  <w:num w:numId="13">
    <w:abstractNumId w:val="24"/>
  </w:num>
  <w:num w:numId="14">
    <w:abstractNumId w:val="11"/>
  </w:num>
  <w:num w:numId="15">
    <w:abstractNumId w:val="9"/>
  </w:num>
  <w:num w:numId="16">
    <w:abstractNumId w:val="20"/>
  </w:num>
  <w:num w:numId="17">
    <w:abstractNumId w:val="3"/>
  </w:num>
  <w:num w:numId="18">
    <w:abstractNumId w:val="23"/>
  </w:num>
  <w:num w:numId="19">
    <w:abstractNumId w:val="32"/>
  </w:num>
  <w:num w:numId="20">
    <w:abstractNumId w:val="15"/>
  </w:num>
  <w:num w:numId="21">
    <w:abstractNumId w:val="31"/>
  </w:num>
  <w:num w:numId="22">
    <w:abstractNumId w:val="17"/>
  </w:num>
  <w:num w:numId="23">
    <w:abstractNumId w:val="18"/>
  </w:num>
  <w:num w:numId="24">
    <w:abstractNumId w:val="22"/>
  </w:num>
  <w:num w:numId="25">
    <w:abstractNumId w:val="28"/>
  </w:num>
  <w:num w:numId="26">
    <w:abstractNumId w:val="25"/>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13"/>
  </w:num>
  <w:num w:numId="31">
    <w:abstractNumId w:val="27"/>
  </w:num>
  <w:num w:numId="3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6D"/>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Normal"/>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269.zip" TargetMode="External"/><Relationship Id="rId39"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hyperlink" Target="file:///C:\Users\wanshic\OneDrive%20-%20Qualcomm\Documents\Standards\3GPP%20Standards\Meeting%20Documents\TSGR1_104b\Docs\R1-2102475.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61" Type="http://schemas.openxmlformats.org/officeDocument/2006/relationships/hyperlink" Target="file:///C:\Users\wanshic\OneDrive%20-%20Qualcomm\Documents\Standards\3GPP%20Standards\Meeting%20Documents\TSGR1_104b\Docs\R1-210326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DF1AE-D66D-4110-AA60-D1257F3F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24</Pages>
  <Words>11573</Words>
  <Characters>65970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77389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 2</cp:lastModifiedBy>
  <cp:revision>11</cp:revision>
  <dcterms:created xsi:type="dcterms:W3CDTF">2021-05-24T16:52:00Z</dcterms:created>
  <dcterms:modified xsi:type="dcterms:W3CDTF">2021-05-24T19:13:00Z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