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6292DF8C" w:rsidR="001666C6" w:rsidRPr="001666C6" w:rsidRDefault="00430839" w:rsidP="004E5F59">
      <w:pPr>
        <w:pStyle w:val="3GPPAgreements"/>
        <w:rPr>
          <w:lang w:val="de-DE"/>
        </w:rPr>
      </w:pPr>
      <w:r>
        <w:rPr>
          <w:lang w:val="de-DE"/>
        </w:rPr>
        <w:t>3GPP TSG RAN WG1 #105</w:t>
      </w:r>
      <w:r w:rsidR="001666C6" w:rsidRPr="001666C6">
        <w:rPr>
          <w:lang w:val="de-DE"/>
        </w:rPr>
        <w:t>-e</w:t>
      </w:r>
      <w:r w:rsidR="001666C6" w:rsidRPr="001666C6">
        <w:rPr>
          <w:lang w:val="de-DE"/>
        </w:rPr>
        <w:tab/>
      </w:r>
      <w:r w:rsidR="001666C6" w:rsidRPr="001666C6">
        <w:rPr>
          <w:lang w:val="de-DE"/>
        </w:rPr>
        <w:tab/>
      </w:r>
      <w:r w:rsidR="001666C6" w:rsidRPr="001666C6">
        <w:rPr>
          <w:lang w:val="de-DE"/>
        </w:rPr>
        <w:tab/>
        <w:t>R1-</w:t>
      </w:r>
      <w:r w:rsidR="00C615D7" w:rsidRPr="001666C6">
        <w:rPr>
          <w:lang w:val="de-DE"/>
        </w:rPr>
        <w:t>21</w:t>
      </w:r>
      <w:r w:rsidR="00411E84">
        <w:rPr>
          <w:lang w:val="de-DE"/>
        </w:rPr>
        <w:t>x</w:t>
      </w:r>
      <w:r>
        <w:rPr>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E654CC" w:rsidRPr="00231B58" w:rsidRDefault="00E654C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654CC" w:rsidRPr="00787267" w:rsidRDefault="00E654CC"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E654CC" w:rsidRPr="00231B58" w:rsidRDefault="00E654CC"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E654CC" w:rsidRPr="00251521" w:rsidRDefault="00E654CC"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E654CC" w:rsidRPr="00251521" w:rsidRDefault="00E654CC"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E654CC" w:rsidRPr="00251521" w:rsidRDefault="00E654CC"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E654CC" w:rsidRPr="00787267" w:rsidRDefault="00E654CC"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w:t>
            </w:r>
            <w:proofErr w:type="spellStart"/>
            <w:r w:rsidRPr="00DF6205">
              <w:rPr>
                <w:bCs/>
              </w:rPr>
              <w:t>es</w:t>
            </w:r>
            <w:proofErr w:type="spellEnd"/>
            <w:r w:rsidRPr="00DF6205">
              <w:rPr>
                <w:bCs/>
              </w:rPr>
              <w:t>)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C310AF"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C310AF"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C310AF"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w:t>
      </w:r>
      <w:proofErr w:type="spellStart"/>
      <w:r w:rsidRPr="00675026">
        <w:rPr>
          <w:rFonts w:ascii="Times New Roman" w:hAnsi="Times New Roman"/>
          <w:sz w:val="20"/>
          <w:szCs w:val="20"/>
          <w:lang w:val="en-GB"/>
        </w:rPr>
        <w:t>HiSilicon</w:t>
      </w:r>
      <w:proofErr w:type="spellEnd"/>
      <w:r w:rsidRPr="00675026">
        <w:rPr>
          <w:rFonts w:ascii="Times New Roman" w:hAnsi="Times New Roman"/>
          <w:sz w:val="20"/>
          <w:szCs w:val="20"/>
          <w:lang w:val="en-GB"/>
        </w:rPr>
        <w:t xml:space="preserve">,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xml:space="preserve">,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 xml:space="preserve">APT, FGI, ITRI, III, </w:t>
      </w:r>
      <w:proofErr w:type="spellStart"/>
      <w:r w:rsidRPr="00675026">
        <w:rPr>
          <w:rFonts w:ascii="Times New Roman" w:eastAsia="DengXian" w:hAnsi="Times New Roman"/>
          <w:sz w:val="20"/>
          <w:szCs w:val="20"/>
        </w:rPr>
        <w:t>MediaTek</w:t>
      </w:r>
      <w:proofErr w:type="spellEnd"/>
      <w:r w:rsidRPr="00675026">
        <w:rPr>
          <w:rFonts w:ascii="Times New Roman" w:eastAsia="DengXian" w:hAnsi="Times New Roman"/>
          <w:sz w:val="20"/>
          <w:szCs w:val="20"/>
        </w:rPr>
        <w:t>, Nokia, NSB, CMCC, Xiaomi, Interdigita</w:t>
      </w:r>
      <w:r w:rsidR="003D0A8E" w:rsidRPr="00675026">
        <w:rPr>
          <w:rFonts w:ascii="Times New Roman" w:eastAsia="DengXian" w:hAnsi="Times New Roman"/>
          <w:sz w:val="20"/>
          <w:szCs w:val="20"/>
        </w:rPr>
        <w:t xml:space="preserve">l, Lenovo, Motorola Mobility, Ericsson, </w:t>
      </w:r>
      <w:proofErr w:type="spellStart"/>
      <w:r w:rsidR="003D0A8E" w:rsidRPr="00675026">
        <w:rPr>
          <w:rFonts w:ascii="Times New Roman" w:eastAsia="DengXian" w:hAnsi="Times New Roman"/>
          <w:sz w:val="20"/>
          <w:szCs w:val="20"/>
        </w:rPr>
        <w:t>Spreadtrum</w:t>
      </w:r>
      <w:proofErr w:type="spellEnd"/>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w:t>
            </w:r>
            <w:proofErr w:type="spellStart"/>
            <w:r>
              <w:rPr>
                <w:rFonts w:eastAsia="DengXian"/>
                <w:lang w:eastAsia="zh-CN"/>
              </w:rPr>
              <w:t>NBIoT</w:t>
            </w:r>
            <w:proofErr w:type="spellEnd"/>
            <w:r>
              <w:rPr>
                <w:rFonts w:eastAsia="DengXian"/>
                <w:lang w:eastAsia="zh-CN"/>
              </w:rPr>
              <w:t xml:space="preserve"> and </w:t>
            </w:r>
            <w:r>
              <w:rPr>
                <w:rFonts w:eastAsia="DengXian" w:hint="eastAsia"/>
                <w:lang w:eastAsia="zh-CN"/>
              </w:rPr>
              <w:t xml:space="preserve">eMTC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w:t>
            </w:r>
            <w:proofErr w:type="spellStart"/>
            <w:r>
              <w:t>Rel</w:t>
            </w:r>
            <w:proofErr w:type="spellEnd"/>
            <w:r>
              <w:t xml:space="preserve">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DengXian"/>
                <w:color w:val="FF0000"/>
                <w:sz w:val="18"/>
                <w:szCs w:val="18"/>
                <w:lang w:eastAsia="zh-CN"/>
              </w:rPr>
            </w:pPr>
            <w:r w:rsidRPr="00BC056B">
              <w:rPr>
                <w:rFonts w:eastAsia="DengXian"/>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w:t>
            </w:r>
            <w:proofErr w:type="spellStart"/>
            <w:r w:rsidRPr="00BC056B">
              <w:rPr>
                <w:color w:val="FF0000"/>
              </w:rPr>
              <w:t>Rel</w:t>
            </w:r>
            <w:proofErr w:type="spellEnd"/>
            <w:r w:rsidRPr="00BC056B">
              <w:rPr>
                <w:color w:val="FF0000"/>
              </w:rPr>
              <w:t xml:space="preserve">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proofErr w:type="spellStart"/>
            <w:r>
              <w:rPr>
                <w:rFonts w:eastAsia="DengXia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586FF985" w:rsidR="00141C2A" w:rsidRDefault="00141C2A" w:rsidP="00141C2A">
      <w:pPr>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w:t>
      </w:r>
      <w:r w:rsidR="00DE7F7B" w:rsidRPr="00675026">
        <w:rPr>
          <w:lang w:eastAsia="zh-CN"/>
        </w:rPr>
        <w:lastRenderedPageBreak/>
        <w:t xml:space="preserve">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lastRenderedPageBreak/>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C310AF"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C310AF"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lastRenderedPageBreak/>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DengXian"/>
                <w:color w:val="FF0000"/>
                <w:sz w:val="18"/>
                <w:szCs w:val="18"/>
                <w:lang w:eastAsia="zh-CN"/>
              </w:rPr>
            </w:pPr>
            <w:r w:rsidRPr="00E27DF1">
              <w:rPr>
                <w:rFonts w:eastAsia="DengXian"/>
                <w:color w:val="FF0000"/>
                <w:sz w:val="18"/>
                <w:szCs w:val="18"/>
                <w:lang w:eastAsia="zh-CN"/>
              </w:rPr>
              <w:lastRenderedPageBreak/>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timer already ensures that the PDCCH for the HARQ process in question isn’t monitored before </w:t>
            </w:r>
            <w:r>
              <w:rPr>
                <w:color w:val="FF0000"/>
              </w:rPr>
              <w:t>the timer expires</w:t>
            </w:r>
            <w:r w:rsidRPr="00E27DF1">
              <w:rPr>
                <w:color w:val="FF0000"/>
              </w:rPr>
              <w:t>.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 xml:space="preserve">The following points need to be considered before introducing reduced PDCCH monitoring procedure: (1) Even if UE would not need to monitor PDCCH scheduling for unicast </w:t>
            </w:r>
            <w:proofErr w:type="gramStart"/>
            <w:r w:rsidRPr="00A92364">
              <w:t>UL  data</w:t>
            </w:r>
            <w:proofErr w:type="gramEnd"/>
            <w:r w:rsidRPr="00A92364">
              <w:t>,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DengXian"/>
                <w:color w:val="FF0000"/>
                <w:sz w:val="18"/>
                <w:szCs w:val="18"/>
                <w:lang w:eastAsia="zh-CN"/>
              </w:rPr>
            </w:pPr>
            <w:r w:rsidRPr="001803A1">
              <w:rPr>
                <w:rFonts w:eastAsia="DengXian"/>
                <w:color w:val="FF0000"/>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 xml:space="preserve">We tend to agree with </w:t>
            </w:r>
            <w:proofErr w:type="spellStart"/>
            <w:r>
              <w:rPr>
                <w:rFonts w:eastAsia="DengXian"/>
                <w:lang w:eastAsia="zh-CN"/>
              </w:rPr>
              <w:t>MediaTek’s</w:t>
            </w:r>
            <w:proofErr w:type="spellEnd"/>
            <w:r>
              <w:rPr>
                <w:rFonts w:eastAsia="DengXian"/>
                <w:lang w:eastAsia="zh-CN"/>
              </w:rPr>
              <w:t xml:space="preserve">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5DCBA4EA" w:rsidR="00F12E3D" w:rsidRDefault="00F12E3D"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C310AF"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C310AF"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lastRenderedPageBreak/>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proofErr w:type="spellStart"/>
            <w:r>
              <w:rPr>
                <w:rFonts w:eastAsia="DengXian"/>
                <w:sz w:val="18"/>
                <w:szCs w:val="18"/>
                <w:lang w:eastAsia="zh-CN"/>
              </w:rPr>
              <w:t>MediaTek</w:t>
            </w:r>
            <w:proofErr w:type="spellEnd"/>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 xml:space="preserve">If HARQ feedback disabling is not supported in </w:t>
            </w:r>
            <w:proofErr w:type="spellStart"/>
            <w:r>
              <w:t>Rel</w:t>
            </w:r>
            <w:proofErr w:type="spellEnd"/>
            <w:r>
              <w:t xml:space="preserve">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Agree with moderator’s proposal for Release 17. Optimizations are good to capture for future post-</w:t>
            </w:r>
            <w:proofErr w:type="spellStart"/>
            <w:r>
              <w:rPr>
                <w:rFonts w:eastAsia="DengXian"/>
                <w:sz w:val="18"/>
                <w:szCs w:val="18"/>
                <w:lang w:eastAsia="zh-CN"/>
              </w:rPr>
              <w:t>Rel</w:t>
            </w:r>
            <w:proofErr w:type="spellEnd"/>
            <w:r>
              <w:rPr>
                <w:rFonts w:eastAsia="DengXian"/>
                <w:sz w:val="18"/>
                <w:szCs w:val="18"/>
                <w:lang w:eastAsia="zh-CN"/>
              </w:rPr>
              <w:t xml:space="preserve">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t>
            </w:r>
            <w:r>
              <w:rPr>
                <w:rFonts w:eastAsia="DengXian"/>
                <w:lang w:eastAsia="zh-CN"/>
              </w:rPr>
              <w:t>w</w:t>
            </w:r>
            <w:bookmarkStart w:id="3" w:name="_GoBack"/>
            <w:bookmarkEnd w:id="3"/>
            <w:r>
              <w:rPr>
                <w:rFonts w:eastAsia="DengXian"/>
                <w:lang w:eastAsia="zh-CN"/>
              </w:rPr>
              <w:t>e agree with moderator’s conclusions</w:t>
            </w:r>
          </w:p>
        </w:tc>
      </w:tr>
    </w:tbl>
    <w:p w14:paraId="06FBCE10" w14:textId="77777777" w:rsidR="00E22594" w:rsidRPr="004E5F59" w:rsidRDefault="00E22594" w:rsidP="00FD3874">
      <w:pPr>
        <w:ind w:left="200"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C310AF"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lastRenderedPageBreak/>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C310AF"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lastRenderedPageBreak/>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 xml:space="preserve">To make the system work, this issue should be studied and captured in TR 36.763, where solution(s) should be added in </w:t>
            </w:r>
            <w:proofErr w:type="spellStart"/>
            <w:r w:rsidRPr="00802504">
              <w:rPr>
                <w:sz w:val="18"/>
                <w:szCs w:val="18"/>
              </w:rPr>
              <w:t>Rel</w:t>
            </w:r>
            <w:proofErr w:type="spellEnd"/>
            <w:r w:rsidRPr="00802504">
              <w:rPr>
                <w:sz w:val="18"/>
                <w:szCs w:val="18"/>
              </w:rPr>
              <w:t xml:space="preserve">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proofErr w:type="spellStart"/>
            <w:r>
              <w:rPr>
                <w:rFonts w:eastAsia="DengXian" w:hint="eastAsia"/>
                <w:sz w:val="18"/>
                <w:szCs w:val="18"/>
                <w:lang w:eastAsia="zh-CN"/>
              </w:rPr>
              <w:t>Spreadtrum</w:t>
            </w:r>
            <w:proofErr w:type="spellEnd"/>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 xml:space="preserve">This can be captured in the TR, but should be outside of </w:t>
            </w:r>
            <w:proofErr w:type="spellStart"/>
            <w:r>
              <w:rPr>
                <w:rFonts w:eastAsia="DengXian"/>
                <w:lang w:eastAsia="zh-CN"/>
              </w:rPr>
              <w:t>Rel</w:t>
            </w:r>
            <w:proofErr w:type="spellEnd"/>
            <w:r>
              <w:rPr>
                <w:rFonts w:eastAsia="DengXian"/>
                <w:lang w:eastAsia="zh-CN"/>
              </w:rPr>
              <w:t xml:space="preserve">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77777777" w:rsidR="001E0D73" w:rsidRDefault="001E0D73" w:rsidP="00034D56">
      <w:pPr>
        <w:ind w:left="200" w:firstLineChars="0" w:firstLine="0"/>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C310AF"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w:t>
            </w:r>
            <w:proofErr w:type="spellStart"/>
            <w:r w:rsidRPr="000702C7">
              <w:rPr>
                <w:bCs/>
                <w:color w:val="FF0000"/>
                <w:sz w:val="18"/>
                <w:szCs w:val="18"/>
              </w:rPr>
              <w:t>Rel</w:t>
            </w:r>
            <w:proofErr w:type="spellEnd"/>
            <w:r w:rsidRPr="000702C7">
              <w:rPr>
                <w:bCs/>
                <w:color w:val="FF0000"/>
                <w:sz w:val="18"/>
                <w:szCs w:val="18"/>
              </w:rPr>
              <w:t xml:space="preserve">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roofErr w:type="spellEnd"/>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 xml:space="preserve">Can be considered after </w:t>
            </w:r>
            <w:proofErr w:type="spellStart"/>
            <w:r>
              <w:rPr>
                <w:rFonts w:eastAsia="DengXian"/>
                <w:sz w:val="18"/>
                <w:szCs w:val="18"/>
                <w:lang w:eastAsia="zh-CN"/>
              </w:rPr>
              <w:t>Rel</w:t>
            </w:r>
            <w:proofErr w:type="spellEnd"/>
            <w:r>
              <w:rPr>
                <w:rFonts w:eastAsia="DengXian"/>
                <w:sz w:val="18"/>
                <w:szCs w:val="18"/>
                <w:lang w:eastAsia="zh-CN"/>
              </w:rPr>
              <w:t xml:space="preserve">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A374025" w:rsidR="004E20B3" w:rsidRPr="004E5F59" w:rsidRDefault="004E20B3" w:rsidP="001A06E0">
      <w:pPr>
        <w:ind w:firstLineChars="0" w:firstLine="0"/>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lastRenderedPageBreak/>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w:t>
            </w:r>
            <w:proofErr w:type="gramStart"/>
            <w:r w:rsidR="000C6C5E" w:rsidRPr="005C0A93">
              <w:rPr>
                <w:lang w:eastAsia="zh-CN"/>
              </w:rPr>
              <w:t>3:For</w:t>
            </w:r>
            <w:proofErr w:type="gramEnd"/>
            <w:r w:rsidR="000C6C5E" w:rsidRPr="005C0A93">
              <w:rPr>
                <w:lang w:eastAsia="zh-CN"/>
              </w:rPr>
              <w:t xml:space="preserve">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lastRenderedPageBreak/>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 xml:space="preserve">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w:t>
            </w:r>
            <w:r w:rsidRPr="00DF6205">
              <w:rPr>
                <w:rFonts w:eastAsiaTheme="minorHAnsi"/>
              </w:rPr>
              <w:lastRenderedPageBreak/>
              <w:t>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w:t>
            </w:r>
            <w:proofErr w:type="spellStart"/>
            <w:r w:rsidR="000C6C5E" w:rsidRPr="00DF6205">
              <w:rPr>
                <w:bCs/>
              </w:rPr>
              <w:t>es</w:t>
            </w:r>
            <w:proofErr w:type="spellEnd"/>
            <w:r w:rsidR="000C6C5E" w:rsidRPr="00DF6205">
              <w:rPr>
                <w:bCs/>
              </w:rPr>
              <w:t>)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C310AF"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proofErr w:type="spellStart"/>
            <w:r>
              <w:t>InterDigital</w:t>
            </w:r>
            <w:proofErr w:type="spellEnd"/>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C310AF"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C310AF"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C310AF"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C310AF"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 xml:space="preserve">Huawei, </w:t>
      </w:r>
      <w:proofErr w:type="spellStart"/>
      <w:r w:rsidRPr="00430839">
        <w:rPr>
          <w:rFonts w:ascii="Times" w:hAnsi="Times" w:cs="Times"/>
          <w:color w:val="000000" w:themeColor="text1"/>
          <w:sz w:val="20"/>
          <w:szCs w:val="20"/>
          <w:lang w:eastAsia="x-none"/>
        </w:rPr>
        <w:t>HiSilicon</w:t>
      </w:r>
      <w:proofErr w:type="spellEnd"/>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Spreadtrum</w:t>
      </w:r>
      <w:proofErr w:type="spellEnd"/>
      <w:r w:rsidRPr="00430839">
        <w:rPr>
          <w:rFonts w:ascii="Times" w:hAnsi="Times" w:cs="Times"/>
          <w:color w:val="000000" w:themeColor="text1"/>
          <w:sz w:val="20"/>
          <w:szCs w:val="20"/>
          <w:lang w:eastAsia="x-none"/>
        </w:rPr>
        <w:t xml:space="preserve">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proofErr w:type="spellStart"/>
      <w:r w:rsidRPr="00430839">
        <w:rPr>
          <w:rFonts w:ascii="Times" w:hAnsi="Times" w:cs="Times"/>
          <w:color w:val="000000" w:themeColor="text1"/>
          <w:sz w:val="20"/>
          <w:szCs w:val="20"/>
          <w:lang w:eastAsia="x-none"/>
        </w:rPr>
        <w:t>MediaTek</w:t>
      </w:r>
      <w:proofErr w:type="spellEnd"/>
      <w:r w:rsidRPr="00430839">
        <w:rPr>
          <w:rFonts w:ascii="Times" w:hAnsi="Times" w:cs="Times"/>
          <w:color w:val="000000" w:themeColor="text1"/>
          <w:sz w:val="20"/>
          <w:szCs w:val="20"/>
          <w:lang w:eastAsia="x-none"/>
        </w:rPr>
        <w:t xml:space="preserve">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lastRenderedPageBreak/>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r>
      <w:proofErr w:type="spellStart"/>
      <w:r w:rsidRPr="00430839">
        <w:rPr>
          <w:rFonts w:ascii="Times" w:hAnsi="Times" w:cs="Times"/>
          <w:color w:val="000000" w:themeColor="text1"/>
          <w:sz w:val="20"/>
          <w:szCs w:val="20"/>
          <w:lang w:eastAsia="x-none"/>
        </w:rPr>
        <w:t>InterDigital</w:t>
      </w:r>
      <w:proofErr w:type="spellEnd"/>
      <w:r w:rsidRPr="00430839">
        <w:rPr>
          <w:rFonts w:ascii="Times" w:hAnsi="Times" w:cs="Times"/>
          <w:color w:val="000000" w:themeColor="text1"/>
          <w:sz w:val="20"/>
          <w:szCs w:val="20"/>
          <w:lang w:eastAsia="x-none"/>
        </w:rPr>
        <w:t>,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lastRenderedPageBreak/>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E6464" w14:textId="77777777" w:rsidR="00C310AF" w:rsidRDefault="00C310AF" w:rsidP="007378B8">
      <w:r>
        <w:separator/>
      </w:r>
    </w:p>
  </w:endnote>
  <w:endnote w:type="continuationSeparator" w:id="0">
    <w:p w14:paraId="5F3992BE" w14:textId="77777777" w:rsidR="00C310AF" w:rsidRDefault="00C310AF"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7C7E2916" w:rsidR="00E654CC" w:rsidRDefault="00650EAB">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6BDAEB23" w:rsidR="00650EAB" w:rsidRPr="00650EAB" w:rsidRDefault="00650EAB" w:rsidP="00650EAB">
                          <w:pPr>
                            <w:spacing w:before="0" w:after="0"/>
                            <w:ind w:firstLine="140"/>
                            <w:jc w:val="left"/>
                            <w:rPr>
                              <w:rFonts w:ascii="Calibri" w:hAnsi="Calibri"/>
                              <w:color w:val="000000"/>
                              <w:sz w:val="14"/>
                            </w:rPr>
                          </w:pPr>
                          <w:r w:rsidRPr="00650EAB">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TVYAW0DAABHBwAADgAAAAAAAAAAAAAAAAAuAgAAZHJzL2Uyb0RvYy54bWxQSwECLQAUAAYA&#10;CAAAACEA8tHuc94AAAALAQAADwAAAAAAAAAAAAAAAADHBQAAZHJzL2Rvd25yZXYueG1sUEsFBgAA&#10;AAAEAAQA8wAAANIGAAAAAA==&#10;" o:allowincell="f" filled="f" stroked="f" strokeweight=".5pt">
              <v:fill o:detectmouseclick="t"/>
              <v:textbox inset="20pt,0,,0">
                <w:txbxContent>
                  <w:p w14:paraId="5B619F3A" w14:textId="6BDAEB23" w:rsidR="00650EAB" w:rsidRPr="00650EAB" w:rsidRDefault="00650EAB" w:rsidP="00650EAB">
                    <w:pPr>
                      <w:spacing w:before="0" w:after="0"/>
                      <w:ind w:firstLine="140"/>
                      <w:jc w:val="left"/>
                      <w:rPr>
                        <w:rFonts w:ascii="Calibri" w:hAnsi="Calibri"/>
                        <w:color w:val="000000"/>
                        <w:sz w:val="14"/>
                      </w:rPr>
                    </w:pPr>
                    <w:r w:rsidRPr="00650EAB">
                      <w:rPr>
                        <w:rFonts w:ascii="Calibri" w:hAnsi="Calibri"/>
                        <w:color w:val="000000"/>
                        <w:sz w:val="14"/>
                      </w:rPr>
                      <w:t>INTERNAL | © INMARSAT</w:t>
                    </w:r>
                  </w:p>
                </w:txbxContent>
              </v:textbox>
              <w10:wrap anchorx="page" anchory="page"/>
            </v:shape>
          </w:pict>
        </mc:Fallback>
      </mc:AlternateContent>
    </w:r>
    <w:r w:rsidR="00E654CC">
      <w:t xml:space="preserve">Page </w:t>
    </w:r>
    <w:r w:rsidR="00E654CC" w:rsidRPr="00B0165F">
      <w:rPr>
        <w:rStyle w:val="PageNumber"/>
        <w:i/>
        <w:color w:val="auto"/>
      </w:rPr>
      <w:fldChar w:fldCharType="begin"/>
    </w:r>
    <w:r w:rsidR="00E654CC" w:rsidRPr="00B0165F">
      <w:rPr>
        <w:rStyle w:val="PageNumber"/>
        <w:i/>
        <w:color w:val="auto"/>
      </w:rPr>
      <w:instrText xml:space="preserve"> PAGE </w:instrText>
    </w:r>
    <w:r w:rsidR="00E654CC" w:rsidRPr="00B0165F">
      <w:rPr>
        <w:rStyle w:val="PageNumber"/>
        <w:i/>
        <w:color w:val="auto"/>
      </w:rPr>
      <w:fldChar w:fldCharType="separate"/>
    </w:r>
    <w:r w:rsidR="00130C5E">
      <w:rPr>
        <w:rStyle w:val="PageNumber"/>
        <w:i/>
        <w:color w:val="auto"/>
      </w:rPr>
      <w:t>22</w:t>
    </w:r>
    <w:r w:rsidR="00E654CC"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72E39" w14:textId="77777777" w:rsidR="00C310AF" w:rsidRDefault="00C310AF" w:rsidP="007378B8">
      <w:r>
        <w:separator/>
      </w:r>
    </w:p>
  </w:footnote>
  <w:footnote w:type="continuationSeparator" w:id="0">
    <w:p w14:paraId="1591BBF3" w14:textId="77777777" w:rsidR="00C310AF" w:rsidRDefault="00C310AF" w:rsidP="007378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E654CC" w:rsidRDefault="00E654CC"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1"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29"/>
  </w:num>
  <w:num w:numId="3">
    <w:abstractNumId w:val="10"/>
  </w:num>
  <w:num w:numId="4">
    <w:abstractNumId w:val="20"/>
  </w:num>
  <w:num w:numId="5">
    <w:abstractNumId w:val="1"/>
  </w:num>
  <w:num w:numId="6">
    <w:abstractNumId w:val="6"/>
  </w:num>
  <w:num w:numId="7">
    <w:abstractNumId w:val="28"/>
  </w:num>
  <w:num w:numId="8">
    <w:abstractNumId w:val="2"/>
  </w:num>
  <w:num w:numId="9">
    <w:abstractNumId w:val="7"/>
  </w:num>
  <w:num w:numId="10">
    <w:abstractNumId w:val="25"/>
  </w:num>
  <w:num w:numId="11">
    <w:abstractNumId w:val="15"/>
  </w:num>
  <w:num w:numId="12">
    <w:abstractNumId w:val="18"/>
  </w:num>
  <w:num w:numId="13">
    <w:abstractNumId w:val="23"/>
  </w:num>
  <w:num w:numId="14">
    <w:abstractNumId w:val="11"/>
  </w:num>
  <w:num w:numId="15">
    <w:abstractNumId w:val="9"/>
  </w:num>
  <w:num w:numId="16">
    <w:abstractNumId w:val="19"/>
  </w:num>
  <w:num w:numId="17">
    <w:abstractNumId w:val="3"/>
  </w:num>
  <w:num w:numId="18">
    <w:abstractNumId w:val="22"/>
  </w:num>
  <w:num w:numId="19">
    <w:abstractNumId w:val="31"/>
  </w:num>
  <w:num w:numId="20">
    <w:abstractNumId w:val="14"/>
  </w:num>
  <w:num w:numId="21">
    <w:abstractNumId w:val="30"/>
  </w:num>
  <w:num w:numId="22">
    <w:abstractNumId w:val="16"/>
  </w:num>
  <w:num w:numId="23">
    <w:abstractNumId w:val="17"/>
  </w:num>
  <w:num w:numId="24">
    <w:abstractNumId w:val="21"/>
  </w:num>
  <w:num w:numId="25">
    <w:abstractNumId w:val="2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724E1-30DA-4DE1-99F3-0088C669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10968</Words>
  <Characters>62524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Ramon Ferrús</cp:lastModifiedBy>
  <cp:revision>5</cp:revision>
  <dcterms:created xsi:type="dcterms:W3CDTF">2021-05-24T14:43:00Z</dcterms:created>
  <dcterms:modified xsi:type="dcterms:W3CDTF">2021-05-24T15:40:00Z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