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97250" w:rsidRPr="00231B58" w:rsidRDefault="00F97250"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97250" w:rsidRPr="00251521" w:rsidRDefault="00F97250"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97250" w:rsidRPr="00251521" w:rsidRDefault="00F97250"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97250" w:rsidRPr="00251521" w:rsidRDefault="00F97250"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97250" w:rsidRPr="00787267" w:rsidRDefault="00F97250"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f"/>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2"/>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7"/>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w:t>
            </w:r>
            <w:proofErr w:type="spellStart"/>
            <w:r w:rsidRPr="005C0A93">
              <w:rPr>
                <w:rFonts w:eastAsiaTheme="minorEastAsia"/>
                <w:iCs/>
                <w:lang w:eastAsia="zh-CN"/>
              </w:rPr>
              <w:t>IoT</w:t>
            </w:r>
            <w:proofErr w:type="spellEnd"/>
            <w:r w:rsidRPr="005C0A93">
              <w:rPr>
                <w:rFonts w:eastAsiaTheme="minorEastAsia"/>
                <w:iCs/>
                <w:lang w:eastAsia="zh-CN"/>
              </w:rPr>
              <w: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w:t>
            </w:r>
            <w:proofErr w:type="spellStart"/>
            <w:r w:rsidRPr="005C0A93">
              <w:rPr>
                <w:lang w:eastAsia="zh-CN"/>
              </w:rPr>
              <w:t>IoT</w:t>
            </w:r>
            <w:proofErr w:type="spellEnd"/>
            <w:r w:rsidRPr="005C0A93">
              <w:rPr>
                <w:lang w:eastAsia="zh-CN"/>
              </w:rPr>
              <w:t xml:space="preserve">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7"/>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1: HARQ disabling for NB-</w:t>
            </w:r>
            <w:proofErr w:type="spellStart"/>
            <w:r w:rsidRPr="005C0A93">
              <w:t>IoT</w:t>
            </w:r>
            <w:proofErr w:type="spellEnd"/>
            <w:r w:rsidRPr="005C0A93">
              <w: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af7"/>
              <w:spacing w:before="0" w:after="0" w:line="240" w:lineRule="auto"/>
              <w:ind w:firstLineChars="0" w:firstLine="0"/>
            </w:pPr>
            <w:r w:rsidRPr="00DF6205">
              <w:rPr>
                <w:b/>
              </w:rPr>
              <w:t>Proposal</w:t>
            </w:r>
            <w:r w:rsidRPr="005C0A93">
              <w:t xml:space="preserve"> 2: HARQ disabling and increased HARQ process number for NB-</w:t>
            </w:r>
            <w:proofErr w:type="spellStart"/>
            <w:r w:rsidRPr="005C0A93">
              <w:t>IoT</w:t>
            </w:r>
            <w:proofErr w:type="spellEnd"/>
            <w:r w:rsidRPr="005C0A93">
              <w: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7"/>
              <w:spacing w:before="0" w:after="0" w:line="240" w:lineRule="auto"/>
              <w:ind w:firstLineChars="0" w:firstLine="0"/>
              <w:rPr>
                <w:rFonts w:eastAsiaTheme="minorHAnsi"/>
              </w:rPr>
            </w:pPr>
          </w:p>
          <w:p w14:paraId="0F53908F" w14:textId="77777777" w:rsidR="007238A8" w:rsidRPr="00DF6205"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af7"/>
              <w:spacing w:before="0" w:after="0" w:line="240" w:lineRule="auto"/>
              <w:ind w:firstLineChars="0" w:firstLine="0"/>
              <w:rPr>
                <w:rFonts w:eastAsiaTheme="minorHAnsi"/>
              </w:rPr>
            </w:pPr>
          </w:p>
          <w:p w14:paraId="0403E10F" w14:textId="4DE44D3F" w:rsidR="00621FAD" w:rsidRPr="00DF6205" w:rsidRDefault="00621FAD" w:rsidP="007238A8">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7"/>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F623E5" w:rsidP="007238A8">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2"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4"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F623E5" w:rsidP="007238A8">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7238A8" w:rsidRPr="00953F5D">
                <w:rPr>
                  <w:rStyle w:val="ac"/>
                  <w:rFonts w:ascii="Times" w:hAnsi="Times" w:cs="Times"/>
                  <w:color w:val="000000" w:themeColor="text1"/>
                  <w:u w:val="none"/>
                  <w:lang w:eastAsia="x-none"/>
                </w:rPr>
                <w:t>R1-210</w:t>
              </w:r>
              <w:r w:rsidR="007238A8">
                <w:rPr>
                  <w:rStyle w:val="ac"/>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F623E5"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d"/>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d"/>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d"/>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d"/>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d"/>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CATT (for NB-</w:t>
      </w:r>
      <w:proofErr w:type="spellStart"/>
      <w:r w:rsidRPr="00675026">
        <w:rPr>
          <w:rFonts w:ascii="Times New Roman" w:hAnsi="Times New Roman"/>
          <w:sz w:val="20"/>
          <w:szCs w:val="20"/>
          <w:lang w:val="en-GB"/>
        </w:rPr>
        <w:t>IoT</w:t>
      </w:r>
      <w:proofErr w:type="spellEnd"/>
      <w:r w:rsidRPr="00675026">
        <w:rPr>
          <w:rFonts w:ascii="Times New Roman" w:hAnsi="Times New Roman"/>
          <w:sz w:val="20"/>
          <w:szCs w:val="20"/>
          <w:lang w:val="en-GB"/>
        </w:rPr>
        <w:t xml:space="preserve">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 xml:space="preserve">l, Lenovo, Motorola Mobility, Ericsson, </w:t>
      </w:r>
      <w:proofErr w:type="spellStart"/>
      <w:r w:rsidR="003D0A8E" w:rsidRPr="00675026">
        <w:rPr>
          <w:rFonts w:ascii="Times New Roman" w:eastAsia="等线"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proofErr w:type="spellStart"/>
            <w:r>
              <w:rPr>
                <w:rFonts w:eastAsia="等线" w:hint="eastAsia"/>
                <w:lang w:eastAsia="zh-CN"/>
              </w:rPr>
              <w:t>eMTC</w:t>
            </w:r>
            <w:proofErr w:type="spellEnd"/>
            <w:r>
              <w:rPr>
                <w:rFonts w:eastAsia="等线" w:hint="eastAsia"/>
                <w:lang w:eastAsia="zh-CN"/>
              </w:rPr>
              <w:t xml:space="preserve">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 xml:space="preserve">Huawei, </w:t>
            </w:r>
            <w:proofErr w:type="spellStart"/>
            <w:r>
              <w:rPr>
                <w:rFonts w:eastAsia="等线"/>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However, we suggest to further study for different scenario with target requirements for NB-</w:t>
            </w:r>
            <w:proofErr w:type="spellStart"/>
            <w:r>
              <w:t>IoT</w:t>
            </w:r>
            <w:proofErr w:type="spellEnd"/>
            <w:r>
              <w:t xml:space="preserve"> and </w:t>
            </w:r>
            <w:proofErr w:type="spellStart"/>
            <w:r>
              <w:t>eMTC</w:t>
            </w:r>
            <w:proofErr w:type="spellEnd"/>
            <w:r>
              <w:t xml:space="preserve">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等线"/>
                <w:color w:val="FF0000"/>
                <w:sz w:val="18"/>
                <w:szCs w:val="18"/>
                <w:lang w:eastAsia="zh-CN"/>
              </w:rPr>
            </w:pPr>
            <w:r w:rsidRPr="00BC056B">
              <w:rPr>
                <w:rFonts w:eastAsia="等线"/>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afd"/>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afd"/>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Rel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等线"/>
                <w:color w:val="FF0000"/>
                <w:lang w:eastAsia="zh-CN"/>
              </w:rPr>
            </w:pPr>
            <w:r w:rsidRPr="00936EE5">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等线"/>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等线"/>
                <w:lang w:eastAsia="zh-CN"/>
              </w:rPr>
            </w:pPr>
            <w:proofErr w:type="spellStart"/>
            <w:r>
              <w:rPr>
                <w:rFonts w:eastAsia="等线"/>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等线"/>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等线"/>
                <w:lang w:eastAsia="zh-CN"/>
              </w:rPr>
              <w:t>C</w:t>
            </w:r>
            <w:r>
              <w:rPr>
                <w:rFonts w:eastAsia="等线" w:hint="eastAsia"/>
                <w:lang w:eastAsia="zh-CN"/>
              </w:rPr>
              <w:t xml:space="preserve">onsidering limited time in R17 </w:t>
            </w:r>
            <w:proofErr w:type="spellStart"/>
            <w:r>
              <w:rPr>
                <w:rFonts w:eastAsia="等线" w:hint="eastAsia"/>
                <w:lang w:eastAsia="zh-CN"/>
              </w:rPr>
              <w:t>IoT</w:t>
            </w:r>
            <w:proofErr w:type="spellEnd"/>
            <w:r>
              <w:rPr>
                <w:rFonts w:eastAsia="等线" w:hint="eastAsia"/>
                <w:lang w:eastAsia="zh-CN"/>
              </w:rPr>
              <w:t xml:space="preserve">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等线" w:hint="eastAsia"/>
                <w:lang w:eastAsia="zh-CN"/>
              </w:rPr>
            </w:pPr>
            <w:r>
              <w:rPr>
                <w:rFonts w:eastAsia="等线" w:hint="eastAsia"/>
                <w:lang w:eastAsia="zh-CN"/>
              </w:rPr>
              <w:t>X</w:t>
            </w:r>
            <w:r>
              <w:rPr>
                <w:rFonts w:eastAsia="等线"/>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等线"/>
                <w:lang w:eastAsia="zh-CN"/>
              </w:rPr>
            </w:pPr>
            <w:r>
              <w:rPr>
                <w:rFonts w:eastAsia="等线"/>
                <w:lang w:eastAsia="zh-CN"/>
              </w:rPr>
              <w:t xml:space="preserve">Support FL’s conclusion on </w:t>
            </w:r>
            <w:r w:rsidRPr="00936EE5">
              <w:rPr>
                <w:rFonts w:eastAsia="等线"/>
                <w:lang w:eastAsia="zh-CN"/>
              </w:rPr>
              <w:t>HARQ feedback disabling should not be introduced in Rel-17</w:t>
            </w:r>
            <w:r>
              <w:rPr>
                <w:rFonts w:eastAsia="等线"/>
                <w:lang w:eastAsia="zh-CN"/>
              </w:rPr>
              <w:t>.</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lastRenderedPageBreak/>
        <w:t xml:space="preserve">As background, this issue was discussed in past meetings, and in RAN1#104b-e the following proposals where discussed at length but </w:t>
      </w:r>
      <w:r w:rsidR="00CA7B96">
        <w:t xml:space="preserve">then not agreed. </w:t>
      </w:r>
    </w:p>
    <w:tbl>
      <w:tblPr>
        <w:tblStyle w:val="af2"/>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For NB-</w:t>
            </w:r>
            <w:proofErr w:type="spellStart"/>
            <w:r w:rsidRPr="000952EE">
              <w:rPr>
                <w:bCs/>
                <w:lang w:eastAsia="zh-CN"/>
              </w:rPr>
              <w:t>IoT</w:t>
            </w:r>
            <w:proofErr w:type="spellEnd"/>
            <w:r w:rsidRPr="000952EE">
              <w:rPr>
                <w:bCs/>
                <w:lang w:eastAsia="zh-CN"/>
              </w:rPr>
              <w:t xml:space="preserve">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7"/>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 </w:t>
            </w:r>
            <w:hyperlink r:id="rId32"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lastRenderedPageBreak/>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lastRenderedPageBreak/>
              <w:t xml:space="preserve">[2] </w:t>
            </w:r>
            <w:hyperlink r:id="rId33"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[3] </w:t>
            </w:r>
            <w:hyperlink r:id="rId34"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[4] </w:t>
            </w:r>
            <w:hyperlink r:id="rId35"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[5] </w:t>
            </w:r>
            <w:hyperlink r:id="rId36"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[8] </w:t>
            </w:r>
            <w:hyperlink r:id="rId37"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7"/>
              <w:spacing w:before="0" w:after="0" w:line="240" w:lineRule="auto"/>
              <w:ind w:firstLineChars="0" w:firstLine="0"/>
              <w:rPr>
                <w:rFonts w:eastAsiaTheme="minorHAnsi"/>
              </w:rPr>
            </w:pPr>
          </w:p>
          <w:p w14:paraId="48C9D26F" w14:textId="77777777" w:rsidR="0009513C" w:rsidRPr="005C0A93" w:rsidRDefault="0009513C" w:rsidP="00AA77CF">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[12] </w:t>
            </w:r>
            <w:hyperlink r:id="rId38"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[15] </w:t>
            </w:r>
            <w:hyperlink r:id="rId39"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c"/>
                <w:rFonts w:ascii="Times" w:hAnsi="Times" w:cs="Times"/>
                <w:color w:val="000000" w:themeColor="text1"/>
                <w:u w:val="none"/>
                <w:lang w:eastAsia="x-none"/>
              </w:rPr>
            </w:pPr>
            <w:r>
              <w:t xml:space="preserve">[18] </w:t>
            </w:r>
            <w:hyperlink r:id="rId40" w:history="1">
              <w:r w:rsidR="0009513C" w:rsidRPr="00953F5D">
                <w:rPr>
                  <w:rStyle w:val="ac"/>
                  <w:rFonts w:ascii="Times" w:hAnsi="Times" w:cs="Times"/>
                  <w:color w:val="000000" w:themeColor="text1"/>
                  <w:u w:val="none"/>
                  <w:lang w:eastAsia="x-none"/>
                </w:rPr>
                <w:t>R1-210</w:t>
              </w:r>
              <w:r w:rsidR="0009513C">
                <w:rPr>
                  <w:rStyle w:val="ac"/>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F623E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F623E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d"/>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d"/>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lastRenderedPageBreak/>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lastRenderedPageBreak/>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w:t>
            </w:r>
            <w:proofErr w:type="spellStart"/>
            <w:r>
              <w:t>IoT</w:t>
            </w:r>
            <w:proofErr w:type="spellEnd"/>
            <w:r>
              <w:t xml:space="preserve">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等线"/>
                <w:color w:val="FF0000"/>
                <w:sz w:val="18"/>
                <w:szCs w:val="18"/>
                <w:lang w:eastAsia="zh-CN"/>
              </w:rPr>
            </w:pPr>
            <w:r w:rsidRPr="00E27DF1">
              <w:rPr>
                <w:rFonts w:eastAsia="等线"/>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等线"/>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 xml:space="preserve">(2) UE power saving procedure with respect to PDCCH monitoring is governed by the DRX functionality. Introducing any new procedure to deal with this issue should be aligned with or in </w:t>
            </w:r>
            <w:r w:rsidRPr="00A92364">
              <w:lastRenderedPageBreak/>
              <w:t>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等线"/>
                <w:lang w:eastAsia="zh-CN"/>
              </w:rPr>
            </w:pPr>
            <w:r>
              <w:rPr>
                <w:rFonts w:eastAsia="等线" w:hint="eastAsia"/>
                <w:lang w:eastAsia="zh-CN"/>
              </w:rPr>
              <w:t xml:space="preserve">In general, the first option is acceptable.  For system </w:t>
            </w:r>
            <w:r>
              <w:rPr>
                <w:rFonts w:eastAsia="等线"/>
                <w:lang w:eastAsia="zh-CN"/>
              </w:rPr>
              <w:t>information</w:t>
            </w:r>
            <w:r>
              <w:rPr>
                <w:rFonts w:eastAsia="等线"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等线" w:hint="eastAsia"/>
                <w:sz w:val="18"/>
                <w:szCs w:val="18"/>
                <w:lang w:eastAsia="zh-CN"/>
              </w:rPr>
            </w:pPr>
            <w:r>
              <w:rPr>
                <w:rFonts w:eastAsia="等线" w:hint="eastAsia"/>
                <w:sz w:val="18"/>
                <w:szCs w:val="18"/>
                <w:lang w:eastAsia="zh-CN"/>
              </w:rPr>
              <w:t>X</w:t>
            </w:r>
            <w:r>
              <w:rPr>
                <w:rFonts w:eastAsia="等线"/>
                <w:sz w:val="18"/>
                <w:szCs w:val="18"/>
                <w:lang w:eastAsia="zh-CN"/>
              </w:rPr>
              <w:t>iaomi</w:t>
            </w:r>
          </w:p>
        </w:tc>
        <w:tc>
          <w:tcPr>
            <w:tcW w:w="8370" w:type="dxa"/>
          </w:tcPr>
          <w:p w14:paraId="268499AD" w14:textId="0A382016" w:rsidR="00B57C00" w:rsidRDefault="00B57C00" w:rsidP="00A92364">
            <w:pPr>
              <w:spacing w:beforeLines="50" w:before="120"/>
              <w:ind w:firstLineChars="0" w:firstLine="0"/>
              <w:rPr>
                <w:rFonts w:eastAsia="等线" w:hint="eastAsia"/>
                <w:lang w:eastAsia="zh-CN"/>
              </w:rPr>
            </w:pPr>
            <w:r>
              <w:rPr>
                <w:rFonts w:eastAsia="等线"/>
                <w:lang w:eastAsia="zh-CN"/>
              </w:rPr>
              <w:t>We prefer the second sub-bullet</w:t>
            </w:r>
          </w:p>
        </w:tc>
      </w:tr>
    </w:tbl>
    <w:p w14:paraId="725C8499" w14:textId="23D4D391" w:rsidR="00774F36" w:rsidRPr="004E5F59" w:rsidRDefault="00774F36" w:rsidP="00774F36">
      <w:pPr>
        <w:pStyle w:val="afd"/>
        <w:ind w:left="0" w:firstLineChars="0" w:firstLine="0"/>
        <w:rPr>
          <w:rFonts w:ascii="Times New Roman" w:hAnsi="Times New Roman"/>
          <w:sz w:val="20"/>
          <w:szCs w:val="20"/>
        </w:rPr>
      </w:pPr>
    </w:p>
    <w:p w14:paraId="36C52869" w14:textId="5D57C69B" w:rsidR="00774F36" w:rsidRDefault="00774F36" w:rsidP="00774F36">
      <w:pPr>
        <w:pStyle w:val="afd"/>
        <w:ind w:left="0" w:firstLineChars="0" w:firstLine="0"/>
        <w:rPr>
          <w:rFonts w:ascii="Times New Roman" w:hAnsi="Times New Roman"/>
          <w:sz w:val="20"/>
          <w:szCs w:val="20"/>
        </w:rPr>
      </w:pPr>
    </w:p>
    <w:p w14:paraId="0B6B03E0" w14:textId="481CDA1C" w:rsidR="00F12E3D" w:rsidRPr="00F12E3D" w:rsidRDefault="00F12E3D" w:rsidP="00774F36">
      <w:pPr>
        <w:pStyle w:val="afd"/>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d"/>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d"/>
        <w:ind w:left="0" w:firstLineChars="0" w:firstLine="0"/>
        <w:rPr>
          <w:rFonts w:ascii="Times New Roman" w:hAnsi="Times New Roman"/>
          <w:sz w:val="20"/>
          <w:szCs w:val="20"/>
        </w:rPr>
      </w:pPr>
    </w:p>
    <w:tbl>
      <w:tblPr>
        <w:tblStyle w:val="af2"/>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等线"/>
                <w:color w:val="FF0000"/>
                <w:sz w:val="18"/>
                <w:szCs w:val="18"/>
                <w:lang w:eastAsia="zh-CN"/>
              </w:rPr>
            </w:pPr>
            <w:r w:rsidRPr="001803A1">
              <w:rPr>
                <w:rFonts w:eastAsia="等线"/>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等线" w:hint="eastAsia"/>
                <w:lang w:eastAsia="zh-CN"/>
              </w:rPr>
              <w:t xml:space="preserve">NO need further study. </w:t>
            </w:r>
          </w:p>
        </w:tc>
      </w:tr>
    </w:tbl>
    <w:p w14:paraId="28ADDA66" w14:textId="2260C29C" w:rsidR="00F12E3D" w:rsidRDefault="00F12E3D" w:rsidP="00774F36">
      <w:pPr>
        <w:pStyle w:val="afd"/>
        <w:ind w:left="0" w:firstLineChars="0" w:firstLine="0"/>
        <w:rPr>
          <w:rFonts w:ascii="Times New Roman" w:hAnsi="Times New Roman"/>
          <w:sz w:val="20"/>
          <w:szCs w:val="20"/>
        </w:rPr>
      </w:pPr>
    </w:p>
    <w:p w14:paraId="75169C4F" w14:textId="5DCBA4EA" w:rsidR="00F12E3D" w:rsidRDefault="00F12E3D" w:rsidP="00774F36">
      <w:pPr>
        <w:pStyle w:val="afd"/>
        <w:ind w:left="0" w:firstLineChars="0" w:firstLine="0"/>
        <w:rPr>
          <w:rFonts w:ascii="Times New Roman" w:hAnsi="Times New Roman"/>
          <w:sz w:val="20"/>
          <w:szCs w:val="20"/>
        </w:rPr>
      </w:pPr>
    </w:p>
    <w:p w14:paraId="6882885C" w14:textId="77777777" w:rsidR="00F12E3D" w:rsidRPr="00742E0E" w:rsidRDefault="00F12E3D" w:rsidP="00774F36">
      <w:pPr>
        <w:pStyle w:val="afd"/>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F623E5" w:rsidP="00AA77CF">
            <w:pPr>
              <w:spacing w:before="0" w:after="0" w:line="240" w:lineRule="auto"/>
              <w:ind w:firstLineChars="0" w:firstLine="0"/>
              <w:jc w:val="left"/>
              <w:rPr>
                <w:rStyle w:val="ac"/>
                <w:rFonts w:ascii="Times" w:hAnsi="Times" w:cs="Times"/>
                <w:color w:val="000000" w:themeColor="text1"/>
                <w:u w:val="none"/>
                <w:lang w:eastAsia="x-none"/>
              </w:rPr>
            </w:pPr>
            <w:hyperlink r:id="rId43"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F623E5" w:rsidP="00AA77CF">
            <w:pPr>
              <w:spacing w:before="0" w:after="0" w:line="240" w:lineRule="auto"/>
              <w:ind w:firstLineChars="0" w:firstLine="0"/>
              <w:jc w:val="left"/>
              <w:rPr>
                <w:rStyle w:val="ac"/>
                <w:rFonts w:ascii="Times" w:hAnsi="Times" w:cs="Times"/>
                <w:color w:val="000000" w:themeColor="text1"/>
                <w:u w:val="none"/>
                <w:lang w:eastAsia="x-none"/>
              </w:rPr>
            </w:pPr>
            <w:hyperlink r:id="rId44"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d"/>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d"/>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2"/>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等线"/>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等线"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等线" w:hint="eastAsia"/>
                <w:sz w:val="18"/>
                <w:szCs w:val="18"/>
                <w:lang w:eastAsia="zh-CN"/>
              </w:rPr>
            </w:pPr>
            <w:r>
              <w:rPr>
                <w:rFonts w:eastAsia="等线" w:hint="eastAsia"/>
                <w:sz w:val="18"/>
                <w:szCs w:val="18"/>
                <w:lang w:eastAsia="zh-CN"/>
              </w:rPr>
              <w:t>X</w:t>
            </w:r>
            <w:r>
              <w:rPr>
                <w:rFonts w:eastAsia="等线"/>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等线" w:hint="eastAsia"/>
                <w:sz w:val="18"/>
                <w:szCs w:val="18"/>
                <w:lang w:eastAsia="zh-CN"/>
              </w:rPr>
            </w:pPr>
            <w:r>
              <w:rPr>
                <w:rFonts w:eastAsia="等线" w:hint="eastAsia"/>
                <w:sz w:val="18"/>
                <w:szCs w:val="18"/>
                <w:lang w:eastAsia="zh-CN"/>
              </w:rPr>
              <w:t>No need</w:t>
            </w:r>
            <w:r>
              <w:rPr>
                <w:rFonts w:eastAsia="等线"/>
                <w:sz w:val="18"/>
                <w:szCs w:val="18"/>
                <w:lang w:eastAsia="zh-CN"/>
              </w:rPr>
              <w:t xml:space="preserve"> to have</w:t>
            </w:r>
            <w:bookmarkStart w:id="3" w:name="_GoBack"/>
            <w:bookmarkEnd w:id="3"/>
            <w:r>
              <w:rPr>
                <w:rFonts w:eastAsia="等线" w:hint="eastAsia"/>
                <w:sz w:val="18"/>
                <w:szCs w:val="18"/>
                <w:lang w:eastAsia="zh-CN"/>
              </w:rPr>
              <w:t xml:space="preserve"> additional mechanism.</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2"/>
        <w:ind w:left="576"/>
        <w:rPr>
          <w:lang w:val="en-US"/>
        </w:rPr>
      </w:pPr>
      <w:r>
        <w:rPr>
          <w:lang w:val="en-US"/>
        </w:rPr>
        <w:lastRenderedPageBreak/>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F623E5" w:rsidP="00AA77CF">
            <w:pPr>
              <w:spacing w:before="0" w:after="0" w:line="240" w:lineRule="auto"/>
              <w:ind w:firstLineChars="0" w:firstLine="0"/>
              <w:jc w:val="left"/>
              <w:rPr>
                <w:rStyle w:val="ac"/>
                <w:rFonts w:ascii="Times" w:hAnsi="Times" w:cs="Times"/>
                <w:color w:val="000000" w:themeColor="text1"/>
                <w:u w:val="none"/>
                <w:lang w:eastAsia="x-none"/>
              </w:rPr>
            </w:pPr>
            <w:hyperlink r:id="rId45"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7"/>
              <w:spacing w:before="0" w:after="0" w:line="240" w:lineRule="auto"/>
              <w:ind w:firstLineChars="0" w:firstLine="0"/>
              <w:rPr>
                <w:rFonts w:eastAsia="宋体"/>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F623E5" w:rsidP="00AA77CF">
            <w:pPr>
              <w:spacing w:before="0" w:after="0" w:line="240" w:lineRule="auto"/>
              <w:ind w:firstLineChars="0" w:firstLine="0"/>
              <w:jc w:val="left"/>
              <w:rPr>
                <w:rStyle w:val="ac"/>
                <w:rFonts w:ascii="Times" w:hAnsi="Times" w:cs="Times"/>
                <w:color w:val="000000" w:themeColor="text1"/>
                <w:u w:val="none"/>
                <w:lang w:eastAsia="x-none"/>
              </w:rPr>
            </w:pPr>
            <w:hyperlink r:id="rId46" w:history="1">
              <w:r w:rsidR="0064031F" w:rsidRPr="00953F5D">
                <w:rPr>
                  <w:rStyle w:val="ac"/>
                  <w:rFonts w:ascii="Times" w:hAnsi="Times" w:cs="Times"/>
                  <w:color w:val="000000" w:themeColor="text1"/>
                  <w:u w:val="none"/>
                  <w:lang w:eastAsia="x-none"/>
                </w:rPr>
                <w:t>R1-210</w:t>
              </w:r>
              <w:r w:rsidR="0064031F">
                <w:rPr>
                  <w:rStyle w:val="ac"/>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2"/>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w:t>
            </w:r>
            <w:r>
              <w:rPr>
                <w:rFonts w:eastAsia="MS Mincho"/>
              </w:rPr>
              <w:lastRenderedPageBreak/>
              <w:t xml:space="preserve">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lastRenderedPageBreak/>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w:t>
            </w:r>
            <w:proofErr w:type="spellStart"/>
            <w:r w:rsidRPr="00802504">
              <w:rPr>
                <w:sz w:val="18"/>
                <w:szCs w:val="18"/>
              </w:rPr>
              <w:t>IoT</w:t>
            </w:r>
            <w:proofErr w:type="spellEnd"/>
            <w:r w:rsidRPr="00802504">
              <w:rPr>
                <w:sz w:val="18"/>
                <w:szCs w:val="18"/>
              </w:rPr>
              <w:t xml:space="preserve">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等线"/>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等线"/>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等线"/>
                <w:lang w:eastAsia="zh-CN"/>
              </w:rPr>
            </w:pPr>
            <w:proofErr w:type="spellStart"/>
            <w:r>
              <w:rPr>
                <w:rFonts w:eastAsia="等线"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等线"/>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等线"/>
                <w:lang w:eastAsia="zh-CN"/>
              </w:rPr>
              <w:t>I</w:t>
            </w:r>
            <w:r>
              <w:rPr>
                <w:rFonts w:eastAsia="等线" w:hint="eastAsia"/>
                <w:lang w:eastAsia="zh-CN"/>
              </w:rPr>
              <w:t xml:space="preserve">t is related to RAN2 scope.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F623E5" w:rsidP="00AA77CF">
            <w:pPr>
              <w:spacing w:before="0" w:after="0" w:line="240" w:lineRule="auto"/>
              <w:ind w:firstLineChars="0" w:firstLine="0"/>
              <w:jc w:val="left"/>
              <w:rPr>
                <w:rStyle w:val="ac"/>
                <w:rFonts w:ascii="Times" w:hAnsi="Times" w:cs="Times"/>
                <w:color w:val="000000" w:themeColor="text1"/>
                <w:u w:val="none"/>
                <w:lang w:eastAsia="x-none"/>
              </w:rPr>
            </w:pPr>
            <w:hyperlink r:id="rId47" w:history="1">
              <w:r w:rsidR="002708FC" w:rsidRPr="00953F5D">
                <w:rPr>
                  <w:rStyle w:val="ac"/>
                  <w:rFonts w:ascii="Times" w:hAnsi="Times" w:cs="Times"/>
                  <w:color w:val="000000" w:themeColor="text1"/>
                  <w:u w:val="none"/>
                  <w:lang w:eastAsia="x-none"/>
                </w:rPr>
                <w:t>R1-210</w:t>
              </w:r>
              <w:r w:rsidR="002708FC">
                <w:rPr>
                  <w:rStyle w:val="ac"/>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2"/>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lastRenderedPageBreak/>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等线"/>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等线"/>
                <w:sz w:val="18"/>
                <w:szCs w:val="18"/>
                <w:lang w:eastAsia="zh-CN"/>
              </w:rPr>
            </w:pPr>
            <w:proofErr w:type="spellStart"/>
            <w:r>
              <w:rPr>
                <w:rFonts w:eastAsia="等线" w:hint="eastAsia"/>
                <w:sz w:val="18"/>
                <w:szCs w:val="18"/>
                <w:lang w:eastAsia="zh-CN"/>
              </w:rPr>
              <w:t>Spr</w:t>
            </w:r>
            <w:r>
              <w:rPr>
                <w:rFonts w:eastAsia="等线"/>
                <w:sz w:val="18"/>
                <w:szCs w:val="18"/>
                <w:lang w:eastAsia="zh-CN"/>
              </w:rPr>
              <w:t>e</w:t>
            </w:r>
            <w:r>
              <w:rPr>
                <w:rFonts w:eastAsia="等线"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等线"/>
                <w:sz w:val="18"/>
                <w:szCs w:val="18"/>
                <w:lang w:eastAsia="zh-CN"/>
              </w:rPr>
              <w:t>N</w:t>
            </w:r>
            <w:r>
              <w:rPr>
                <w:rFonts w:eastAsia="等线" w:hint="eastAsia"/>
                <w:sz w:val="18"/>
                <w:szCs w:val="18"/>
                <w:lang w:eastAsia="zh-CN"/>
              </w:rPr>
              <w:t>o need</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4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4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xml:space="preserve">, the </w:t>
            </w:r>
            <w:proofErr w:type="spellStart"/>
            <w:r w:rsidRPr="005C0A93">
              <w:rPr>
                <w:rFonts w:eastAsia="宋体"/>
                <w:bCs/>
                <w:iCs/>
                <w:lang w:val="en-GB" w:eastAsia="ja-JP"/>
              </w:rPr>
              <w:t>IoT</w:t>
            </w:r>
            <w:proofErr w:type="spellEnd"/>
            <w:r w:rsidRPr="005C0A93">
              <w:rPr>
                <w:rFonts w:eastAsia="宋体"/>
                <w:bCs/>
                <w:iCs/>
                <w:lang w:val="en-GB" w:eastAsia="ja-JP"/>
              </w:rPr>
              <w:t xml:space="preserve">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7"/>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w:t>
            </w:r>
            <w:proofErr w:type="spellStart"/>
            <w:r w:rsidR="000C6C5E" w:rsidRPr="005C0A93">
              <w:rPr>
                <w:rFonts w:eastAsiaTheme="minorEastAsia"/>
                <w:iCs/>
                <w:lang w:eastAsia="zh-CN"/>
              </w:rPr>
              <w:t>IoT</w:t>
            </w:r>
            <w:proofErr w:type="spellEnd"/>
            <w:r w:rsidR="000C6C5E" w:rsidRPr="005C0A93">
              <w:rPr>
                <w:rFonts w:eastAsiaTheme="minorEastAsia"/>
                <w:iCs/>
                <w:lang w:eastAsia="zh-CN"/>
              </w:rPr>
              <w: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af7"/>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7"/>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7"/>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w:t>
            </w:r>
            <w:proofErr w:type="spellStart"/>
            <w:r w:rsidR="000C6C5E" w:rsidRPr="005C0A93">
              <w:rPr>
                <w:lang w:eastAsia="zh-CN"/>
              </w:rPr>
              <w:t>IoT</w:t>
            </w:r>
            <w:proofErr w:type="spellEnd"/>
            <w:r w:rsidR="000C6C5E" w:rsidRPr="005C0A93">
              <w:rPr>
                <w:lang w:eastAsia="zh-CN"/>
              </w:rPr>
              <w:t xml:space="preserve">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lastRenderedPageBreak/>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7"/>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3"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d"/>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4"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1: HARQ disabling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af7"/>
              <w:spacing w:before="0" w:after="0" w:line="240" w:lineRule="auto"/>
              <w:ind w:firstLineChars="0" w:firstLine="0"/>
            </w:pPr>
            <w:r w:rsidRPr="00DF6205">
              <w:rPr>
                <w:b/>
              </w:rPr>
              <w:t>Proposal</w:t>
            </w:r>
            <w:r w:rsidR="000C6C5E" w:rsidRPr="005C0A93">
              <w:t xml:space="preserve"> 2: HARQ disabling and increased HARQ process number for NB-</w:t>
            </w:r>
            <w:proofErr w:type="spellStart"/>
            <w:r w:rsidR="000C6C5E" w:rsidRPr="005C0A93">
              <w:t>IoT</w:t>
            </w:r>
            <w:proofErr w:type="spellEnd"/>
            <w:r w:rsidR="000C6C5E" w:rsidRPr="005C0A93">
              <w: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5"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7"/>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af7"/>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7"/>
              <w:spacing w:before="0" w:after="0" w:line="240" w:lineRule="auto"/>
              <w:ind w:firstLineChars="0" w:firstLine="0"/>
              <w:rPr>
                <w:rFonts w:eastAsiaTheme="minorHAnsi"/>
              </w:rPr>
            </w:pPr>
          </w:p>
          <w:p w14:paraId="35247E82" w14:textId="0E2138D7"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7"/>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6"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F623E5" w:rsidP="00984E15">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57"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d"/>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d"/>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d"/>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8"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59"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60"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61"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F623E5" w:rsidP="00984E15">
            <w:pPr>
              <w:spacing w:before="0" w:after="0" w:line="240" w:lineRule="auto"/>
              <w:ind w:firstLineChars="0" w:firstLine="0"/>
              <w:jc w:val="left"/>
              <w:rPr>
                <w:rStyle w:val="ac"/>
                <w:rFonts w:ascii="Times" w:hAnsi="Times" w:cs="Times"/>
                <w:color w:val="000000" w:themeColor="text1"/>
                <w:u w:val="none"/>
                <w:lang w:eastAsia="x-none"/>
              </w:rPr>
            </w:pPr>
            <w:hyperlink r:id="rId62" w:history="1">
              <w:r w:rsidR="00A11F32" w:rsidRPr="00953F5D">
                <w:rPr>
                  <w:rStyle w:val="ac"/>
                  <w:rFonts w:ascii="Times" w:hAnsi="Times" w:cs="Times"/>
                  <w:color w:val="000000" w:themeColor="text1"/>
                  <w:u w:val="none"/>
                  <w:lang w:eastAsia="x-none"/>
                </w:rPr>
                <w:t>R1-210</w:t>
              </w:r>
              <w:r w:rsidR="00A11F32">
                <w:rPr>
                  <w:rStyle w:val="ac"/>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c"/>
                <w:rFonts w:ascii="Times" w:hAnsi="Times" w:cs="Times"/>
                <w:color w:val="000000" w:themeColor="text1"/>
                <w:u w:val="none"/>
                <w:lang w:eastAsia="x-none"/>
              </w:rPr>
              <w:t>APT,FGI</w:t>
            </w:r>
            <w:r w:rsidR="005C0A93">
              <w:rPr>
                <w:rStyle w:val="ac"/>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F623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F623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F623E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5"/>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 xml:space="preserve">Consideration on enhancements on HARQ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 xml:space="preserve">HARQ enhancement for </w:t>
      </w:r>
      <w:proofErr w:type="spellStart"/>
      <w:r w:rsidRPr="00430839">
        <w:rPr>
          <w:rFonts w:ascii="Times" w:hAnsi="Times" w:cs="Times"/>
          <w:color w:val="000000" w:themeColor="text1"/>
          <w:sz w:val="20"/>
          <w:szCs w:val="20"/>
          <w:lang w:eastAsia="x-none"/>
        </w:rPr>
        <w:t>IoT</w:t>
      </w:r>
      <w:proofErr w:type="spellEnd"/>
      <w:r w:rsidRPr="00430839">
        <w:rPr>
          <w:rFonts w:ascii="Times" w:hAnsi="Times" w:cs="Times"/>
          <w:color w:val="000000" w:themeColor="text1"/>
          <w:sz w:val="20"/>
          <w:szCs w:val="20"/>
          <w:lang w:eastAsia="x-none"/>
        </w:rPr>
        <w:t xml:space="preserve">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afd"/>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5"/>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w:t>
      </w:r>
      <w:proofErr w:type="spellStart"/>
      <w:r w:rsidRPr="00CC7A2A">
        <w:rPr>
          <w:lang w:eastAsia="zh-CN"/>
        </w:rPr>
        <w:t>IoT</w:t>
      </w:r>
      <w:proofErr w:type="spellEnd"/>
      <w:r w:rsidRPr="00CC7A2A">
        <w:rPr>
          <w:lang w:eastAsia="zh-CN"/>
        </w:rPr>
        <w:t xml:space="preserve">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lastRenderedPageBreak/>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w:t>
      </w:r>
      <w:proofErr w:type="spellStart"/>
      <w:r w:rsidRPr="00352FBC">
        <w:rPr>
          <w:lang w:eastAsia="zh-CN"/>
        </w:rPr>
        <w:t>IoT</w:t>
      </w:r>
      <w:proofErr w:type="spellEnd"/>
      <w:r w:rsidRPr="00352FBC">
        <w:rPr>
          <w:lang w:eastAsia="zh-CN"/>
        </w:rPr>
        <w:t xml:space="preserve">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c"/>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w:t>
      </w:r>
      <w:proofErr w:type="spellStart"/>
      <w:r>
        <w:rPr>
          <w:lang w:eastAsia="x-none"/>
        </w:rPr>
        <w:t>IoT</w:t>
      </w:r>
      <w:proofErr w:type="spellEnd"/>
      <w:r>
        <w:rPr>
          <w:lang w:eastAsia="x-none"/>
        </w:rPr>
        <w:t xml:space="preserve"> and for </w:t>
      </w:r>
      <w:proofErr w:type="spellStart"/>
      <w:r>
        <w:rPr>
          <w:lang w:eastAsia="x-none"/>
        </w:rPr>
        <w:t>eMTC</w:t>
      </w:r>
      <w:proofErr w:type="spellEnd"/>
      <w:r>
        <w:rPr>
          <w:lang w:eastAsia="x-none"/>
        </w:rPr>
        <w:t xml:space="preserve"> in NTN is recommended not to be supported in Rel-17.</w:t>
      </w:r>
    </w:p>
    <w:p w14:paraId="0C29308E" w14:textId="18593BC0" w:rsidR="00472C23" w:rsidRDefault="00472C23" w:rsidP="00287C3D">
      <w:pPr>
        <w:pStyle w:val="25"/>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d"/>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lastRenderedPageBreak/>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afc"/>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c"/>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B0FA" w14:textId="77777777" w:rsidR="00F623E5" w:rsidRDefault="00F623E5" w:rsidP="007378B8">
      <w:r>
        <w:separator/>
      </w:r>
    </w:p>
  </w:endnote>
  <w:endnote w:type="continuationSeparator" w:id="0">
    <w:p w14:paraId="04CE2902" w14:textId="77777777" w:rsidR="00F623E5" w:rsidRDefault="00F623E5"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2AD91C55" w:rsidR="00F97250" w:rsidRDefault="00F97250">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B57C00">
      <w:rPr>
        <w:rStyle w:val="af5"/>
        <w:i/>
        <w:color w:val="auto"/>
      </w:rPr>
      <w:t>20</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C074" w14:textId="77777777" w:rsidR="00F623E5" w:rsidRDefault="00F623E5" w:rsidP="007378B8">
      <w:r>
        <w:separator/>
      </w:r>
    </w:p>
  </w:footnote>
  <w:footnote w:type="continuationSeparator" w:id="0">
    <w:p w14:paraId="7D2FA72A" w14:textId="77777777" w:rsidR="00F623E5" w:rsidRDefault="00F623E5" w:rsidP="007378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F97250" w:rsidRDefault="00F97250"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2">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link w:val="2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1"/>
    <w:link w:val="B4Char"/>
  </w:style>
  <w:style w:type="paragraph" w:customStyle="1" w:styleId="B5">
    <w:name w:val="B5"/>
    <w:basedOn w:val="51"/>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6">
    <w:name w:val="列表 2 字符"/>
    <w:link w:val="25"/>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7">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7"/>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出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able of figures"/>
    <w:basedOn w:val="af7"/>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93A4C8CE-8DA3-4D75-BF07-8ADA0285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10610</Words>
  <Characters>60480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Microsoft</cp:lastModifiedBy>
  <cp:revision>3</cp:revision>
  <dcterms:created xsi:type="dcterms:W3CDTF">2021-05-24T10:16:00Z</dcterms:created>
  <dcterms:modified xsi:type="dcterms:W3CDTF">2021-05-24T10:18:00Z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