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6292DF8C" w:rsidR="001666C6" w:rsidRPr="001666C6" w:rsidRDefault="00430839"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Pr>
          <w:rFonts w:ascii="Arial" w:eastAsia="PMingLiU" w:hAnsi="Arial" w:cs="Arial"/>
          <w:b/>
          <w:bCs/>
          <w:sz w:val="22"/>
          <w:szCs w:val="22"/>
          <w:lang w:val="de-DE" w:eastAsia="zh-TW"/>
        </w:rPr>
        <w:t>3GPP TSG RAN WG1 #105</w:t>
      </w:r>
      <w:r w:rsidR="001666C6" w:rsidRPr="001666C6">
        <w:rPr>
          <w:rFonts w:ascii="Arial" w:eastAsia="PMingLiU" w:hAnsi="Arial" w:cs="Arial"/>
          <w:b/>
          <w:bCs/>
          <w:sz w:val="22"/>
          <w:szCs w:val="22"/>
          <w:lang w:val="de-DE" w:eastAsia="zh-TW"/>
        </w:rPr>
        <w:t>-e</w:t>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r>
      <w:r w:rsidR="001666C6"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411E84">
        <w:rPr>
          <w:rFonts w:ascii="Arial" w:eastAsia="PMingLiU" w:hAnsi="Arial" w:cs="Arial"/>
          <w:b/>
          <w:bCs/>
          <w:sz w:val="22"/>
          <w:szCs w:val="22"/>
          <w:lang w:val="de-DE" w:eastAsia="zh-TW"/>
        </w:rPr>
        <w:t>x</w:t>
      </w:r>
      <w:r>
        <w:rPr>
          <w:rFonts w:ascii="Arial" w:eastAsia="PMingLiU" w:hAnsi="Arial" w:cs="Arial"/>
          <w:b/>
          <w:bCs/>
          <w:sz w:val="22"/>
          <w:szCs w:val="22"/>
          <w:lang w:val="de-DE" w:eastAsia="zh-TW"/>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AA77CF" w:rsidRPr="00231B58" w:rsidRDefault="00AA77CF"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AA77CF" w:rsidRPr="00251521" w:rsidRDefault="00AA77CF"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AA77CF" w:rsidRPr="00251521" w:rsidRDefault="00AA77CF"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AA77CF" w:rsidRPr="00787267" w:rsidRDefault="00AA77CF"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AA77CF" w:rsidRPr="00231B58" w:rsidRDefault="00AA77CF"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AA77CF" w:rsidRPr="00251521" w:rsidRDefault="00AA77CF"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AA77CF" w:rsidRPr="00251521" w:rsidRDefault="00AA77CF"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AA77CF" w:rsidRPr="00251521" w:rsidRDefault="00AA77CF"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AA77CF" w:rsidRPr="00251521" w:rsidRDefault="00AA77CF"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AA77CF" w:rsidRPr="00787267" w:rsidRDefault="00AA77CF"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w:t>
            </w:r>
            <w:proofErr w:type="spellStart"/>
            <w:r w:rsidRPr="00DF6205">
              <w:rPr>
                <w:bCs/>
              </w:rPr>
              <w:t>es</w:t>
            </w:r>
            <w:proofErr w:type="spellEnd"/>
            <w:r w:rsidRPr="00DF6205">
              <w:rPr>
                <w:bCs/>
              </w:rPr>
              <w:t>)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65A21"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65A21"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65A21"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4657C60A" w:rsidR="00231145" w:rsidRDefault="00231145"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D906A2D" w14:textId="19A16CB6" w:rsidR="00231145" w:rsidRPr="00231145" w:rsidRDefault="00231145" w:rsidP="00BD0CB9">
            <w:pPr>
              <w:spacing w:beforeLines="50" w:before="120"/>
            </w:pP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lastRenderedPageBreak/>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77777777"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proofErr w:type="spellStart"/>
            <w:r w:rsidRPr="000952EE">
              <w:rPr>
                <w:bCs/>
                <w:strike/>
                <w:color w:val="00B0F0"/>
                <w:lang w:eastAsia="zh-CN"/>
              </w:rPr>
              <w:t>F</w:t>
            </w:r>
            <w:r w:rsidRPr="000952EE">
              <w:rPr>
                <w:bCs/>
                <w:color w:val="00B0F0"/>
                <w:lang w:eastAsia="zh-CN"/>
              </w:rPr>
              <w:t>f</w:t>
            </w:r>
            <w:r w:rsidRPr="000952EE">
              <w:rPr>
                <w:bCs/>
                <w:lang w:eastAsia="zh-CN"/>
              </w:rPr>
              <w:t>or</w:t>
            </w:r>
            <w:proofErr w:type="spellEnd"/>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proofErr w:type="spellStart"/>
      <w:r w:rsidRPr="00675026">
        <w:rPr>
          <w:lang w:eastAsia="zh-CN"/>
        </w:rPr>
        <w:t>subframe</w:t>
      </w:r>
      <w:proofErr w:type="spellEnd"/>
      <w:r w:rsidRPr="00675026">
        <w:rPr>
          <w:lang w:eastAsia="zh-CN"/>
        </w:rPr>
        <w:t xml:space="preserv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UE might be scheduled to transmit new unicast data before one RTT has passed. 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w:t>
            </w:r>
            <w:proofErr w:type="spellStart"/>
            <w:r w:rsidRPr="001E0D73">
              <w:rPr>
                <w:lang w:eastAsia="zh-CN"/>
              </w:rPr>
              <w:t>subframe</w:t>
            </w:r>
            <w:proofErr w:type="spellEnd"/>
            <w:r w:rsidRPr="001E0D73">
              <w:rPr>
                <w:lang w:eastAsia="zh-CN"/>
              </w:rPr>
              <w:t xml:space="preserv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w:t>
            </w:r>
            <w:r w:rsidRPr="005C0A93">
              <w:rPr>
                <w:rFonts w:eastAsia="SimSun"/>
                <w:bCs/>
                <w:iCs/>
                <w:lang w:val="en-GB" w:eastAsia="ja-JP"/>
              </w:rPr>
              <w:lastRenderedPageBreak/>
              <w:t xml:space="preserve">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65A21"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65A21"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77777777" w:rsidR="00774F36" w:rsidRDefault="00774F36" w:rsidP="00AA77CF">
            <w:pPr>
              <w:snapToGrid w:val="0"/>
              <w:ind w:firstLineChars="0" w:firstLine="0"/>
              <w:jc w:val="left"/>
              <w:rPr>
                <w:rFonts w:eastAsia="DengXi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3A098C7" w14:textId="77777777" w:rsidR="00774F36" w:rsidRPr="00231145" w:rsidRDefault="00774F36" w:rsidP="00AA77CF">
            <w:pPr>
              <w:spacing w:beforeLines="50" w:before="120"/>
            </w:pPr>
          </w:p>
        </w:tc>
      </w:tr>
    </w:tbl>
    <w:p w14:paraId="725C8499" w14:textId="23D4D391" w:rsidR="00774F36"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72014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72014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77777777" w:rsidR="00F12E3D" w:rsidRDefault="00F12E3D" w:rsidP="00720142">
            <w:pPr>
              <w:snapToGrid w:val="0"/>
              <w:ind w:firstLineChars="0" w:firstLine="0"/>
              <w:jc w:val="left"/>
              <w:rPr>
                <w:rFonts w:eastAsia="DengXi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B9AFDEA" w14:textId="77777777" w:rsidR="00F12E3D" w:rsidRPr="00231145" w:rsidRDefault="00F12E3D" w:rsidP="00720142">
            <w:pPr>
              <w:spacing w:beforeLines="50" w:before="120"/>
            </w:pP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65A21"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65A21"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77777777" w:rsidR="00E22594" w:rsidRDefault="00E22594" w:rsidP="00AA77CF">
            <w:pPr>
              <w:snapToGrid w:val="0"/>
              <w:ind w:firstLineChars="0" w:firstLine="0"/>
              <w:jc w:val="left"/>
              <w:rPr>
                <w:b/>
                <w:sz w:val="18"/>
                <w:szCs w:val="18"/>
              </w:rPr>
            </w:pP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77777777" w:rsidR="00E22594" w:rsidRDefault="00E22594" w:rsidP="00AA77CF">
            <w:pPr>
              <w:snapToGrid w:val="0"/>
              <w:ind w:firstLineChars="0" w:firstLine="0"/>
              <w:jc w:val="left"/>
              <w:rPr>
                <w:b/>
                <w:sz w:val="18"/>
                <w:szCs w:val="18"/>
              </w:rPr>
            </w:pPr>
          </w:p>
        </w:tc>
      </w:tr>
    </w:tbl>
    <w:p w14:paraId="06FBCE10" w14:textId="77777777" w:rsidR="00E22594" w:rsidRDefault="00E22594" w:rsidP="00FD3874">
      <w:pPr>
        <w:ind w:left="200" w:firstLineChars="0" w:firstLine="0"/>
      </w:pPr>
    </w:p>
    <w:p w14:paraId="32E3ED19" w14:textId="2C652C5E" w:rsidR="006F371A" w:rsidRDefault="00034D56" w:rsidP="006F371A">
      <w:pPr>
        <w:pStyle w:val="Heading2"/>
        <w:ind w:left="576"/>
        <w:rPr>
          <w:lang w:val="en-US"/>
        </w:rPr>
      </w:pPr>
      <w:bookmarkStart w:id="3" w:name="_GoBack"/>
      <w:bookmarkEnd w:id="3"/>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65A21"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65A21"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lastRenderedPageBreak/>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77777777" w:rsidR="00EF71DE" w:rsidRDefault="00EF71DE" w:rsidP="00AA77CF">
            <w:pPr>
              <w:snapToGrid w:val="0"/>
              <w:ind w:firstLineChars="0" w:firstLine="0"/>
              <w:jc w:val="left"/>
              <w:rPr>
                <w:b/>
                <w:sz w:val="18"/>
                <w:szCs w:val="18"/>
              </w:rPr>
            </w:pP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77777777" w:rsidR="00EF71DE" w:rsidRDefault="00EF71DE" w:rsidP="00AA77CF">
            <w:pPr>
              <w:snapToGrid w:val="0"/>
              <w:ind w:firstLineChars="0" w:firstLine="0"/>
              <w:jc w:val="left"/>
              <w:rPr>
                <w:b/>
                <w:sz w:val="18"/>
                <w:szCs w:val="18"/>
              </w:rPr>
            </w:pP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65A21"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77777777" w:rsidR="00103A17" w:rsidRDefault="00103A17" w:rsidP="009878B6">
            <w:pPr>
              <w:snapToGrid w:val="0"/>
              <w:ind w:firstLineChars="0" w:firstLine="0"/>
              <w:jc w:val="left"/>
              <w:rPr>
                <w:b/>
                <w:sz w:val="18"/>
                <w:szCs w:val="18"/>
              </w:rPr>
            </w:pP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77777777" w:rsidR="00103A17" w:rsidRDefault="00103A17" w:rsidP="009878B6">
            <w:pPr>
              <w:snapToGrid w:val="0"/>
              <w:ind w:firstLineChars="0" w:firstLine="0"/>
              <w:jc w:val="left"/>
              <w:rPr>
                <w:b/>
                <w:sz w:val="18"/>
                <w:szCs w:val="18"/>
              </w:rPr>
            </w:pPr>
          </w:p>
        </w:tc>
      </w:tr>
    </w:tbl>
    <w:p w14:paraId="2835A2DA" w14:textId="6A374025" w:rsidR="004E20B3" w:rsidRPr="00952A73"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w:t>
            </w:r>
            <w:proofErr w:type="spellStart"/>
            <w:r w:rsidRPr="005C0A93">
              <w:rPr>
                <w:lang w:eastAsia="zh-CN"/>
              </w:rPr>
              <w:t>subframe</w:t>
            </w:r>
            <w:proofErr w:type="spellEnd"/>
            <w:r w:rsidRPr="005C0A93">
              <w:rPr>
                <w:lang w:eastAsia="zh-CN"/>
              </w:rPr>
              <w:t xml:space="preserv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lastRenderedPageBreak/>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 xml:space="preserve">RTT time, 3 </w:t>
            </w:r>
            <w:proofErr w:type="spellStart"/>
            <w:r w:rsidR="000C6C5E" w:rsidRPr="005C0A93">
              <w:rPr>
                <w:rFonts w:eastAsia="SimSun"/>
                <w:bCs/>
                <w:iCs/>
                <w:lang w:val="en-GB" w:eastAsia="ja-JP"/>
              </w:rPr>
              <w:t>subframe</w:t>
            </w:r>
            <w:proofErr w:type="spellEnd"/>
            <w:r w:rsidR="000C6C5E" w:rsidRPr="005C0A93">
              <w:rPr>
                <w:rFonts w:eastAsia="SimSun"/>
                <w:bCs/>
                <w:iCs/>
                <w:lang w:val="en-GB" w:eastAsia="ja-JP"/>
              </w:rPr>
              <w:t>)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 xml:space="preserve">RTT time, 3 </w:t>
            </w:r>
            <w:proofErr w:type="spellStart"/>
            <w:r w:rsidR="000C6C5E" w:rsidRPr="005C0A93">
              <w:rPr>
                <w:rFonts w:eastAsia="SimSun"/>
                <w:bCs/>
                <w:iCs/>
                <w:lang w:val="en-GB" w:eastAsia="ja-JP"/>
              </w:rPr>
              <w:t>subframe</w:t>
            </w:r>
            <w:proofErr w:type="spellEnd"/>
            <w:r w:rsidR="000C6C5E" w:rsidRPr="005C0A93">
              <w:rPr>
                <w:rFonts w:eastAsia="SimSun"/>
                <w:bCs/>
                <w:iCs/>
                <w:lang w:val="en-GB" w:eastAsia="ja-JP"/>
              </w:rPr>
              <w:t>)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w:t>
            </w:r>
            <w:proofErr w:type="spellStart"/>
            <w:r w:rsidR="000C6C5E" w:rsidRPr="00DF6205">
              <w:rPr>
                <w:bCs/>
              </w:rPr>
              <w:t>es</w:t>
            </w:r>
            <w:proofErr w:type="spellEnd"/>
            <w:r w:rsidR="000C6C5E" w:rsidRPr="00DF6205">
              <w:rPr>
                <w:bCs/>
              </w:rPr>
              <w:t>)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65A21"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lastRenderedPageBreak/>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65A21"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65A21"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65A21"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65A21"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lastRenderedPageBreak/>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lastRenderedPageBreak/>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DAE6F" w14:textId="77777777" w:rsidR="00E65A21" w:rsidRDefault="00E65A21" w:rsidP="007378B8">
      <w:r>
        <w:separator/>
      </w:r>
    </w:p>
  </w:endnote>
  <w:endnote w:type="continuationSeparator" w:id="0">
    <w:p w14:paraId="7AC4B21F" w14:textId="77777777" w:rsidR="00E65A21" w:rsidRDefault="00E65A21"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1C30F907" w:rsidR="00AA77CF" w:rsidRDefault="00AA77C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324740">
      <w:rPr>
        <w:rStyle w:val="PageNumber"/>
        <w:i/>
        <w:color w:val="auto"/>
      </w:rPr>
      <w:t>10</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E57DB" w14:textId="77777777" w:rsidR="00E65A21" w:rsidRDefault="00E65A21" w:rsidP="007378B8">
      <w:r>
        <w:separator/>
      </w:r>
    </w:p>
  </w:footnote>
  <w:footnote w:type="continuationSeparator" w:id="0">
    <w:p w14:paraId="0CFAC6EB" w14:textId="77777777" w:rsidR="00E65A21" w:rsidRDefault="00E65A21"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AA77CF" w:rsidRDefault="00AA77C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957B5808-EC91-4519-91E8-8BC1F0EF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16</Pages>
  <Words>8331</Words>
  <Characters>47491</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 2</cp:lastModifiedBy>
  <cp:revision>58</cp:revision>
  <dcterms:created xsi:type="dcterms:W3CDTF">2021-05-19T05:19:00Z</dcterms:created>
  <dcterms:modified xsi:type="dcterms:W3CDTF">2021-05-19T19:04:00Z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