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8472180" w:rsidR="00693B09" w:rsidRDefault="000705DD">
      <w:pPr>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 xml:space="preserve">Note: The total PDCCH blind decoding budget should not be changed </w:t>
            </w:r>
            <w:proofErr w:type="gramStart"/>
            <w:r>
              <w:rPr>
                <w:rFonts w:ascii="Arial" w:hAnsi="Arial" w:cs="Arial"/>
                <w:szCs w:val="20"/>
              </w:rPr>
              <w:t>as a result of</w:t>
            </w:r>
            <w:proofErr w:type="gramEnd"/>
            <w:r>
              <w:rPr>
                <w:rFonts w:ascii="Arial" w:hAnsi="Arial" w:cs="Arial"/>
                <w:szCs w:val="20"/>
              </w:rPr>
              <w:t xml:space="preserve">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sends LS to </w:t>
            </w:r>
            <w:proofErr w:type="gramStart"/>
            <w:r w:rsidRPr="00F85665">
              <w:rPr>
                <w:i/>
                <w:szCs w:val="20"/>
                <w:lang w:eastAsia="zh-CN"/>
              </w:rPr>
              <w:t>RAN</w:t>
            </w:r>
            <w:proofErr w:type="gramEnd"/>
            <w:r w:rsidRPr="00F85665">
              <w:rPr>
                <w:i/>
                <w:szCs w:val="20"/>
                <w:lang w:eastAsia="zh-CN"/>
              </w:rPr>
              <w:t xml:space="preserve">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BodyText"/>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 xml:space="preserve">should be discussed and study </w:t>
            </w:r>
            <w:proofErr w:type="gramStart"/>
            <w:r w:rsidRPr="00F85665">
              <w:rPr>
                <w:rFonts w:eastAsia="宋体"/>
                <w:i/>
                <w:szCs w:val="20"/>
                <w:lang w:val="en-US" w:eastAsia="zh-CN"/>
              </w:rPr>
              <w:t>whether or not</w:t>
            </w:r>
            <w:proofErr w:type="gramEnd"/>
            <w:r w:rsidRPr="00F85665">
              <w:rPr>
                <w:rFonts w:eastAsia="宋体"/>
                <w:i/>
                <w:szCs w:val="20"/>
                <w:lang w:val="en-US" w:eastAsia="zh-CN"/>
              </w:rPr>
              <w:t xml:space="preserve">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w:t>
      </w:r>
      <w:r w:rsidR="00244E0D">
        <w:rPr>
          <w:bCs/>
          <w:color w:val="000000" w:themeColor="text1"/>
        </w:rPr>
        <w:t xml:space="preserve"> (100%)</w:t>
      </w:r>
      <w:r w:rsidR="00244E0D">
        <w:rPr>
          <w:bCs/>
          <w:color w:val="000000" w:themeColor="text1"/>
        </w:rPr>
        <w:t xml:space="preserve"> and large DCI payload</w:t>
      </w:r>
      <w:r w:rsidR="00244E0D">
        <w:rPr>
          <w:bCs/>
          <w:color w:val="000000" w:themeColor="text1"/>
        </w:rPr>
        <w:t xml:space="preserve"> sizes (96/108)</w:t>
      </w:r>
      <w:r w:rsidR="00244E0D">
        <w:t>.</w:t>
      </w:r>
    </w:p>
    <w:p w14:paraId="08A71928" w14:textId="79B8B157" w:rsidR="005963D1" w:rsidRPr="00802E56" w:rsidRDefault="005963D1" w:rsidP="00F7263A">
      <w:proofErr w:type="gramStart"/>
      <w:r>
        <w:t>In order to</w:t>
      </w:r>
      <w:proofErr w:type="gramEnd"/>
      <w:r>
        <w:t xml:space="preserve">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C24987" w14:paraId="16511BFF" w14:textId="77777777" w:rsidTr="008772FC">
        <w:tc>
          <w:tcPr>
            <w:tcW w:w="1555" w:type="dxa"/>
          </w:tcPr>
          <w:p w14:paraId="384C3C59" w14:textId="274DCBC7" w:rsidR="00C24987" w:rsidRDefault="00C24987" w:rsidP="008772FC">
            <w:pPr>
              <w:rPr>
                <w:szCs w:val="20"/>
              </w:rPr>
            </w:pPr>
          </w:p>
        </w:tc>
        <w:tc>
          <w:tcPr>
            <w:tcW w:w="7796" w:type="dxa"/>
          </w:tcPr>
          <w:p w14:paraId="5FB3F87F" w14:textId="448E6F3A" w:rsidR="00C24987" w:rsidRDefault="00C24987" w:rsidP="008772FC">
            <w:pPr>
              <w:rPr>
                <w:szCs w:val="20"/>
              </w:rPr>
            </w:pPr>
          </w:p>
        </w:tc>
      </w:tr>
      <w:tr w:rsidR="00C24987" w14:paraId="2371A98A" w14:textId="77777777" w:rsidTr="008772FC">
        <w:tc>
          <w:tcPr>
            <w:tcW w:w="1555" w:type="dxa"/>
          </w:tcPr>
          <w:p w14:paraId="40ABC2C7" w14:textId="0E13B447" w:rsidR="00C24987" w:rsidRPr="00951667" w:rsidRDefault="00C24987" w:rsidP="008772FC">
            <w:pPr>
              <w:rPr>
                <w:rFonts w:eastAsia="MS Mincho"/>
                <w:lang w:eastAsia="ja-JP"/>
              </w:rPr>
            </w:pPr>
          </w:p>
        </w:tc>
        <w:tc>
          <w:tcPr>
            <w:tcW w:w="7796" w:type="dxa"/>
          </w:tcPr>
          <w:p w14:paraId="185C2E87" w14:textId="6E8F649C" w:rsidR="00C24987" w:rsidRPr="00951667" w:rsidRDefault="00C24987" w:rsidP="008772FC">
            <w:pPr>
              <w:rPr>
                <w:rFonts w:eastAsia="MS Mincho"/>
                <w:szCs w:val="20"/>
                <w:lang w:eastAsia="ja-JP"/>
              </w:rPr>
            </w:pPr>
          </w:p>
        </w:tc>
      </w:tr>
      <w:tr w:rsidR="00C24987" w14:paraId="50858000" w14:textId="77777777" w:rsidTr="008772FC">
        <w:tc>
          <w:tcPr>
            <w:tcW w:w="1555" w:type="dxa"/>
          </w:tcPr>
          <w:p w14:paraId="5A81EB52" w14:textId="50C6817E" w:rsidR="00C24987" w:rsidRPr="00AF1B37" w:rsidRDefault="00C24987" w:rsidP="008772FC">
            <w:pPr>
              <w:rPr>
                <w:rFonts w:eastAsiaTheme="minorEastAsia"/>
                <w:szCs w:val="20"/>
                <w:lang w:eastAsia="zh-CN"/>
              </w:rPr>
            </w:pPr>
          </w:p>
        </w:tc>
        <w:tc>
          <w:tcPr>
            <w:tcW w:w="7796" w:type="dxa"/>
          </w:tcPr>
          <w:p w14:paraId="028557CA" w14:textId="24F7C829" w:rsidR="00C24987" w:rsidRPr="00C7500A" w:rsidRDefault="00C24987" w:rsidP="008772FC">
            <w:pPr>
              <w:rPr>
                <w:rFonts w:eastAsiaTheme="minorEastAsia"/>
                <w:i/>
                <w:szCs w:val="20"/>
                <w:lang w:eastAsia="zh-CN"/>
              </w:rPr>
            </w:pPr>
          </w:p>
        </w:tc>
      </w:tr>
      <w:tr w:rsidR="00C24987" w14:paraId="0C147177" w14:textId="77777777" w:rsidTr="008772FC">
        <w:tc>
          <w:tcPr>
            <w:tcW w:w="1555" w:type="dxa"/>
          </w:tcPr>
          <w:p w14:paraId="2C8C72DE" w14:textId="6676AED2" w:rsidR="00C24987" w:rsidRPr="006C60F0" w:rsidRDefault="00C24987" w:rsidP="008772FC">
            <w:pPr>
              <w:rPr>
                <w:lang w:eastAsia="en-US"/>
              </w:rPr>
            </w:pPr>
          </w:p>
        </w:tc>
        <w:tc>
          <w:tcPr>
            <w:tcW w:w="7796" w:type="dxa"/>
          </w:tcPr>
          <w:p w14:paraId="231F8A96" w14:textId="6A62AC3E" w:rsidR="00C24987" w:rsidRDefault="00C24987" w:rsidP="008772FC">
            <w:pPr>
              <w:rPr>
                <w:szCs w:val="20"/>
              </w:rPr>
            </w:pPr>
          </w:p>
        </w:tc>
      </w:tr>
      <w:tr w:rsidR="00C24987" w14:paraId="3CB49615" w14:textId="77777777" w:rsidTr="008772FC">
        <w:tc>
          <w:tcPr>
            <w:tcW w:w="1555" w:type="dxa"/>
          </w:tcPr>
          <w:p w14:paraId="075194F6" w14:textId="76D5F3CA" w:rsidR="00C24987" w:rsidRDefault="00C24987" w:rsidP="008772FC">
            <w:pPr>
              <w:rPr>
                <w:lang w:eastAsia="en-US"/>
              </w:rPr>
            </w:pPr>
          </w:p>
        </w:tc>
        <w:tc>
          <w:tcPr>
            <w:tcW w:w="7796" w:type="dxa"/>
          </w:tcPr>
          <w:p w14:paraId="5FCC53B8" w14:textId="721DA87F" w:rsidR="00C24987" w:rsidRDefault="00C24987" w:rsidP="008772FC">
            <w:pPr>
              <w:rPr>
                <w:szCs w:val="20"/>
              </w:rPr>
            </w:pPr>
          </w:p>
        </w:tc>
      </w:tr>
    </w:tbl>
    <w:p w14:paraId="0EB9D793" w14:textId="77777777" w:rsidR="00C24987"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1E0CF2" w14:paraId="2EE4EBB0" w14:textId="77777777" w:rsidTr="008772FC">
        <w:tc>
          <w:tcPr>
            <w:tcW w:w="1555" w:type="dxa"/>
          </w:tcPr>
          <w:p w14:paraId="1344ABB0" w14:textId="1DE871E3" w:rsidR="001E0CF2" w:rsidRPr="00E500B8" w:rsidRDefault="001E0CF2" w:rsidP="008772FC">
            <w:pPr>
              <w:rPr>
                <w:rFonts w:eastAsiaTheme="minorEastAsia"/>
                <w:szCs w:val="20"/>
                <w:lang w:eastAsia="zh-CN"/>
              </w:rPr>
            </w:pPr>
          </w:p>
        </w:tc>
        <w:tc>
          <w:tcPr>
            <w:tcW w:w="7796" w:type="dxa"/>
          </w:tcPr>
          <w:p w14:paraId="4C7B3D21" w14:textId="26802A6D" w:rsidR="001E0CF2" w:rsidRPr="00E500B8" w:rsidRDefault="001E0CF2" w:rsidP="008772FC">
            <w:pPr>
              <w:rPr>
                <w:rFonts w:eastAsiaTheme="minorEastAsia"/>
                <w:szCs w:val="20"/>
                <w:lang w:eastAsia="zh-CN"/>
              </w:rPr>
            </w:pPr>
          </w:p>
        </w:tc>
      </w:tr>
      <w:tr w:rsidR="001E0CF2" w14:paraId="48496B01" w14:textId="77777777" w:rsidTr="008772FC">
        <w:tc>
          <w:tcPr>
            <w:tcW w:w="1555" w:type="dxa"/>
          </w:tcPr>
          <w:p w14:paraId="1F328A78" w14:textId="77777777" w:rsidR="001E0CF2" w:rsidRDefault="001E0CF2" w:rsidP="008772FC">
            <w:pPr>
              <w:rPr>
                <w:lang w:eastAsia="en-US"/>
              </w:rPr>
            </w:pPr>
          </w:p>
        </w:tc>
        <w:tc>
          <w:tcPr>
            <w:tcW w:w="7796" w:type="dxa"/>
          </w:tcPr>
          <w:p w14:paraId="70F6D4AA" w14:textId="77777777" w:rsidR="001E0CF2" w:rsidRDefault="001E0CF2" w:rsidP="008772FC">
            <w:pPr>
              <w:rPr>
                <w:szCs w:val="20"/>
              </w:rPr>
            </w:pPr>
          </w:p>
        </w:tc>
      </w:tr>
      <w:tr w:rsidR="001E0CF2" w14:paraId="6BA73505" w14:textId="77777777" w:rsidTr="008772FC">
        <w:tc>
          <w:tcPr>
            <w:tcW w:w="1555" w:type="dxa"/>
          </w:tcPr>
          <w:p w14:paraId="5770D414" w14:textId="77777777" w:rsidR="001E0CF2" w:rsidRDefault="001E0CF2" w:rsidP="008772FC">
            <w:pPr>
              <w:rPr>
                <w:lang w:eastAsia="en-US"/>
              </w:rPr>
            </w:pPr>
          </w:p>
        </w:tc>
        <w:tc>
          <w:tcPr>
            <w:tcW w:w="7796" w:type="dxa"/>
          </w:tcPr>
          <w:p w14:paraId="1E84E739" w14:textId="77777777" w:rsidR="001E0CF2" w:rsidRDefault="001E0CF2" w:rsidP="008772FC">
            <w:pPr>
              <w:rPr>
                <w:szCs w:val="20"/>
              </w:rPr>
            </w:pPr>
          </w:p>
        </w:tc>
      </w:tr>
      <w:tr w:rsidR="001E0CF2" w14:paraId="6570A479" w14:textId="77777777" w:rsidTr="008772FC">
        <w:tc>
          <w:tcPr>
            <w:tcW w:w="1555" w:type="dxa"/>
          </w:tcPr>
          <w:p w14:paraId="3774418E" w14:textId="77777777" w:rsidR="001E0CF2" w:rsidRDefault="001E0CF2" w:rsidP="008772FC">
            <w:pPr>
              <w:rPr>
                <w:lang w:eastAsia="en-US"/>
              </w:rPr>
            </w:pPr>
          </w:p>
        </w:tc>
        <w:tc>
          <w:tcPr>
            <w:tcW w:w="7796" w:type="dxa"/>
          </w:tcPr>
          <w:p w14:paraId="0203C386" w14:textId="77777777" w:rsidR="001E0CF2" w:rsidRDefault="001E0CF2" w:rsidP="008772FC">
            <w:pPr>
              <w:rPr>
                <w:szCs w:val="20"/>
              </w:rPr>
            </w:pPr>
          </w:p>
        </w:tc>
      </w:tr>
      <w:tr w:rsidR="001E0CF2" w14:paraId="599169A4" w14:textId="77777777" w:rsidTr="008772FC">
        <w:tc>
          <w:tcPr>
            <w:tcW w:w="1555" w:type="dxa"/>
          </w:tcPr>
          <w:p w14:paraId="494C4E13" w14:textId="77777777" w:rsidR="001E0CF2" w:rsidRDefault="001E0CF2" w:rsidP="008772FC">
            <w:pPr>
              <w:rPr>
                <w:lang w:eastAsia="en-US"/>
              </w:rPr>
            </w:pPr>
          </w:p>
        </w:tc>
        <w:tc>
          <w:tcPr>
            <w:tcW w:w="7796" w:type="dxa"/>
          </w:tcPr>
          <w:p w14:paraId="0F5C0DFD" w14:textId="77777777" w:rsidR="001E0CF2" w:rsidRDefault="001E0CF2" w:rsidP="008772FC">
            <w:pPr>
              <w:rPr>
                <w:szCs w:val="20"/>
              </w:rPr>
            </w:pPr>
          </w:p>
        </w:tc>
      </w:tr>
      <w:tr w:rsidR="001E0CF2" w14:paraId="0D4CCD9E" w14:textId="77777777" w:rsidTr="008772FC">
        <w:tc>
          <w:tcPr>
            <w:tcW w:w="1555" w:type="dxa"/>
          </w:tcPr>
          <w:p w14:paraId="48B6C7A5" w14:textId="77777777" w:rsidR="001E0CF2" w:rsidRDefault="001E0CF2" w:rsidP="008772FC">
            <w:pPr>
              <w:rPr>
                <w:lang w:eastAsia="en-US"/>
              </w:rPr>
            </w:pPr>
          </w:p>
        </w:tc>
        <w:tc>
          <w:tcPr>
            <w:tcW w:w="7796" w:type="dxa"/>
          </w:tcPr>
          <w:p w14:paraId="2715E05B" w14:textId="77777777" w:rsidR="001E0CF2" w:rsidRDefault="001E0CF2" w:rsidP="008772FC">
            <w:pPr>
              <w:rPr>
                <w:szCs w:val="20"/>
              </w:rPr>
            </w:pPr>
          </w:p>
        </w:tc>
      </w:tr>
    </w:tbl>
    <w:p w14:paraId="10A715D3" w14:textId="04A3071E" w:rsidR="0008111D"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3B6140" w14:paraId="6A1BC3F2" w14:textId="77777777" w:rsidTr="008772FC">
        <w:tc>
          <w:tcPr>
            <w:tcW w:w="1555" w:type="dxa"/>
          </w:tcPr>
          <w:p w14:paraId="49793C1B" w14:textId="77777777" w:rsidR="003B6140" w:rsidRPr="00E500B8" w:rsidRDefault="003B6140" w:rsidP="008772FC">
            <w:pPr>
              <w:rPr>
                <w:rFonts w:eastAsiaTheme="minorEastAsia"/>
                <w:szCs w:val="20"/>
                <w:lang w:eastAsia="zh-CN"/>
              </w:rPr>
            </w:pPr>
          </w:p>
        </w:tc>
        <w:tc>
          <w:tcPr>
            <w:tcW w:w="7796" w:type="dxa"/>
          </w:tcPr>
          <w:p w14:paraId="4B03C14F" w14:textId="77777777" w:rsidR="003B6140" w:rsidRPr="00E500B8" w:rsidRDefault="003B6140" w:rsidP="008772FC">
            <w:pPr>
              <w:rPr>
                <w:rFonts w:eastAsiaTheme="minorEastAsia"/>
                <w:szCs w:val="20"/>
                <w:lang w:eastAsia="zh-CN"/>
              </w:rPr>
            </w:pPr>
          </w:p>
        </w:tc>
      </w:tr>
      <w:tr w:rsidR="003B6140" w14:paraId="5BE1F557" w14:textId="77777777" w:rsidTr="008772FC">
        <w:tc>
          <w:tcPr>
            <w:tcW w:w="1555" w:type="dxa"/>
          </w:tcPr>
          <w:p w14:paraId="4639095C" w14:textId="77777777" w:rsidR="003B6140" w:rsidRDefault="003B6140" w:rsidP="008772FC">
            <w:pPr>
              <w:rPr>
                <w:lang w:eastAsia="en-US"/>
              </w:rPr>
            </w:pPr>
          </w:p>
        </w:tc>
        <w:tc>
          <w:tcPr>
            <w:tcW w:w="7796" w:type="dxa"/>
          </w:tcPr>
          <w:p w14:paraId="1528DE39" w14:textId="77777777" w:rsidR="003B6140" w:rsidRDefault="003B6140" w:rsidP="008772FC">
            <w:pPr>
              <w:rPr>
                <w:szCs w:val="20"/>
              </w:rPr>
            </w:pPr>
          </w:p>
        </w:tc>
      </w:tr>
      <w:tr w:rsidR="003B6140" w14:paraId="55DC26F3" w14:textId="77777777" w:rsidTr="008772FC">
        <w:tc>
          <w:tcPr>
            <w:tcW w:w="1555" w:type="dxa"/>
          </w:tcPr>
          <w:p w14:paraId="068DF322" w14:textId="77777777" w:rsidR="003B6140" w:rsidRDefault="003B6140" w:rsidP="008772FC">
            <w:pPr>
              <w:rPr>
                <w:lang w:eastAsia="en-US"/>
              </w:rPr>
            </w:pPr>
          </w:p>
        </w:tc>
        <w:tc>
          <w:tcPr>
            <w:tcW w:w="7796" w:type="dxa"/>
          </w:tcPr>
          <w:p w14:paraId="0EB521BE" w14:textId="77777777" w:rsidR="003B6140" w:rsidRDefault="003B6140" w:rsidP="008772FC">
            <w:pPr>
              <w:rPr>
                <w:szCs w:val="20"/>
              </w:rPr>
            </w:pPr>
          </w:p>
        </w:tc>
      </w:tr>
      <w:tr w:rsidR="003B6140" w14:paraId="48436448" w14:textId="77777777" w:rsidTr="008772FC">
        <w:tc>
          <w:tcPr>
            <w:tcW w:w="1555" w:type="dxa"/>
          </w:tcPr>
          <w:p w14:paraId="79CF2991" w14:textId="77777777" w:rsidR="003B6140" w:rsidRDefault="003B6140" w:rsidP="008772FC">
            <w:pPr>
              <w:rPr>
                <w:lang w:eastAsia="en-US"/>
              </w:rPr>
            </w:pPr>
          </w:p>
        </w:tc>
        <w:tc>
          <w:tcPr>
            <w:tcW w:w="7796" w:type="dxa"/>
          </w:tcPr>
          <w:p w14:paraId="1B7A9218" w14:textId="77777777" w:rsidR="003B6140" w:rsidRDefault="003B6140" w:rsidP="008772FC">
            <w:pPr>
              <w:rPr>
                <w:szCs w:val="20"/>
              </w:rPr>
            </w:pPr>
          </w:p>
        </w:tc>
      </w:tr>
      <w:tr w:rsidR="003B6140" w14:paraId="2A15E0B3" w14:textId="77777777" w:rsidTr="008772FC">
        <w:tc>
          <w:tcPr>
            <w:tcW w:w="1555" w:type="dxa"/>
          </w:tcPr>
          <w:p w14:paraId="5C6AF585" w14:textId="77777777" w:rsidR="003B6140" w:rsidRDefault="003B6140" w:rsidP="008772FC">
            <w:pPr>
              <w:rPr>
                <w:lang w:eastAsia="en-US"/>
              </w:rPr>
            </w:pPr>
          </w:p>
        </w:tc>
        <w:tc>
          <w:tcPr>
            <w:tcW w:w="7796" w:type="dxa"/>
          </w:tcPr>
          <w:p w14:paraId="0E59E794" w14:textId="77777777" w:rsidR="003B6140" w:rsidRDefault="003B6140" w:rsidP="008772FC">
            <w:pPr>
              <w:rPr>
                <w:szCs w:val="20"/>
              </w:rPr>
            </w:pPr>
          </w:p>
        </w:tc>
      </w:tr>
      <w:tr w:rsidR="003B6140" w14:paraId="73A6302A" w14:textId="77777777" w:rsidTr="008772FC">
        <w:tc>
          <w:tcPr>
            <w:tcW w:w="1555" w:type="dxa"/>
          </w:tcPr>
          <w:p w14:paraId="2459F4E4" w14:textId="77777777" w:rsidR="003B6140" w:rsidRDefault="003B6140" w:rsidP="008772FC">
            <w:pPr>
              <w:rPr>
                <w:lang w:eastAsia="en-US"/>
              </w:rPr>
            </w:pPr>
          </w:p>
        </w:tc>
        <w:tc>
          <w:tcPr>
            <w:tcW w:w="7796" w:type="dxa"/>
          </w:tcPr>
          <w:p w14:paraId="2A149BB5" w14:textId="77777777" w:rsidR="003B6140" w:rsidRDefault="003B6140" w:rsidP="008772FC">
            <w:pPr>
              <w:rPr>
                <w:szCs w:val="20"/>
              </w:rPr>
            </w:pPr>
          </w:p>
        </w:tc>
      </w:tr>
    </w:tbl>
    <w:p w14:paraId="4992AB0D" w14:textId="77777777" w:rsidR="003B6140"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77777777" w:rsidR="0008111D" w:rsidRDefault="0008111D" w:rsidP="008772FC">
            <w:pPr>
              <w:rPr>
                <w:szCs w:val="20"/>
              </w:rPr>
            </w:pPr>
          </w:p>
        </w:tc>
        <w:tc>
          <w:tcPr>
            <w:tcW w:w="7796" w:type="dxa"/>
          </w:tcPr>
          <w:p w14:paraId="14A4555A" w14:textId="77777777" w:rsidR="0008111D" w:rsidRDefault="0008111D" w:rsidP="008772FC">
            <w:pPr>
              <w:rPr>
                <w:szCs w:val="20"/>
              </w:rPr>
            </w:pPr>
          </w:p>
        </w:tc>
      </w:tr>
      <w:tr w:rsidR="0008111D" w14:paraId="616E845F" w14:textId="77777777" w:rsidTr="008772FC">
        <w:tc>
          <w:tcPr>
            <w:tcW w:w="1555" w:type="dxa"/>
          </w:tcPr>
          <w:p w14:paraId="49A9B4B7" w14:textId="77777777" w:rsidR="0008111D" w:rsidRDefault="0008111D" w:rsidP="008772FC">
            <w:pPr>
              <w:wordWrap/>
              <w:snapToGrid w:val="0"/>
              <w:jc w:val="left"/>
              <w:rPr>
                <w:szCs w:val="20"/>
              </w:rPr>
            </w:pPr>
          </w:p>
        </w:tc>
        <w:tc>
          <w:tcPr>
            <w:tcW w:w="7796" w:type="dxa"/>
          </w:tcPr>
          <w:p w14:paraId="0E86B8DC" w14:textId="77777777" w:rsidR="0008111D" w:rsidRPr="00CC5340" w:rsidRDefault="0008111D" w:rsidP="008772FC">
            <w:pPr>
              <w:wordWrap/>
              <w:snapToGrid w:val="0"/>
              <w:jc w:val="left"/>
              <w:rPr>
                <w:rFonts w:eastAsia="MS Mincho"/>
                <w:szCs w:val="20"/>
                <w:lang w:eastAsia="ja-JP"/>
              </w:rPr>
            </w:pPr>
          </w:p>
        </w:tc>
      </w:tr>
      <w:tr w:rsidR="0008111D" w14:paraId="53EF8F3A" w14:textId="77777777" w:rsidTr="008772FC">
        <w:tc>
          <w:tcPr>
            <w:tcW w:w="1555" w:type="dxa"/>
          </w:tcPr>
          <w:p w14:paraId="67D9100B" w14:textId="77777777" w:rsidR="0008111D" w:rsidRPr="00F158BE" w:rsidRDefault="0008111D" w:rsidP="008772FC">
            <w:pPr>
              <w:rPr>
                <w:rFonts w:eastAsiaTheme="minorEastAsia"/>
                <w:szCs w:val="20"/>
                <w:lang w:eastAsia="zh-CN"/>
              </w:rPr>
            </w:pPr>
          </w:p>
        </w:tc>
        <w:tc>
          <w:tcPr>
            <w:tcW w:w="7796" w:type="dxa"/>
          </w:tcPr>
          <w:p w14:paraId="0D49668B" w14:textId="77777777" w:rsidR="0008111D" w:rsidRPr="00F158BE" w:rsidRDefault="0008111D" w:rsidP="008772FC">
            <w:pPr>
              <w:rPr>
                <w:rFonts w:eastAsiaTheme="minorEastAsia"/>
                <w:szCs w:val="20"/>
                <w:lang w:eastAsia="zh-CN"/>
              </w:rPr>
            </w:pPr>
          </w:p>
        </w:tc>
      </w:tr>
      <w:tr w:rsidR="0008111D" w14:paraId="466C7F37" w14:textId="77777777" w:rsidTr="008772FC">
        <w:tc>
          <w:tcPr>
            <w:tcW w:w="1555" w:type="dxa"/>
          </w:tcPr>
          <w:p w14:paraId="28568EC5" w14:textId="77777777" w:rsidR="0008111D" w:rsidRPr="002B5390" w:rsidRDefault="0008111D" w:rsidP="008772FC">
            <w:pPr>
              <w:rPr>
                <w:lang w:eastAsia="en-US"/>
              </w:rPr>
            </w:pPr>
          </w:p>
        </w:tc>
        <w:tc>
          <w:tcPr>
            <w:tcW w:w="7796" w:type="dxa"/>
          </w:tcPr>
          <w:p w14:paraId="1BAFE838" w14:textId="77777777" w:rsidR="0008111D" w:rsidRPr="005F2692" w:rsidRDefault="0008111D" w:rsidP="008772FC">
            <w:pPr>
              <w:rPr>
                <w:rFonts w:eastAsiaTheme="minorEastAsia"/>
                <w:szCs w:val="20"/>
                <w:lang w:eastAsia="zh-CN"/>
              </w:rPr>
            </w:pPr>
          </w:p>
        </w:tc>
      </w:tr>
      <w:tr w:rsidR="0008111D" w14:paraId="19246FAA" w14:textId="77777777" w:rsidTr="008772FC">
        <w:tc>
          <w:tcPr>
            <w:tcW w:w="1555" w:type="dxa"/>
          </w:tcPr>
          <w:p w14:paraId="4B5936C6" w14:textId="77777777" w:rsidR="0008111D" w:rsidRDefault="0008111D" w:rsidP="008772FC">
            <w:pPr>
              <w:rPr>
                <w:lang w:eastAsia="en-US"/>
              </w:rPr>
            </w:pPr>
          </w:p>
        </w:tc>
        <w:tc>
          <w:tcPr>
            <w:tcW w:w="7796" w:type="dxa"/>
          </w:tcPr>
          <w:p w14:paraId="389722F2" w14:textId="77777777" w:rsidR="0008111D" w:rsidRPr="004221DF" w:rsidRDefault="0008111D" w:rsidP="008772FC">
            <w:pPr>
              <w:rPr>
                <w:szCs w:val="20"/>
              </w:rPr>
            </w:pP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7777777" w:rsidR="0008111D" w:rsidRDefault="0008111D" w:rsidP="0008111D">
      <w:pPr>
        <w:spacing w:before="120"/>
      </w:pPr>
    </w:p>
    <w:p w14:paraId="65910A80" w14:textId="77777777" w:rsidR="0008111D" w:rsidRDefault="0008111D" w:rsidP="0008111D">
      <w:pPr>
        <w:spacing w:before="120"/>
      </w:pPr>
    </w:p>
    <w:p w14:paraId="02398FC0" w14:textId="77777777" w:rsidR="0008111D" w:rsidRPr="0008111D" w:rsidRDefault="0008111D" w:rsidP="0008111D">
      <w:pPr>
        <w:rPr>
          <w:lang w:eastAsia="en-US"/>
        </w:rPr>
      </w:pPr>
    </w:p>
    <w:bookmarkEnd w:id="5"/>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6"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6"/>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7" w:name="_Ref53991671"/>
            <w:bookmarkStart w:id="8" w:name="_Ref53991780"/>
            <w:r w:rsidRPr="00F1114E">
              <w:rPr>
                <w:rFonts w:eastAsia="Times New Roman"/>
                <w:b/>
                <w:bCs/>
                <w:i/>
                <w:iCs/>
                <w:snapToGrid/>
                <w:kern w:val="0"/>
                <w:szCs w:val="20"/>
                <w:lang w:eastAsia="en-US"/>
              </w:rPr>
              <w:lastRenderedPageBreak/>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7"/>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8"/>
          </w:p>
        </w:tc>
      </w:tr>
      <w:tr w:rsidR="00693B09" w14:paraId="5996C180" w14:textId="77777777">
        <w:tc>
          <w:tcPr>
            <w:tcW w:w="1705" w:type="dxa"/>
          </w:tcPr>
          <w:p w14:paraId="26AA9493" w14:textId="36086BDF" w:rsidR="00693B09" w:rsidRDefault="00F1114E">
            <w:pPr>
              <w:rPr>
                <w:szCs w:val="20"/>
              </w:rPr>
            </w:pPr>
            <w:proofErr w:type="spellStart"/>
            <w:r>
              <w:rPr>
                <w:lang w:eastAsia="x-none"/>
              </w:rPr>
              <w:lastRenderedPageBreak/>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 xml:space="preserve">should be discussed and study </w:t>
            </w:r>
            <w:proofErr w:type="gramStart"/>
            <w:r w:rsidRPr="003D36E2">
              <w:rPr>
                <w:rFonts w:eastAsia="宋体"/>
                <w:b/>
                <w:i/>
                <w:szCs w:val="20"/>
                <w:lang w:val="en-US" w:eastAsia="zh-CN"/>
              </w:rPr>
              <w:t>whether or not</w:t>
            </w:r>
            <w:proofErr w:type="gramEnd"/>
            <w:r w:rsidRPr="003D36E2">
              <w:rPr>
                <w:rFonts w:eastAsia="宋体"/>
                <w:b/>
                <w:i/>
                <w:szCs w:val="20"/>
                <w:lang w:val="en-US" w:eastAsia="zh-CN"/>
              </w:rPr>
              <w:t xml:space="preserve">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 xml:space="preserve">roposal 5: It can be supported that </w:t>
            </w:r>
            <w:proofErr w:type="gramStart"/>
            <w:r w:rsidRPr="003D36E2">
              <w:rPr>
                <w:rFonts w:hint="eastAsia"/>
                <w:b/>
                <w:szCs w:val="20"/>
              </w:rPr>
              <w:t>all of</w:t>
            </w:r>
            <w:proofErr w:type="gramEnd"/>
            <w:r w:rsidRPr="003D36E2">
              <w:rPr>
                <w:rFonts w:hint="eastAsia"/>
                <w:b/>
                <w:szCs w:val="20"/>
              </w:rPr>
              <w:t xml:space="preserve">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lastRenderedPageBreak/>
        <w:t>HARQ-ACK codebook design</w:t>
      </w:r>
    </w:p>
    <w:p w14:paraId="73FF4282" w14:textId="77777777" w:rsidR="00693B09" w:rsidRDefault="000705DD">
      <w:pPr>
        <w:rPr>
          <w:lang w:eastAsia="en-US"/>
        </w:rPr>
      </w:pPr>
      <w:proofErr w:type="gramStart"/>
      <w:r>
        <w:rPr>
          <w:lang w:eastAsia="en-US"/>
        </w:rPr>
        <w:t>Regarding HARQ-ACK codebook design, there</w:t>
      </w:r>
      <w:proofErr w:type="gramEnd"/>
      <w:r>
        <w:rPr>
          <w:lang w:eastAsia="en-US"/>
        </w:rPr>
        <w:t xml:space="preserv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w:t>
      </w:r>
      <w:proofErr w:type="gramStart"/>
      <w:r>
        <w:rPr>
          <w:lang w:eastAsia="en-US"/>
        </w:rPr>
        <w:t>in order to</w:t>
      </w:r>
      <w:proofErr w:type="gramEnd"/>
      <w:r>
        <w:rPr>
          <w:lang w:eastAsia="en-US"/>
        </w:rPr>
        <w:t xml:space="preserve">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4A4927"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4A4927"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4A4927"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4A4927"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4A4927"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4A4927"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4A4927"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4A4927"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4A4927"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4A4927"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4A4927"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4A4927"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4A4927"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4A4927"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4A4927"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4A4927"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9" w:name="_Hlt64533860"/>
        <w:r w:rsidRPr="00D814B9">
          <w:rPr>
            <w:rFonts w:ascii="Times" w:hAnsi="Times"/>
            <w:color w:val="0000FF"/>
            <w:szCs w:val="24"/>
            <w:u w:val="single"/>
            <w:lang w:eastAsia="en-US"/>
          </w:rPr>
          <w:t>2</w:t>
        </w:r>
        <w:bookmarkEnd w:id="9"/>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0"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0"/>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lastRenderedPageBreak/>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w:t>
      </w:r>
      <w:proofErr w:type="gramStart"/>
      <w:r>
        <w:rPr>
          <w:rFonts w:eastAsia="Gulim" w:hint="eastAsia"/>
          <w:bCs/>
        </w:rPr>
        <w:t>is  3.6</w:t>
      </w:r>
      <w:proofErr w:type="gramEnd"/>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w:t>
      </w:r>
      <w:proofErr w:type="gramStart"/>
      <w:r>
        <w:rPr>
          <w:rFonts w:hint="eastAsia"/>
          <w:bCs/>
          <w:lang w:eastAsia="zh-CN"/>
        </w:rPr>
        <w:t xml:space="preserve">source  </w:t>
      </w:r>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 xml:space="preserve">in range of 5~20 with 100% </w:t>
      </w:r>
      <w:r>
        <w:rPr>
          <w:rFonts w:eastAsia="Gulim" w:hint="eastAsia"/>
          <w:bCs/>
        </w:rPr>
        <w:lastRenderedPageBreak/>
        <w:t>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 xml:space="preserve">not agreed for evaluation but considered by some </w:t>
      </w:r>
      <w:r>
        <w:rPr>
          <w:rFonts w:eastAsia="Gulim" w:hint="eastAsia"/>
        </w:rPr>
        <w:lastRenderedPageBreak/>
        <w:t>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w:t>
      </w:r>
      <w:r>
        <w:rPr>
          <w:rFonts w:eastAsia="Gulim" w:hint="eastAsia"/>
          <w:bCs/>
        </w:rPr>
        <w:lastRenderedPageBreak/>
        <w:t xml:space="preserve">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lastRenderedPageBreak/>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lastRenderedPageBreak/>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lastRenderedPageBreak/>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lastRenderedPageBreak/>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w:t>
      </w:r>
      <w:proofErr w:type="spellStart"/>
      <w:r w:rsidRPr="002E66EB">
        <w:rPr>
          <w:rFonts w:eastAsia="宋体"/>
          <w:szCs w:val="20"/>
        </w:rPr>
        <w:t>PCell</w:t>
      </w:r>
      <w:proofErr w:type="spellEnd"/>
      <w:r w:rsidRPr="002E66EB">
        <w:rPr>
          <w:rFonts w:eastAsia="宋体"/>
          <w:szCs w:val="20"/>
        </w:rPr>
        <w:t xml:space="preserve"> and an </w:t>
      </w:r>
      <w:proofErr w:type="spellStart"/>
      <w:r w:rsidRPr="002E66EB">
        <w:rPr>
          <w:rFonts w:eastAsia="宋体"/>
          <w:szCs w:val="20"/>
        </w:rPr>
        <w:t>SCell</w:t>
      </w:r>
      <w:proofErr w:type="spellEnd"/>
      <w:r w:rsidRPr="002E66EB">
        <w:rPr>
          <w:rFonts w:eastAsia="宋体"/>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proofErr w:type="spellStart"/>
      <w:r w:rsidRPr="002E66EB">
        <w:rPr>
          <w:rFonts w:eastAsia="宋体"/>
          <w:szCs w:val="20"/>
        </w:rPr>
        <w:t>PCell</w:t>
      </w:r>
      <w:proofErr w:type="spellEnd"/>
      <w:r w:rsidRPr="002E66EB">
        <w:rPr>
          <w:rFonts w:eastAsia="宋体"/>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1: Different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2: Same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Inter-band CA case with </w:t>
      </w:r>
      <w:proofErr w:type="spellStart"/>
      <w:r w:rsidRPr="002E66EB">
        <w:rPr>
          <w:rFonts w:eastAsia="宋体"/>
          <w:szCs w:val="20"/>
        </w:rPr>
        <w:t>PCell</w:t>
      </w:r>
      <w:proofErr w:type="spellEnd"/>
      <w:r w:rsidRPr="002E66EB">
        <w:rPr>
          <w:rFonts w:eastAsia="宋体"/>
          <w:szCs w:val="20"/>
        </w:rPr>
        <w:t xml:space="preserve"> and more than one </w:t>
      </w:r>
      <w:proofErr w:type="spellStart"/>
      <w:r w:rsidRPr="002E66EB">
        <w:rPr>
          <w:rFonts w:eastAsia="宋体"/>
          <w:szCs w:val="20"/>
        </w:rPr>
        <w:t>SCell</w:t>
      </w:r>
      <w:proofErr w:type="spellEnd"/>
      <w:r w:rsidRPr="002E66EB">
        <w:rPr>
          <w:rFonts w:eastAsia="宋体"/>
          <w:szCs w:val="20"/>
        </w:rPr>
        <w:t xml:space="preserve"> (at least the </w:t>
      </w:r>
      <w:proofErr w:type="spellStart"/>
      <w:r w:rsidRPr="002E66EB">
        <w:rPr>
          <w:rFonts w:eastAsia="宋体"/>
          <w:szCs w:val="20"/>
        </w:rPr>
        <w:t>SCells</w:t>
      </w:r>
      <w:proofErr w:type="spellEnd"/>
      <w:r w:rsidRPr="002E66EB">
        <w:rPr>
          <w:rFonts w:eastAsia="宋体"/>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C6FBA" w14:textId="77777777" w:rsidR="00F26346" w:rsidRDefault="00F26346">
      <w:pPr>
        <w:spacing w:after="0"/>
      </w:pPr>
      <w:r>
        <w:separator/>
      </w:r>
    </w:p>
  </w:endnote>
  <w:endnote w:type="continuationSeparator" w:id="0">
    <w:p w14:paraId="4E6A8D82" w14:textId="77777777" w:rsidR="00F26346" w:rsidRDefault="00F263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AED3" w14:textId="77777777" w:rsidR="004A4927" w:rsidRDefault="004A492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4A4927" w:rsidRDefault="004A4927">
    <w:pPr>
      <w:pStyle w:val="Footer"/>
    </w:pPr>
  </w:p>
  <w:p w14:paraId="01C5906F" w14:textId="77777777" w:rsidR="004A4927" w:rsidRDefault="004A4927"/>
  <w:p w14:paraId="1342B277" w14:textId="77777777" w:rsidR="004A4927" w:rsidRDefault="004A49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125C" w14:textId="4B2B7AC9" w:rsidR="004A4927" w:rsidRDefault="004A492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3CCD0B2C" w14:textId="77777777" w:rsidR="004A4927" w:rsidRDefault="004A4927">
    <w:pPr>
      <w:pStyle w:val="Footer"/>
    </w:pPr>
  </w:p>
  <w:p w14:paraId="21325B5C" w14:textId="77777777" w:rsidR="004A4927" w:rsidRDefault="004A4927"/>
  <w:p w14:paraId="23E7956A" w14:textId="77777777" w:rsidR="004A4927" w:rsidRDefault="004A49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3E1A1" w14:textId="77777777" w:rsidR="00F26346" w:rsidRDefault="00F26346">
      <w:pPr>
        <w:spacing w:after="0"/>
      </w:pPr>
      <w:r>
        <w:separator/>
      </w:r>
    </w:p>
  </w:footnote>
  <w:footnote w:type="continuationSeparator" w:id="0">
    <w:p w14:paraId="4B4A393B" w14:textId="77777777" w:rsidR="00F26346" w:rsidRDefault="00F263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A71EA44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0"/>
  </w:num>
  <w:num w:numId="3">
    <w:abstractNumId w:val="11"/>
  </w:num>
  <w:num w:numId="4">
    <w:abstractNumId w:val="38"/>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7"/>
  </w:num>
  <w:num w:numId="24">
    <w:abstractNumId w:val="13"/>
  </w:num>
  <w:num w:numId="25">
    <w:abstractNumId w:val="35"/>
  </w:num>
  <w:num w:numId="26">
    <w:abstractNumId w:val="9"/>
  </w:num>
  <w:num w:numId="27">
    <w:abstractNumId w:val="34"/>
  </w:num>
  <w:num w:numId="28">
    <w:abstractNumId w:val="36"/>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39"/>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A46"/>
    <w:rsid w:val="005E2109"/>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2E4"/>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EE1A109A-A0FA-48BC-9A02-421DE661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2A2C26-B0DD-4E9C-9C1C-6756E9E962F4}">
  <ds:schemaRefs>
    <ds:schemaRef ds:uri="http://schemas.openxmlformats.org/officeDocument/2006/bibliography"/>
  </ds:schemaRefs>
</ds:datastoreItem>
</file>

<file path=customXml/itemProps2.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974A7AB-F98C-4546-9DF6-70D95251C114}">
  <ds:schemaRefs>
    <ds:schemaRef ds:uri="http://schemas.openxmlformats.org/officeDocument/2006/bibliography"/>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6879</Words>
  <Characters>39215</Characters>
  <Application>Microsoft Office Word</Application>
  <DocSecurity>0</DocSecurity>
  <Lines>326</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46002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Haipeng HP1 Lei</cp:lastModifiedBy>
  <cp:revision>6</cp:revision>
  <cp:lastPrinted>2019-01-10T09:30:00Z</cp:lastPrinted>
  <dcterms:created xsi:type="dcterms:W3CDTF">2021-05-17T05:29:00Z</dcterms:created>
  <dcterms:modified xsi:type="dcterms:W3CDTF">2021-05-19T02:36:00Z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