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6FE411C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CF0305">
        <w:rPr>
          <w:rFonts w:ascii="Arial" w:hAnsi="Arial" w:cs="Arial"/>
          <w:b/>
          <w:bCs/>
          <w:lang w:val="de-DE"/>
        </w:rPr>
        <w:t>6131</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314B11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C0789">
        <w:rPr>
          <w:rFonts w:ascii="Arial" w:hAnsi="Arial" w:cs="Arial"/>
        </w:rPr>
        <w:t>: ROUND 2</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rsidRPr="00782D2E">
        <w:t>Issue 1 (Rel.17 unified TCI framework</w:t>
      </w:r>
      <w:r w:rsidR="00AC7082" w:rsidRPr="00782D2E">
        <w:t xml:space="preserve"> – note: for </w:t>
      </w:r>
      <w:r w:rsidR="00AC7082" w:rsidRPr="00782D2E">
        <w:rPr>
          <w:u w:val="single"/>
        </w:rPr>
        <w:t>intra-cell</w:t>
      </w:r>
      <w:r w:rsidR="00AC7082" w:rsidRPr="00782D2E">
        <w:t xml:space="preserve"> beam management</w:t>
      </w:r>
      <w:r w:rsidRPr="00782D2E">
        <w:t>)</w:t>
      </w:r>
    </w:p>
    <w:p w14:paraId="483BE37B" w14:textId="5D17BA91" w:rsidR="00DE37B1" w:rsidRDefault="00DE37B1"/>
    <w:p w14:paraId="7A64CA14" w14:textId="77777777" w:rsidR="00272D00" w:rsidRPr="00E921ED" w:rsidRDefault="00272D00" w:rsidP="00272D00">
      <w:pPr>
        <w:rPr>
          <w:sz w:val="22"/>
          <w:u w:val="single"/>
        </w:rPr>
      </w:pPr>
      <w:r w:rsidRPr="00E921ED">
        <w:rPr>
          <w:sz w:val="22"/>
          <w:u w:val="single"/>
        </w:rPr>
        <w:t>PL</w:t>
      </w:r>
      <w:r>
        <w:rPr>
          <w:sz w:val="22"/>
          <w:u w:val="single"/>
        </w:rPr>
        <w:t>-</w:t>
      </w:r>
      <w:r w:rsidRPr="00E921ED">
        <w:rPr>
          <w:sz w:val="22"/>
          <w:u w:val="single"/>
        </w:rPr>
        <w:t>RS</w:t>
      </w:r>
    </w:p>
    <w:p w14:paraId="07A962AC" w14:textId="77777777" w:rsidR="00272D00" w:rsidRPr="00792F40" w:rsidRDefault="00272D00" w:rsidP="00272D00">
      <w:pPr>
        <w:snapToGrid w:val="0"/>
        <w:jc w:val="both"/>
        <w:rPr>
          <w:b/>
          <w:sz w:val="20"/>
          <w:szCs w:val="20"/>
          <w:u w:val="single"/>
        </w:rPr>
      </w:pPr>
    </w:p>
    <w:p w14:paraId="083B0846" w14:textId="77777777" w:rsidR="00272D00" w:rsidRPr="00792F40" w:rsidRDefault="00272D00" w:rsidP="00272D00">
      <w:pPr>
        <w:snapToGrid w:val="0"/>
        <w:jc w:val="both"/>
        <w:rPr>
          <w:sz w:val="20"/>
          <w:szCs w:val="20"/>
        </w:rPr>
      </w:pPr>
      <w:r w:rsidRPr="00792F40">
        <w:rPr>
          <w:b/>
          <w:sz w:val="20"/>
          <w:szCs w:val="20"/>
          <w:u w:val="single"/>
        </w:rPr>
        <w:t>Proposal 1.2</w:t>
      </w:r>
      <w:r w:rsidRPr="00792F40">
        <w:rPr>
          <w:sz w:val="20"/>
          <w:szCs w:val="20"/>
        </w:rPr>
        <w:t>: On path-loss measurement for Rel.17 unified TCI framework</w:t>
      </w:r>
      <w:r w:rsidRPr="00792F40">
        <w:rPr>
          <w:sz w:val="20"/>
          <w:szCs w:val="20"/>
          <w:lang w:eastAsia="ja-JP"/>
        </w:rPr>
        <w:t>, a PL-RS (configured for path-loss calculation) is either included in</w:t>
      </w:r>
      <w:r w:rsidRPr="00792F40">
        <w:rPr>
          <w:rStyle w:val="apple-converted-space"/>
          <w:sz w:val="20"/>
          <w:szCs w:val="20"/>
          <w:lang w:eastAsia="ja-JP"/>
        </w:rPr>
        <w:t> </w:t>
      </w:r>
      <w:r w:rsidRPr="00792F40">
        <w:rPr>
          <w:rStyle w:val="apple-converted-space"/>
          <w:sz w:val="20"/>
          <w:szCs w:val="20"/>
          <w:lang w:eastAsia="zh-CN"/>
        </w:rPr>
        <w:t xml:space="preserve">UL </w:t>
      </w:r>
      <w:r w:rsidRPr="00792F40">
        <w:rPr>
          <w:rStyle w:val="apple-converted-space"/>
          <w:sz w:val="20"/>
          <w:szCs w:val="20"/>
          <w:lang w:eastAsia="ja-JP"/>
        </w:rPr>
        <w:t>TCI state</w:t>
      </w:r>
      <w:r w:rsidRPr="00792F40">
        <w:rPr>
          <w:rStyle w:val="apple-converted-space"/>
          <w:sz w:val="20"/>
          <w:szCs w:val="20"/>
          <w:lang w:eastAsia="zh-CN"/>
        </w:rPr>
        <w:t xml:space="preserve"> or (if applicable) joint TCI state</w:t>
      </w:r>
      <w:r w:rsidRPr="00792F40">
        <w:rPr>
          <w:rStyle w:val="apple-converted-space"/>
          <w:sz w:val="20"/>
          <w:szCs w:val="20"/>
          <w:lang w:eastAsia="ja-JP"/>
        </w:rPr>
        <w:t xml:space="preserve"> or associated with </w:t>
      </w:r>
      <w:r w:rsidRPr="00792F40">
        <w:rPr>
          <w:sz w:val="20"/>
          <w:szCs w:val="20"/>
          <w:lang w:eastAsia="ja-JP"/>
        </w:rPr>
        <w:t>UL TCI state or (if applicable) joint TCI state.</w:t>
      </w:r>
    </w:p>
    <w:p w14:paraId="5BB92A36" w14:textId="77777777" w:rsidR="00272D00" w:rsidRPr="00792F40" w:rsidRDefault="00272D00" w:rsidP="00272D00">
      <w:pPr>
        <w:pStyle w:val="ListParagraph"/>
        <w:numPr>
          <w:ilvl w:val="0"/>
          <w:numId w:val="19"/>
        </w:numPr>
        <w:snapToGrid w:val="0"/>
        <w:spacing w:after="0" w:line="240" w:lineRule="auto"/>
        <w:jc w:val="both"/>
        <w:rPr>
          <w:sz w:val="20"/>
          <w:szCs w:val="20"/>
          <w:lang w:eastAsia="ko-KR"/>
        </w:rPr>
      </w:pPr>
      <w:r w:rsidRPr="00792F40">
        <w:rPr>
          <w:rStyle w:val="msoins0"/>
          <w:rFonts w:eastAsia="Times New Roman"/>
          <w:sz w:val="20"/>
          <w:szCs w:val="20"/>
        </w:rPr>
        <w:t>Whether a UE supports “beam misalignment or not” (detailed definition FFS)</w:t>
      </w:r>
      <w:r w:rsidRPr="00792F40">
        <w:rPr>
          <w:rStyle w:val="apple-converted-space"/>
          <w:rFonts w:eastAsia="Times New Roman"/>
          <w:sz w:val="20"/>
          <w:szCs w:val="20"/>
        </w:rPr>
        <w:t> </w:t>
      </w:r>
      <w:r w:rsidRPr="00792F40">
        <w:rPr>
          <w:rStyle w:val="msoins0"/>
          <w:rFonts w:eastAsia="Times New Roman"/>
          <w:sz w:val="20"/>
          <w:szCs w:val="20"/>
        </w:rPr>
        <w:t>between</w:t>
      </w:r>
      <w:r w:rsidRPr="00792F40">
        <w:rPr>
          <w:rStyle w:val="apple-converted-space"/>
          <w:rFonts w:eastAsia="Times New Roman"/>
          <w:sz w:val="20"/>
          <w:szCs w:val="20"/>
        </w:rPr>
        <w:t> </w:t>
      </w:r>
      <w:r w:rsidRPr="00792F40">
        <w:rPr>
          <w:rStyle w:val="apple-converted-space"/>
          <w:sz w:val="20"/>
          <w:szCs w:val="20"/>
          <w:lang w:eastAsia="ja-JP"/>
        </w:rPr>
        <w:t>the</w:t>
      </w:r>
      <w:r w:rsidRPr="00792F40">
        <w:rPr>
          <w:sz w:val="20"/>
          <w:szCs w:val="20"/>
          <w:lang w:eastAsia="ja-JP"/>
        </w:rPr>
        <w:t xml:space="preserve"> DL </w:t>
      </w:r>
      <w:r w:rsidRPr="00792F40">
        <w:rPr>
          <w:rFonts w:eastAsia="Times New Roman"/>
          <w:sz w:val="20"/>
          <w:szCs w:val="20"/>
        </w:rPr>
        <w:t xml:space="preserve">source </w:t>
      </w:r>
      <w:r w:rsidRPr="00792F40">
        <w:rPr>
          <w:sz w:val="20"/>
          <w:szCs w:val="20"/>
          <w:lang w:eastAsia="ja-JP"/>
        </w:rPr>
        <w:t>RS in</w:t>
      </w:r>
      <w:r w:rsidRPr="00792F40">
        <w:rPr>
          <w:rStyle w:val="apple-converted-space"/>
          <w:sz w:val="20"/>
          <w:szCs w:val="20"/>
          <w:lang w:eastAsia="ja-JP"/>
        </w:rPr>
        <w:t> </w:t>
      </w:r>
      <w:r w:rsidRPr="00792F40">
        <w:rPr>
          <w:sz w:val="20"/>
          <w:szCs w:val="20"/>
          <w:lang w:eastAsia="ja-JP"/>
        </w:rPr>
        <w:t>the UL or (if applicable) joint TCI state</w:t>
      </w:r>
      <w:r w:rsidRPr="00792F40">
        <w:rPr>
          <w:rStyle w:val="apple-converted-space"/>
          <w:sz w:val="20"/>
          <w:szCs w:val="20"/>
          <w:lang w:eastAsia="ja-JP"/>
        </w:rPr>
        <w:t> </w:t>
      </w:r>
      <w:r w:rsidRPr="00792F40">
        <w:rPr>
          <w:sz w:val="20"/>
          <w:szCs w:val="20"/>
          <w:lang w:eastAsia="ja-JP"/>
        </w:rPr>
        <w:t>to provide spatial relation indication and the PL-RS is a UE capability</w:t>
      </w:r>
    </w:p>
    <w:p w14:paraId="69955014" w14:textId="77777777" w:rsidR="00272D00" w:rsidRPr="00792F40" w:rsidRDefault="00272D00" w:rsidP="00272D00">
      <w:pPr>
        <w:pStyle w:val="ListParagraph"/>
        <w:numPr>
          <w:ilvl w:val="0"/>
          <w:numId w:val="19"/>
        </w:numPr>
        <w:snapToGrid w:val="0"/>
        <w:spacing w:after="0" w:line="240" w:lineRule="auto"/>
        <w:jc w:val="both"/>
        <w:rPr>
          <w:sz w:val="20"/>
          <w:szCs w:val="20"/>
          <w:lang w:eastAsia="ko-KR"/>
        </w:rPr>
      </w:pPr>
      <w:r w:rsidRPr="00792F40">
        <w:rPr>
          <w:sz w:val="20"/>
          <w:szCs w:val="20"/>
          <w:lang w:eastAsia="ja-JP"/>
        </w:rPr>
        <w:t>Whether it is ‘included in’ or ‘associated with’ (including the manner it is performed and the signaling) is up to RAN2</w:t>
      </w:r>
    </w:p>
    <w:p w14:paraId="202DEFC7" w14:textId="77777777" w:rsidR="00272D00" w:rsidRPr="00792F40" w:rsidRDefault="00272D00" w:rsidP="00272D00">
      <w:pPr>
        <w:numPr>
          <w:ilvl w:val="0"/>
          <w:numId w:val="15"/>
        </w:numPr>
        <w:snapToGrid w:val="0"/>
        <w:jc w:val="both"/>
        <w:rPr>
          <w:rFonts w:eastAsia="Times New Roman"/>
          <w:sz w:val="20"/>
          <w:szCs w:val="20"/>
        </w:rPr>
      </w:pPr>
      <w:r w:rsidRPr="00792F40">
        <w:rPr>
          <w:rFonts w:eastAsia="Times New Roman"/>
          <w:sz w:val="20"/>
          <w:szCs w:val="20"/>
        </w:rPr>
        <w:t>The UE maintains the PL-RS of the activated UL TCI state or (if applicable) joint TCI state</w:t>
      </w:r>
    </w:p>
    <w:p w14:paraId="1D5456F9" w14:textId="77777777" w:rsidR="00272D00" w:rsidRPr="00792F40" w:rsidRDefault="00272D00" w:rsidP="00272D00">
      <w:pPr>
        <w:numPr>
          <w:ilvl w:val="0"/>
          <w:numId w:val="15"/>
        </w:numPr>
        <w:snapToGrid w:val="0"/>
        <w:jc w:val="both"/>
        <w:rPr>
          <w:rFonts w:eastAsia="Times New Roman"/>
          <w:sz w:val="20"/>
          <w:szCs w:val="20"/>
        </w:rPr>
      </w:pPr>
      <w:r w:rsidRPr="00792F40">
        <w:rPr>
          <w:rFonts w:eastAsia="Times New Roman"/>
          <w:sz w:val="20"/>
          <w:szCs w:val="20"/>
        </w:rPr>
        <w:t>The maximum number of activated UL TCI states or (if applicable) joint TCI states per band per cell is a UE capability</w:t>
      </w:r>
    </w:p>
    <w:p w14:paraId="47995258" w14:textId="77777777" w:rsidR="00272D00" w:rsidRPr="00792F40" w:rsidRDefault="00272D00" w:rsidP="00272D00">
      <w:pPr>
        <w:numPr>
          <w:ilvl w:val="0"/>
          <w:numId w:val="15"/>
        </w:numPr>
        <w:snapToGrid w:val="0"/>
        <w:jc w:val="both"/>
        <w:rPr>
          <w:rFonts w:eastAsia="Times New Roman"/>
          <w:sz w:val="20"/>
          <w:szCs w:val="20"/>
        </w:rPr>
      </w:pPr>
      <w:r w:rsidRPr="00792F40">
        <w:rPr>
          <w:sz w:val="20"/>
          <w:szCs w:val="20"/>
          <w:lang w:eastAsia="ja-JP"/>
        </w:rPr>
        <w:lastRenderedPageBreak/>
        <w:t>FFS: detailed aspects of PL-RS, e.g. CSI-RS type(s), time-domain behavior(s), restriction on configuration</w:t>
      </w:r>
    </w:p>
    <w:p w14:paraId="5FF8C32C" w14:textId="77777777" w:rsidR="00272D00" w:rsidRPr="00792F40" w:rsidRDefault="00272D00" w:rsidP="00272D00">
      <w:pPr>
        <w:snapToGrid w:val="0"/>
        <w:jc w:val="both"/>
        <w:rPr>
          <w:sz w:val="20"/>
          <w:szCs w:val="20"/>
        </w:rPr>
      </w:pPr>
    </w:p>
    <w:p w14:paraId="55F3D9AC" w14:textId="6652A19D" w:rsidR="00272D00" w:rsidRPr="009A2D41" w:rsidRDefault="00272D00" w:rsidP="00272D00">
      <w:pPr>
        <w:snapToGrid w:val="0"/>
        <w:contextualSpacing/>
        <w:jc w:val="both"/>
        <w:rPr>
          <w:sz w:val="18"/>
          <w:szCs w:val="18"/>
        </w:rPr>
      </w:pPr>
      <w:r w:rsidRPr="009A2D41">
        <w:rPr>
          <w:sz w:val="18"/>
          <w:szCs w:val="18"/>
        </w:rPr>
        <w:t xml:space="preserve">Support (20): Apple, AT&amp;T, CATT, Ericsson, Fraunhofer IIS/HHI, Futurewei, Lenovo/MoM, MTK, Nokia/NSB, NTT Docomo, LG, OPPO, Qualcomm, Samsung, Spreadtrum, Xiaomi, ZTE </w:t>
      </w:r>
    </w:p>
    <w:p w14:paraId="06F289A2" w14:textId="77777777" w:rsidR="00272D00" w:rsidRPr="009A2D41" w:rsidRDefault="00272D00" w:rsidP="00272D00">
      <w:pPr>
        <w:snapToGrid w:val="0"/>
        <w:contextualSpacing/>
        <w:jc w:val="both"/>
        <w:rPr>
          <w:sz w:val="18"/>
          <w:szCs w:val="18"/>
        </w:rPr>
      </w:pPr>
    </w:p>
    <w:p w14:paraId="2196BFC7" w14:textId="77777777" w:rsidR="00272D00" w:rsidRPr="009A2D41" w:rsidRDefault="00272D00" w:rsidP="00272D00">
      <w:pPr>
        <w:snapToGrid w:val="0"/>
        <w:contextualSpacing/>
        <w:jc w:val="both"/>
        <w:rPr>
          <w:sz w:val="18"/>
          <w:szCs w:val="18"/>
        </w:rPr>
      </w:pPr>
      <w:r w:rsidRPr="009A2D41">
        <w:rPr>
          <w:sz w:val="18"/>
          <w:szCs w:val="18"/>
        </w:rPr>
        <w:t xml:space="preserve">Not support (3): Huawei/HiSi (AltC), vivo (AltC)  </w:t>
      </w:r>
    </w:p>
    <w:p w14:paraId="725D2517" w14:textId="4FA65AA4" w:rsidR="00272D00" w:rsidRDefault="00272D00"/>
    <w:p w14:paraId="59F3711A" w14:textId="531D09C3" w:rsidR="00E921ED" w:rsidRPr="001A65C7" w:rsidRDefault="00E921ED">
      <w:pPr>
        <w:rPr>
          <w:sz w:val="22"/>
          <w:u w:val="single"/>
        </w:rPr>
      </w:pPr>
      <w:r w:rsidRPr="001A65C7">
        <w:rPr>
          <w:sz w:val="22"/>
          <w:u w:val="single"/>
        </w:rPr>
        <w:t>UL PC parameters other than PL-RS</w:t>
      </w:r>
    </w:p>
    <w:p w14:paraId="1544AC3C" w14:textId="321EDB39" w:rsidR="00E90906" w:rsidRPr="00792F40" w:rsidRDefault="00E90906" w:rsidP="00790F42">
      <w:pPr>
        <w:snapToGrid w:val="0"/>
        <w:jc w:val="both"/>
        <w:rPr>
          <w:b/>
          <w:sz w:val="20"/>
          <w:szCs w:val="20"/>
          <w:u w:val="single"/>
        </w:rPr>
      </w:pPr>
    </w:p>
    <w:p w14:paraId="6A674DFA" w14:textId="77777777" w:rsidR="00C52657" w:rsidRPr="00792F40" w:rsidRDefault="00790F42" w:rsidP="00C52657">
      <w:pPr>
        <w:snapToGrid w:val="0"/>
        <w:jc w:val="both"/>
        <w:rPr>
          <w:sz w:val="20"/>
          <w:szCs w:val="20"/>
        </w:rPr>
      </w:pPr>
      <w:r w:rsidRPr="00792F40">
        <w:rPr>
          <w:b/>
          <w:sz w:val="20"/>
          <w:szCs w:val="20"/>
          <w:u w:val="single"/>
        </w:rPr>
        <w:t>Proposal 1.1B:</w:t>
      </w:r>
      <w:r w:rsidRPr="00792F40">
        <w:rPr>
          <w:b/>
          <w:sz w:val="20"/>
          <w:szCs w:val="20"/>
        </w:rPr>
        <w:t xml:space="preserve"> </w:t>
      </w:r>
      <w:r w:rsidR="00C52657" w:rsidRPr="00792F40">
        <w:rPr>
          <w:sz w:val="20"/>
          <w:szCs w:val="20"/>
        </w:rPr>
        <w:t xml:space="preserve">On the setting of UL PC parameters except for PL-RS (P0, alpha, closed loop index) for Rel.17 unified TCI framework, </w:t>
      </w:r>
    </w:p>
    <w:p w14:paraId="18276A1B" w14:textId="77777777" w:rsidR="00C52657" w:rsidRPr="00792F40" w:rsidRDefault="00C52657" w:rsidP="00C52657">
      <w:pPr>
        <w:pStyle w:val="ListParagraph"/>
        <w:numPr>
          <w:ilvl w:val="0"/>
          <w:numId w:val="17"/>
        </w:numPr>
        <w:snapToGrid w:val="0"/>
        <w:spacing w:after="0" w:line="240" w:lineRule="auto"/>
        <w:jc w:val="both"/>
        <w:rPr>
          <w:sz w:val="20"/>
          <w:szCs w:val="20"/>
        </w:rPr>
      </w:pPr>
      <w:r w:rsidRPr="00792F40">
        <w:rPr>
          <w:sz w:val="20"/>
          <w:szCs w:val="20"/>
        </w:rPr>
        <w:t xml:space="preserve">For each of PUSCH, PUCCH, and SRS, the setting of (P0, alpha, closed loop index) can be associated with UL or (if applicable) joint TCI state. </w:t>
      </w:r>
    </w:p>
    <w:p w14:paraId="3B1E5212" w14:textId="77777777" w:rsidR="00C52657" w:rsidRPr="00792F40" w:rsidRDefault="00C52657" w:rsidP="00C52657">
      <w:pPr>
        <w:pStyle w:val="ListParagraph"/>
        <w:numPr>
          <w:ilvl w:val="1"/>
          <w:numId w:val="17"/>
        </w:numPr>
        <w:snapToGrid w:val="0"/>
        <w:spacing w:after="0" w:line="240" w:lineRule="auto"/>
        <w:jc w:val="both"/>
        <w:rPr>
          <w:sz w:val="20"/>
          <w:szCs w:val="20"/>
        </w:rPr>
      </w:pPr>
      <w:r w:rsidRPr="00792F40">
        <w:rPr>
          <w:sz w:val="20"/>
          <w:szCs w:val="20"/>
        </w:rPr>
        <w:t>In this case, multiple settings are configured where each setting is associated with at least one TCI state</w:t>
      </w:r>
    </w:p>
    <w:p w14:paraId="153F423A" w14:textId="77777777" w:rsidR="00C52657" w:rsidRPr="00792F40" w:rsidRDefault="00C52657" w:rsidP="00C52657">
      <w:pPr>
        <w:pStyle w:val="ListParagraph"/>
        <w:numPr>
          <w:ilvl w:val="1"/>
          <w:numId w:val="17"/>
        </w:numPr>
        <w:snapToGrid w:val="0"/>
        <w:spacing w:after="0" w:line="240" w:lineRule="auto"/>
        <w:jc w:val="both"/>
        <w:rPr>
          <w:sz w:val="20"/>
          <w:szCs w:val="20"/>
        </w:rPr>
      </w:pPr>
      <w:r w:rsidRPr="00792F40">
        <w:rPr>
          <w:rFonts w:eastAsia="PMingLiU"/>
          <w:sz w:val="20"/>
          <w:szCs w:val="20"/>
          <w:lang w:eastAsia="zh-TW"/>
        </w:rPr>
        <w:t>Details of the association (including the manner it is performed and the signaling) is up to RAN2</w:t>
      </w:r>
    </w:p>
    <w:p w14:paraId="36DC5BB3" w14:textId="7511DC05" w:rsidR="00C52657" w:rsidRPr="00792F40" w:rsidRDefault="00C52657" w:rsidP="00C52657">
      <w:pPr>
        <w:pStyle w:val="ListParagraph"/>
        <w:numPr>
          <w:ilvl w:val="0"/>
          <w:numId w:val="17"/>
        </w:numPr>
        <w:snapToGrid w:val="0"/>
        <w:spacing w:after="0" w:line="240" w:lineRule="auto"/>
        <w:jc w:val="both"/>
        <w:rPr>
          <w:sz w:val="20"/>
          <w:szCs w:val="20"/>
        </w:rPr>
      </w:pPr>
      <w:r w:rsidRPr="00792F40">
        <w:rPr>
          <w:sz w:val="20"/>
          <w:szCs w:val="20"/>
        </w:rPr>
        <w:t xml:space="preserve">If not associated, for each of the PUSCH, PUCCH, and SRS, </w:t>
      </w:r>
      <w:r w:rsidR="00544113" w:rsidRPr="00792F40">
        <w:rPr>
          <w:sz w:val="20"/>
          <w:szCs w:val="20"/>
        </w:rPr>
        <w:t>the</w:t>
      </w:r>
      <w:r w:rsidRPr="00792F40">
        <w:rPr>
          <w:sz w:val="20"/>
          <w:szCs w:val="20"/>
        </w:rPr>
        <w:t xml:space="preserve"> configured setting</w:t>
      </w:r>
      <w:r w:rsidR="00544113" w:rsidRPr="00792F40">
        <w:rPr>
          <w:sz w:val="20"/>
          <w:szCs w:val="20"/>
        </w:rPr>
        <w:t>(s)</w:t>
      </w:r>
      <w:r w:rsidRPr="00792F40">
        <w:rPr>
          <w:sz w:val="20"/>
          <w:szCs w:val="20"/>
        </w:rPr>
        <w:t xml:space="preserve"> of (P0, alpha, closed l</w:t>
      </w:r>
      <w:r w:rsidR="00544113" w:rsidRPr="00792F40">
        <w:rPr>
          <w:sz w:val="20"/>
          <w:szCs w:val="20"/>
        </w:rPr>
        <w:t>oop index) per channel/signal are</w:t>
      </w:r>
      <w:r w:rsidRPr="00792F40">
        <w:rPr>
          <w:sz w:val="20"/>
          <w:szCs w:val="20"/>
        </w:rPr>
        <w:t xml:space="preserve"> applied </w:t>
      </w:r>
      <w:r w:rsidR="00544113" w:rsidRPr="00792F40">
        <w:rPr>
          <w:sz w:val="20"/>
          <w:szCs w:val="20"/>
        </w:rPr>
        <w:t>independent of</w:t>
      </w:r>
      <w:r w:rsidRPr="00792F40">
        <w:rPr>
          <w:sz w:val="20"/>
          <w:szCs w:val="20"/>
        </w:rPr>
        <w:t xml:space="preserve"> the UL or (if applicable) joint TCI states</w:t>
      </w:r>
    </w:p>
    <w:p w14:paraId="4721DE99" w14:textId="1073F984" w:rsidR="007A4042" w:rsidRPr="00792F40" w:rsidRDefault="007A4042" w:rsidP="00C52657">
      <w:pPr>
        <w:snapToGrid w:val="0"/>
        <w:jc w:val="both"/>
        <w:rPr>
          <w:sz w:val="20"/>
          <w:szCs w:val="20"/>
        </w:rPr>
      </w:pPr>
    </w:p>
    <w:p w14:paraId="29947D97" w14:textId="78B1244E" w:rsidR="00FA6BDD" w:rsidRPr="009A2D41" w:rsidRDefault="00FA6BDD" w:rsidP="00782D2E">
      <w:pPr>
        <w:snapToGrid w:val="0"/>
        <w:jc w:val="both"/>
        <w:rPr>
          <w:sz w:val="18"/>
          <w:szCs w:val="18"/>
        </w:rPr>
      </w:pPr>
      <w:r w:rsidRPr="009A2D41">
        <w:rPr>
          <w:sz w:val="18"/>
          <w:szCs w:val="18"/>
        </w:rPr>
        <w:t>Support (14): Apple, AT&amp;T, CATT, Ericsson, Fraunhofer IIS/HHI, Futurewei, MTK, NTT Docomo, Samsung, Sony, Spreadtrum, Xiaomi, ZTE (ok)</w:t>
      </w:r>
    </w:p>
    <w:p w14:paraId="3C64BFF1" w14:textId="77777777" w:rsidR="00765F54" w:rsidRPr="009A2D41" w:rsidRDefault="00765F54" w:rsidP="00782D2E">
      <w:pPr>
        <w:snapToGrid w:val="0"/>
        <w:contextualSpacing/>
        <w:jc w:val="both"/>
        <w:rPr>
          <w:sz w:val="18"/>
          <w:szCs w:val="18"/>
        </w:rPr>
      </w:pPr>
    </w:p>
    <w:p w14:paraId="4076BE55" w14:textId="7F60B74B" w:rsidR="00FA6BDD" w:rsidRPr="009A2D41" w:rsidRDefault="00FA6BDD" w:rsidP="00782D2E">
      <w:pPr>
        <w:snapToGrid w:val="0"/>
        <w:contextualSpacing/>
        <w:jc w:val="both"/>
        <w:rPr>
          <w:sz w:val="18"/>
          <w:szCs w:val="18"/>
        </w:rPr>
      </w:pPr>
      <w:r w:rsidRPr="009A2D41">
        <w:rPr>
          <w:sz w:val="18"/>
          <w:szCs w:val="18"/>
        </w:rPr>
        <w:t xml:space="preserve">Not support (7): </w:t>
      </w:r>
      <w:r w:rsidRPr="009A2D41">
        <w:rPr>
          <w:sz w:val="18"/>
          <w:szCs w:val="18"/>
        </w:rPr>
        <w:t>Huawei, HiSi, LG, OPPO</w:t>
      </w:r>
      <w:r w:rsidR="00CF22CC" w:rsidRPr="009A2D41">
        <w:rPr>
          <w:sz w:val="18"/>
          <w:szCs w:val="18"/>
        </w:rPr>
        <w:t xml:space="preserve"> (ok, if SRS always not </w:t>
      </w:r>
      <w:r w:rsidR="00E8547E" w:rsidRPr="009A2D41">
        <w:rPr>
          <w:sz w:val="18"/>
          <w:szCs w:val="18"/>
        </w:rPr>
        <w:t>associated</w:t>
      </w:r>
      <w:r w:rsidR="00CF22CC" w:rsidRPr="009A2D41">
        <w:rPr>
          <w:sz w:val="18"/>
          <w:szCs w:val="18"/>
        </w:rPr>
        <w:t>)</w:t>
      </w:r>
      <w:r w:rsidRPr="009A2D41">
        <w:rPr>
          <w:sz w:val="18"/>
          <w:szCs w:val="18"/>
        </w:rPr>
        <w:t xml:space="preserve">, Qualcomm, </w:t>
      </w:r>
      <w:r w:rsidRPr="009A2D41">
        <w:rPr>
          <w:sz w:val="18"/>
          <w:szCs w:val="18"/>
        </w:rPr>
        <w:t xml:space="preserve">vivo, </w:t>
      </w:r>
      <w:r w:rsidRPr="009A2D41">
        <w:rPr>
          <w:sz w:val="18"/>
          <w:szCs w:val="18"/>
        </w:rPr>
        <w:t>ZTE</w:t>
      </w:r>
    </w:p>
    <w:p w14:paraId="4C37F5AC" w14:textId="77777777" w:rsidR="00FA6BDD" w:rsidRPr="009A2D41" w:rsidRDefault="00FA6BDD" w:rsidP="00C52657">
      <w:pPr>
        <w:snapToGrid w:val="0"/>
        <w:jc w:val="both"/>
        <w:rPr>
          <w:sz w:val="18"/>
          <w:szCs w:val="18"/>
        </w:rPr>
      </w:pPr>
    </w:p>
    <w:p w14:paraId="0AE14906" w14:textId="7C8295B2" w:rsidR="0091780A" w:rsidRPr="009A2D41" w:rsidRDefault="0091780A" w:rsidP="00AF29F5">
      <w:pPr>
        <w:snapToGrid w:val="0"/>
        <w:jc w:val="both"/>
        <w:rPr>
          <w:b/>
          <w:sz w:val="18"/>
          <w:szCs w:val="18"/>
          <w:u w:val="single"/>
        </w:rPr>
      </w:pPr>
    </w:p>
    <w:p w14:paraId="6E832B13" w14:textId="4DA135B2" w:rsidR="00C02535" w:rsidRPr="001A65C7" w:rsidRDefault="00E921ED" w:rsidP="00E921ED">
      <w:pPr>
        <w:rPr>
          <w:sz w:val="22"/>
          <w:u w:val="single"/>
        </w:rPr>
      </w:pPr>
      <w:r w:rsidRPr="001A65C7">
        <w:rPr>
          <w:sz w:val="22"/>
          <w:u w:val="single"/>
        </w:rPr>
        <w:t>QCL for CA</w:t>
      </w:r>
    </w:p>
    <w:p w14:paraId="4A318CB1" w14:textId="300BFDF0" w:rsidR="00380C5F" w:rsidRDefault="00380C5F" w:rsidP="00C02535">
      <w:pPr>
        <w:snapToGrid w:val="0"/>
        <w:jc w:val="both"/>
        <w:rPr>
          <w:b/>
          <w:sz w:val="20"/>
          <w:szCs w:val="20"/>
          <w:u w:val="single"/>
        </w:rPr>
      </w:pPr>
    </w:p>
    <w:p w14:paraId="31E02130" w14:textId="77777777" w:rsidR="00792F40" w:rsidRPr="00267885" w:rsidRDefault="00792F40" w:rsidP="00792F40">
      <w:pPr>
        <w:snapToGrid w:val="0"/>
        <w:jc w:val="both"/>
        <w:rPr>
          <w:color w:val="FF0000"/>
          <w:sz w:val="20"/>
          <w:szCs w:val="20"/>
        </w:rPr>
      </w:pPr>
      <w:r w:rsidRPr="00792F40">
        <w:rPr>
          <w:b/>
          <w:bCs/>
          <w:color w:val="000000"/>
          <w:sz w:val="20"/>
          <w:szCs w:val="20"/>
          <w:u w:val="single"/>
        </w:rPr>
        <w:t>Proposal 1.3A</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 xml:space="preserve">for common TCI state ID update and activation to provide common QCL information and/or common UL TX spatial filter(s) across a set of configured CCs/BWPs, </w:t>
      </w:r>
      <w:r w:rsidRPr="00267885">
        <w:rPr>
          <w:color w:val="FF0000"/>
          <w:sz w:val="20"/>
          <w:szCs w:val="20"/>
          <w:lang w:eastAsia="ja-JP"/>
        </w:rPr>
        <w:t>following the Rel-15/16 rules for cross-CC QCL indication</w:t>
      </w:r>
    </w:p>
    <w:p w14:paraId="7E65EFEC" w14:textId="3CEEE024" w:rsidR="00792F40" w:rsidRPr="00792F40" w:rsidRDefault="00792F40" w:rsidP="00792F40">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27B2277F" w14:textId="77777777" w:rsidR="00792F40" w:rsidRPr="00792F40" w:rsidRDefault="00792F40" w:rsidP="00792F40">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5719BEAC" w14:textId="7E14C05B" w:rsidR="00792F40" w:rsidRPr="009A2D41" w:rsidRDefault="00792F40" w:rsidP="00792F40">
      <w:pPr>
        <w:snapToGrid w:val="0"/>
        <w:jc w:val="both"/>
        <w:rPr>
          <w:b/>
          <w:sz w:val="18"/>
          <w:szCs w:val="18"/>
          <w:u w:val="single"/>
        </w:rPr>
      </w:pPr>
    </w:p>
    <w:p w14:paraId="75FE4A28" w14:textId="77777777" w:rsidR="00792F40" w:rsidRPr="009A2D41" w:rsidRDefault="00792F40" w:rsidP="00792F40">
      <w:pPr>
        <w:snapToGrid w:val="0"/>
        <w:rPr>
          <w:sz w:val="18"/>
          <w:szCs w:val="18"/>
        </w:rPr>
      </w:pPr>
      <w:r w:rsidRPr="009A2D41">
        <w:rPr>
          <w:sz w:val="18"/>
          <w:szCs w:val="18"/>
        </w:rPr>
        <w:t>Support (16): Apple, CATT, Ericsson, Futurewei, Huawei/HiSi, Lenovo/MoM, LG, MTK, NTT Docomo, Samsung (ok), Spreadtrum, vivo, Xiaomi, ZTE (ok)</w:t>
      </w:r>
    </w:p>
    <w:p w14:paraId="7B68951F" w14:textId="77777777" w:rsidR="00792F40" w:rsidRPr="009A2D41" w:rsidRDefault="00792F40" w:rsidP="00792F40">
      <w:pPr>
        <w:snapToGrid w:val="0"/>
        <w:rPr>
          <w:sz w:val="18"/>
          <w:szCs w:val="18"/>
        </w:rPr>
      </w:pPr>
    </w:p>
    <w:p w14:paraId="376FE920" w14:textId="53E1A376" w:rsidR="00792F40" w:rsidRPr="009A2D41" w:rsidRDefault="00792F40" w:rsidP="00792F40">
      <w:pPr>
        <w:snapToGrid w:val="0"/>
        <w:rPr>
          <w:sz w:val="18"/>
          <w:szCs w:val="18"/>
        </w:rPr>
      </w:pPr>
      <w:r w:rsidRPr="009A2D41">
        <w:rPr>
          <w:sz w:val="18"/>
          <w:szCs w:val="18"/>
        </w:rPr>
        <w:t xml:space="preserve">Not support (3): OPPO, </w:t>
      </w:r>
      <w:r w:rsidRPr="009A2D41">
        <w:rPr>
          <w:sz w:val="18"/>
          <w:szCs w:val="18"/>
        </w:rPr>
        <w:t>[</w:t>
      </w:r>
      <w:r w:rsidRPr="009A2D41">
        <w:rPr>
          <w:sz w:val="18"/>
          <w:szCs w:val="18"/>
        </w:rPr>
        <w:t>Qualcomm,</w:t>
      </w:r>
      <w:r w:rsidRPr="009A2D41">
        <w:rPr>
          <w:sz w:val="18"/>
          <w:szCs w:val="18"/>
        </w:rPr>
        <w:t>]</w:t>
      </w:r>
      <w:r w:rsidRPr="009A2D41">
        <w:rPr>
          <w:sz w:val="18"/>
          <w:szCs w:val="18"/>
        </w:rPr>
        <w:t xml:space="preserve"> Sony </w:t>
      </w:r>
    </w:p>
    <w:p w14:paraId="7D2455D8" w14:textId="4A4AC0F8" w:rsidR="00792F40" w:rsidRPr="009A2D41" w:rsidRDefault="00792F40" w:rsidP="00792F40">
      <w:pPr>
        <w:snapToGrid w:val="0"/>
        <w:jc w:val="both"/>
        <w:rPr>
          <w:b/>
          <w:sz w:val="18"/>
          <w:szCs w:val="18"/>
          <w:u w:val="single"/>
        </w:rPr>
      </w:pPr>
    </w:p>
    <w:p w14:paraId="30D9B80F" w14:textId="77777777" w:rsidR="00792F40" w:rsidRPr="009A2D41" w:rsidRDefault="00792F40" w:rsidP="005821A1">
      <w:pPr>
        <w:snapToGrid w:val="0"/>
        <w:jc w:val="both"/>
        <w:rPr>
          <w:b/>
          <w:sz w:val="18"/>
          <w:szCs w:val="18"/>
          <w:u w:val="single"/>
        </w:rPr>
      </w:pPr>
    </w:p>
    <w:p w14:paraId="1A2C4545" w14:textId="77777777" w:rsidR="00792F40" w:rsidRPr="00792F40" w:rsidRDefault="00792F40" w:rsidP="005821A1">
      <w:pPr>
        <w:snapToGrid w:val="0"/>
        <w:jc w:val="both"/>
        <w:rPr>
          <w:sz w:val="20"/>
          <w:szCs w:val="20"/>
        </w:rPr>
      </w:pPr>
      <w:r w:rsidRPr="00792F40">
        <w:rPr>
          <w:b/>
          <w:bCs/>
          <w:sz w:val="20"/>
          <w:szCs w:val="20"/>
          <w:u w:val="single"/>
        </w:rPr>
        <w:t>Proposal 1.3X</w:t>
      </w:r>
      <w:r w:rsidRPr="00792F40">
        <w:rPr>
          <w:sz w:val="20"/>
          <w:szCs w:val="20"/>
        </w:rPr>
        <w:t>: ‘A single RRC pool of TCI states’ for common TCI state ID update and activation to provide common QCL information and/or common UL TX spatial filter(s) across a set of configured CCs /BWPs is supported.</w:t>
      </w:r>
    </w:p>
    <w:p w14:paraId="2F6A2A74" w14:textId="7777777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The TCI states can be configured in the PDSCH configuration for each BWP /CC</w:t>
      </w:r>
    </w:p>
    <w:p w14:paraId="16EB7B6F" w14:textId="7777777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The TCI states can be absent in the PDSCH configuration in any BWP /CC, and replaced with a reference to the TCI states in a reference BWP /CC.</w:t>
      </w:r>
    </w:p>
    <w:p w14:paraId="62EB1C40" w14:textId="5219D0C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As in Rel-1</w:t>
      </w:r>
      <w:r>
        <w:rPr>
          <w:sz w:val="20"/>
          <w:szCs w:val="20"/>
        </w:rPr>
        <w:t>5/16, if the CC ID is absent in</w:t>
      </w:r>
      <w:r w:rsidRPr="00792F40">
        <w:rPr>
          <w:sz w:val="20"/>
          <w:szCs w:val="20"/>
        </w:rPr>
        <w:t xml:space="preserve"> a TCI state, it applies to the</w:t>
      </w:r>
      <w:r>
        <w:rPr>
          <w:sz w:val="20"/>
          <w:szCs w:val="20"/>
        </w:rPr>
        <w:t xml:space="preserve"> serving cell in which the TCI s</w:t>
      </w:r>
      <w:r w:rsidRPr="00792F40">
        <w:rPr>
          <w:sz w:val="20"/>
          <w:szCs w:val="20"/>
        </w:rPr>
        <w:t>tate is configured</w:t>
      </w:r>
    </w:p>
    <w:p w14:paraId="7B48EAF5" w14:textId="77777777" w:rsidR="00792F40" w:rsidRPr="00792F40" w:rsidRDefault="00792F40" w:rsidP="005821A1">
      <w:pPr>
        <w:snapToGrid w:val="0"/>
        <w:jc w:val="both"/>
        <w:rPr>
          <w:b/>
          <w:sz w:val="20"/>
          <w:szCs w:val="20"/>
          <w:u w:val="single"/>
        </w:rPr>
      </w:pPr>
    </w:p>
    <w:p w14:paraId="5ECA444C" w14:textId="0B0EE8F8" w:rsidR="00792F40" w:rsidRPr="009A2D41" w:rsidRDefault="00792F40" w:rsidP="00792F40">
      <w:pPr>
        <w:snapToGrid w:val="0"/>
        <w:rPr>
          <w:sz w:val="18"/>
          <w:szCs w:val="20"/>
        </w:rPr>
      </w:pPr>
      <w:r w:rsidRPr="009A2D41">
        <w:rPr>
          <w:sz w:val="18"/>
          <w:szCs w:val="20"/>
        </w:rPr>
        <w:t>Support</w:t>
      </w:r>
      <w:r w:rsidRPr="009A2D41">
        <w:rPr>
          <w:sz w:val="18"/>
          <w:szCs w:val="20"/>
        </w:rPr>
        <w:t xml:space="preserve"> (10</w:t>
      </w:r>
      <w:r w:rsidRPr="009A2D41">
        <w:rPr>
          <w:sz w:val="18"/>
          <w:szCs w:val="20"/>
        </w:rPr>
        <w:t xml:space="preserve">): Apple, CATT, </w:t>
      </w:r>
      <w:r w:rsidRPr="009A2D41">
        <w:rPr>
          <w:sz w:val="18"/>
          <w:szCs w:val="20"/>
        </w:rPr>
        <w:t xml:space="preserve">Ericsson, </w:t>
      </w:r>
      <w:r w:rsidRPr="009A2D41">
        <w:rPr>
          <w:sz w:val="18"/>
          <w:szCs w:val="20"/>
        </w:rPr>
        <w:t xml:space="preserve">MTK, NTT Docomo, Qualcomm, </w:t>
      </w:r>
      <w:r w:rsidRPr="009A2D41">
        <w:rPr>
          <w:sz w:val="18"/>
          <w:szCs w:val="20"/>
        </w:rPr>
        <w:t>Spreadtrum</w:t>
      </w:r>
      <w:r w:rsidRPr="009A2D41">
        <w:rPr>
          <w:sz w:val="18"/>
          <w:szCs w:val="20"/>
        </w:rPr>
        <w:t>, vivo, Xiaomi, ZTE</w:t>
      </w:r>
    </w:p>
    <w:p w14:paraId="221AB082" w14:textId="77777777" w:rsidR="00792F40" w:rsidRPr="009A2D41" w:rsidRDefault="00792F40" w:rsidP="00792F40">
      <w:pPr>
        <w:snapToGrid w:val="0"/>
        <w:rPr>
          <w:sz w:val="18"/>
          <w:szCs w:val="20"/>
        </w:rPr>
      </w:pPr>
    </w:p>
    <w:p w14:paraId="10AAFF50" w14:textId="3D986B3F" w:rsidR="00792F40" w:rsidRPr="009A2D41" w:rsidRDefault="00792F40" w:rsidP="00792F40">
      <w:pPr>
        <w:snapToGrid w:val="0"/>
        <w:rPr>
          <w:sz w:val="18"/>
          <w:szCs w:val="20"/>
        </w:rPr>
      </w:pPr>
      <w:r w:rsidRPr="009A2D41">
        <w:rPr>
          <w:sz w:val="18"/>
          <w:szCs w:val="20"/>
        </w:rPr>
        <w:t>Not support (separate pool)</w:t>
      </w:r>
      <w:r w:rsidRPr="009A2D41">
        <w:rPr>
          <w:sz w:val="18"/>
          <w:szCs w:val="20"/>
        </w:rPr>
        <w:t xml:space="preserve"> (6</w:t>
      </w:r>
      <w:r w:rsidRPr="009A2D41">
        <w:rPr>
          <w:sz w:val="18"/>
          <w:szCs w:val="20"/>
        </w:rPr>
        <w:t xml:space="preserve">): Futurewei, [Huawei/HiSi], LG, OPPO, Sony </w:t>
      </w:r>
    </w:p>
    <w:p w14:paraId="1636002A" w14:textId="77777777" w:rsidR="00792F40" w:rsidRPr="00792F40" w:rsidRDefault="00792F40" w:rsidP="00792F40">
      <w:pPr>
        <w:snapToGrid w:val="0"/>
        <w:jc w:val="both"/>
        <w:rPr>
          <w:b/>
          <w:sz w:val="20"/>
          <w:szCs w:val="20"/>
          <w:u w:val="single"/>
        </w:rPr>
      </w:pPr>
    </w:p>
    <w:p w14:paraId="182B66C8" w14:textId="77777777" w:rsidR="000F06CE" w:rsidRPr="00792F40" w:rsidRDefault="000F06CE" w:rsidP="00792F40">
      <w:pPr>
        <w:snapToGrid w:val="0"/>
        <w:jc w:val="both"/>
        <w:rPr>
          <w:b/>
          <w:sz w:val="20"/>
          <w:szCs w:val="20"/>
          <w:u w:val="single"/>
        </w:rPr>
      </w:pPr>
    </w:p>
    <w:p w14:paraId="4847923F" w14:textId="77777777" w:rsidR="001B45E1" w:rsidRPr="00792F40" w:rsidRDefault="001B45E1" w:rsidP="00792F40">
      <w:pPr>
        <w:snapToGrid w:val="0"/>
        <w:jc w:val="both"/>
        <w:rPr>
          <w:b/>
          <w:sz w:val="20"/>
          <w:szCs w:val="20"/>
          <w:u w:val="single"/>
        </w:rPr>
      </w:pPr>
    </w:p>
    <w:p w14:paraId="0EE07B0E" w14:textId="77777777" w:rsidR="009C7530" w:rsidRPr="00821363" w:rsidRDefault="009C7530" w:rsidP="009C7530">
      <w:pPr>
        <w:snapToGrid w:val="0"/>
        <w:jc w:val="both"/>
        <w:rPr>
          <w:b/>
          <w:sz w:val="22"/>
          <w:szCs w:val="20"/>
          <w:u w:val="single"/>
        </w:rPr>
      </w:pPr>
    </w:p>
    <w:p w14:paraId="34D02FF4" w14:textId="3B2E4BA9" w:rsidR="00481FF8" w:rsidRPr="00782D2E" w:rsidRDefault="00481FF8" w:rsidP="00D806B6">
      <w:pPr>
        <w:snapToGrid w:val="0"/>
        <w:jc w:val="both"/>
      </w:pPr>
    </w:p>
    <w:p w14:paraId="7A196F3A" w14:textId="77777777" w:rsidR="009C7530" w:rsidRPr="00782D2E" w:rsidRDefault="009C7530" w:rsidP="00D806B6">
      <w:pPr>
        <w:snapToGrid w:val="0"/>
        <w:jc w:val="both"/>
      </w:pPr>
    </w:p>
    <w:p w14:paraId="64EFA024" w14:textId="77777777" w:rsidR="00DE37B1" w:rsidRPr="00782D2E" w:rsidRDefault="00D75400" w:rsidP="00CD3B02">
      <w:pPr>
        <w:pStyle w:val="Heading3"/>
        <w:numPr>
          <w:ilvl w:val="1"/>
          <w:numId w:val="8"/>
        </w:numPr>
      </w:pPr>
      <w:r w:rsidRPr="00782D2E">
        <w:lastRenderedPageBreak/>
        <w:t>Issue 2 (L1/L2-centric inter-cell mobility)</w:t>
      </w:r>
    </w:p>
    <w:p w14:paraId="637A7BD8" w14:textId="37303A27" w:rsidR="007B061C" w:rsidRPr="00782D2E" w:rsidRDefault="007B061C" w:rsidP="00EE10DB">
      <w:pPr>
        <w:snapToGrid w:val="0"/>
        <w:jc w:val="both"/>
        <w:rPr>
          <w:sz w:val="18"/>
          <w:szCs w:val="20"/>
        </w:rPr>
      </w:pPr>
    </w:p>
    <w:p w14:paraId="36C0E461" w14:textId="50EB5462" w:rsidR="00DE37B1" w:rsidRPr="00782D2E" w:rsidRDefault="00DE37B1" w:rsidP="002E6C53">
      <w:pPr>
        <w:snapToGrid w:val="0"/>
        <w:jc w:val="both"/>
        <w:rPr>
          <w:sz w:val="18"/>
          <w:szCs w:val="20"/>
        </w:rPr>
      </w:pPr>
    </w:p>
    <w:p w14:paraId="13F14212" w14:textId="77777777" w:rsidR="004E364F" w:rsidRPr="00782D2E" w:rsidRDefault="004E364F" w:rsidP="004E364F">
      <w:pPr>
        <w:snapToGrid w:val="0"/>
        <w:jc w:val="both"/>
        <w:rPr>
          <w:sz w:val="20"/>
          <w:szCs w:val="20"/>
        </w:rPr>
      </w:pPr>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29806B7B"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w:t>
      </w:r>
    </w:p>
    <w:p w14:paraId="3EA81757"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3C9A2AB4"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0165056D"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PDCCH/PDSCH </w:t>
      </w:r>
    </w:p>
    <w:p w14:paraId="1B8DC56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28DA804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6177AE78" w14:textId="77777777" w:rsidR="004E364F" w:rsidRPr="009A2D41" w:rsidRDefault="004E364F" w:rsidP="004E364F">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p w14:paraId="2722199B" w14:textId="5D2615D6" w:rsidR="00016721" w:rsidRPr="00782D2E" w:rsidRDefault="00016721" w:rsidP="002E6C53">
      <w:pPr>
        <w:snapToGrid w:val="0"/>
        <w:jc w:val="both"/>
        <w:rPr>
          <w:sz w:val="18"/>
          <w:szCs w:val="20"/>
        </w:rPr>
      </w:pPr>
    </w:p>
    <w:p w14:paraId="7CFE48E6" w14:textId="50308857" w:rsidR="00810BEA" w:rsidRDefault="00810BEA" w:rsidP="002E6C53">
      <w:pPr>
        <w:snapToGrid w:val="0"/>
        <w:jc w:val="both"/>
        <w:rPr>
          <w:sz w:val="18"/>
          <w:szCs w:val="20"/>
        </w:rPr>
      </w:pPr>
    </w:p>
    <w:p w14:paraId="70EB442C" w14:textId="0AC3192F" w:rsidR="009A2D41" w:rsidRDefault="009A2D41" w:rsidP="002E6C53">
      <w:pPr>
        <w:snapToGrid w:val="0"/>
        <w:jc w:val="both"/>
        <w:rPr>
          <w:sz w:val="18"/>
          <w:szCs w:val="20"/>
        </w:rPr>
      </w:pPr>
      <w:r>
        <w:rPr>
          <w:sz w:val="18"/>
          <w:szCs w:val="20"/>
        </w:rPr>
        <w:t>Support</w:t>
      </w:r>
      <w:r w:rsidR="00A63F36">
        <w:rPr>
          <w:sz w:val="18"/>
          <w:szCs w:val="20"/>
        </w:rPr>
        <w:t xml:space="preserve"> (1</w:t>
      </w:r>
      <w:r w:rsidR="00D32E98">
        <w:rPr>
          <w:sz w:val="18"/>
          <w:szCs w:val="20"/>
        </w:rPr>
        <w:t>6</w:t>
      </w:r>
      <w:r w:rsidR="00A63F36">
        <w:rPr>
          <w:sz w:val="18"/>
          <w:szCs w:val="20"/>
        </w:rPr>
        <w:t>)</w:t>
      </w:r>
      <w:r>
        <w:rPr>
          <w:sz w:val="18"/>
          <w:szCs w:val="20"/>
        </w:rPr>
        <w:t xml:space="preserve">: Apple, </w:t>
      </w:r>
      <w:r w:rsidR="00767F5B">
        <w:rPr>
          <w:sz w:val="18"/>
          <w:szCs w:val="20"/>
        </w:rPr>
        <w:t xml:space="preserve">AT&amp;T, CATT, Ericsson, </w:t>
      </w:r>
      <w:r w:rsidR="003F68EF">
        <w:rPr>
          <w:sz w:val="18"/>
          <w:szCs w:val="20"/>
        </w:rPr>
        <w:t xml:space="preserve">Lenovo/MoM, </w:t>
      </w:r>
      <w:r>
        <w:rPr>
          <w:sz w:val="18"/>
          <w:szCs w:val="20"/>
        </w:rPr>
        <w:t xml:space="preserve">LG, NTT Docomo, </w:t>
      </w:r>
      <w:r w:rsidR="00D32E98">
        <w:rPr>
          <w:sz w:val="18"/>
          <w:szCs w:val="20"/>
        </w:rPr>
        <w:t xml:space="preserve">[OPPO], </w:t>
      </w:r>
      <w:r w:rsidR="00767F5B">
        <w:rPr>
          <w:sz w:val="18"/>
          <w:szCs w:val="20"/>
        </w:rPr>
        <w:t xml:space="preserve">Qualcomm, </w:t>
      </w:r>
      <w:r>
        <w:rPr>
          <w:sz w:val="18"/>
          <w:szCs w:val="20"/>
        </w:rPr>
        <w:t xml:space="preserve">Samsung, </w:t>
      </w:r>
      <w:r w:rsidR="00663EBD">
        <w:rPr>
          <w:sz w:val="18"/>
          <w:szCs w:val="20"/>
        </w:rPr>
        <w:t xml:space="preserve">Sony, Spreadtrum, </w:t>
      </w:r>
      <w:r>
        <w:rPr>
          <w:sz w:val="18"/>
          <w:szCs w:val="20"/>
        </w:rPr>
        <w:t xml:space="preserve">vivo, </w:t>
      </w:r>
      <w:r w:rsidR="00663EBD">
        <w:rPr>
          <w:sz w:val="18"/>
          <w:szCs w:val="20"/>
        </w:rPr>
        <w:t xml:space="preserve">Xiaomi, </w:t>
      </w:r>
      <w:r>
        <w:rPr>
          <w:sz w:val="18"/>
          <w:szCs w:val="20"/>
        </w:rPr>
        <w:t>ZTE</w:t>
      </w:r>
    </w:p>
    <w:p w14:paraId="031FBF58" w14:textId="77777777" w:rsidR="009A2D41" w:rsidRDefault="009A2D41" w:rsidP="002E6C53">
      <w:pPr>
        <w:snapToGrid w:val="0"/>
        <w:jc w:val="both"/>
        <w:rPr>
          <w:sz w:val="18"/>
          <w:szCs w:val="20"/>
        </w:rPr>
      </w:pPr>
    </w:p>
    <w:p w14:paraId="756FE811" w14:textId="287D4312" w:rsidR="009A2D41" w:rsidRPr="00782D2E" w:rsidRDefault="009A2D41" w:rsidP="002E6C53">
      <w:pPr>
        <w:snapToGrid w:val="0"/>
        <w:jc w:val="both"/>
        <w:rPr>
          <w:sz w:val="18"/>
          <w:szCs w:val="20"/>
        </w:rPr>
      </w:pPr>
      <w:r>
        <w:rPr>
          <w:sz w:val="18"/>
          <w:szCs w:val="20"/>
        </w:rPr>
        <w:t>Not support</w:t>
      </w:r>
      <w:r w:rsidR="00A63F36">
        <w:rPr>
          <w:sz w:val="18"/>
          <w:szCs w:val="20"/>
        </w:rPr>
        <w:t xml:space="preserve"> (5)</w:t>
      </w:r>
      <w:r>
        <w:rPr>
          <w:sz w:val="18"/>
          <w:szCs w:val="20"/>
        </w:rPr>
        <w:t xml:space="preserve">: Futurewei, [Huawei/HiSi], Nokia/NSB </w:t>
      </w:r>
    </w:p>
    <w:p w14:paraId="0CA3E459" w14:textId="77777777" w:rsidR="00D74235" w:rsidRPr="00782D2E" w:rsidRDefault="00D74235" w:rsidP="00D74235">
      <w:pPr>
        <w:pStyle w:val="Heading3"/>
      </w:pPr>
    </w:p>
    <w:p w14:paraId="55442376" w14:textId="77777777" w:rsidR="00782D2E" w:rsidRDefault="00782D2E">
      <w:pPr>
        <w:autoSpaceDN w:val="0"/>
        <w:spacing w:after="160" w:line="256" w:lineRule="auto"/>
        <w:textAlignment w:val="baseline"/>
        <w:rPr>
          <w:rFonts w:eastAsia="DengXian Light"/>
          <w:color w:val="000000"/>
          <w:sz w:val="28"/>
        </w:rPr>
      </w:pPr>
      <w:r>
        <w:rPr>
          <w:sz w:val="28"/>
        </w:rPr>
        <w:br w:type="page"/>
      </w:r>
    </w:p>
    <w:p w14:paraId="141AD237" w14:textId="7EDF3D6B" w:rsidR="00D74235" w:rsidRPr="00310DA3" w:rsidRDefault="00D74235" w:rsidP="00D74235">
      <w:pPr>
        <w:pStyle w:val="Heading3"/>
        <w:rPr>
          <w:sz w:val="28"/>
        </w:rPr>
      </w:pPr>
      <w:r>
        <w:rPr>
          <w:sz w:val="28"/>
        </w:rPr>
        <w:lastRenderedPageBreak/>
        <w:t>Appendix</w:t>
      </w:r>
    </w:p>
    <w:p w14:paraId="63FF3C5A" w14:textId="77777777" w:rsidR="00D74235" w:rsidRDefault="00D74235" w:rsidP="00D74235">
      <w:pPr>
        <w:snapToGrid w:val="0"/>
        <w:jc w:val="both"/>
        <w:rPr>
          <w:sz w:val="20"/>
          <w:szCs w:val="20"/>
        </w:rPr>
      </w:pPr>
    </w:p>
    <w:p w14:paraId="22B90979" w14:textId="2EA35B3B" w:rsidR="00810BEA" w:rsidRDefault="00810BEA" w:rsidP="002E6C53">
      <w:pPr>
        <w:snapToGrid w:val="0"/>
        <w:jc w:val="both"/>
        <w:rPr>
          <w:sz w:val="20"/>
          <w:szCs w:val="20"/>
        </w:rPr>
      </w:pPr>
    </w:p>
    <w:p w14:paraId="4BEFBF13" w14:textId="3A7CB440" w:rsidR="00810BEA" w:rsidRPr="00B069F9" w:rsidRDefault="00810BEA" w:rsidP="002E6C53">
      <w:pPr>
        <w:snapToGrid w:val="0"/>
        <w:jc w:val="both"/>
        <w:rPr>
          <w:szCs w:val="20"/>
          <w:u w:val="single"/>
        </w:rPr>
      </w:pPr>
      <w:r w:rsidRPr="00B069F9">
        <w:rPr>
          <w:szCs w:val="20"/>
          <w:u w:val="single"/>
        </w:rPr>
        <w:t>UL PC other than PL-RS</w:t>
      </w:r>
    </w:p>
    <w:p w14:paraId="63D99395" w14:textId="77777777" w:rsidR="00810BEA" w:rsidRDefault="00810BEA" w:rsidP="002E6C53">
      <w:pPr>
        <w:snapToGrid w:val="0"/>
        <w:jc w:val="both"/>
        <w:rPr>
          <w:sz w:val="20"/>
          <w:szCs w:val="20"/>
        </w:rPr>
      </w:pPr>
    </w:p>
    <w:p w14:paraId="78C1EC0B" w14:textId="20935744" w:rsidR="00810BEA" w:rsidRDefault="00810BEA" w:rsidP="00810BEA">
      <w:pPr>
        <w:snapToGrid w:val="0"/>
        <w:jc w:val="both"/>
        <w:rPr>
          <w:sz w:val="20"/>
          <w:szCs w:val="20"/>
        </w:rPr>
      </w:pPr>
      <w:r>
        <w:rPr>
          <w:b/>
          <w:sz w:val="20"/>
          <w:u w:val="single"/>
        </w:rPr>
        <w:t>Possible c</w:t>
      </w:r>
      <w:r w:rsidRPr="000667DC">
        <w:rPr>
          <w:b/>
          <w:sz w:val="20"/>
          <w:u w:val="single"/>
        </w:rPr>
        <w:t>onclusion</w:t>
      </w:r>
      <w:r>
        <w:rPr>
          <w:sz w:val="20"/>
        </w:rPr>
        <w:t xml:space="preserve">: </w:t>
      </w:r>
      <w:r w:rsidRPr="006E1372">
        <w:rPr>
          <w:sz w:val="20"/>
          <w:szCs w:val="20"/>
        </w:rPr>
        <w:t xml:space="preserve">On the setting of UL PC parameters except for PL-RS (P0, alpha, closed loop index) for Rel.17 unified TCI framework, </w:t>
      </w:r>
      <w:r>
        <w:rPr>
          <w:sz w:val="20"/>
          <w:szCs w:val="20"/>
        </w:rPr>
        <w:t xml:space="preserve">there is </w:t>
      </w:r>
      <w:r w:rsidRPr="006E1372">
        <w:rPr>
          <w:sz w:val="20"/>
          <w:szCs w:val="20"/>
        </w:rPr>
        <w:t xml:space="preserve">no consensus on </w:t>
      </w:r>
      <w:r>
        <w:rPr>
          <w:sz w:val="20"/>
          <w:szCs w:val="20"/>
        </w:rPr>
        <w:t xml:space="preserve">whether and </w:t>
      </w:r>
      <w:r w:rsidRPr="006E1372">
        <w:rPr>
          <w:sz w:val="20"/>
          <w:szCs w:val="20"/>
        </w:rPr>
        <w:t>how to support TCI-state-specific setting for each of the PUSCH, PUCCH, and SRS.</w:t>
      </w:r>
      <w:r>
        <w:rPr>
          <w:sz w:val="20"/>
          <w:szCs w:val="20"/>
        </w:rPr>
        <w:t xml:space="preserve"> </w:t>
      </w:r>
    </w:p>
    <w:p w14:paraId="4289638C" w14:textId="77777777" w:rsidR="00810BEA" w:rsidRPr="006E1372" w:rsidRDefault="00810BEA" w:rsidP="00810BEA">
      <w:pPr>
        <w:snapToGrid w:val="0"/>
        <w:jc w:val="both"/>
        <w:rPr>
          <w:sz w:val="20"/>
          <w:szCs w:val="20"/>
        </w:rPr>
      </w:pPr>
      <w:r>
        <w:rPr>
          <w:sz w:val="20"/>
          <w:szCs w:val="20"/>
        </w:rPr>
        <w:t xml:space="preserve">Given the agreement in RAN1#104-e, </w:t>
      </w:r>
      <w:r>
        <w:rPr>
          <w:rFonts w:eastAsia="Batang"/>
          <w:sz w:val="20"/>
          <w:lang w:eastAsia="en-US"/>
        </w:rPr>
        <w:t>t</w:t>
      </w:r>
      <w:r w:rsidRPr="006E1372">
        <w:rPr>
          <w:rFonts w:eastAsia="Batang"/>
          <w:sz w:val="20"/>
          <w:lang w:val="en-GB" w:eastAsia="en-US"/>
        </w:rPr>
        <w:t xml:space="preserve">he setting of </w:t>
      </w:r>
      <w:r w:rsidRPr="006E1372">
        <w:rPr>
          <w:sz w:val="20"/>
          <w:szCs w:val="20"/>
        </w:rPr>
        <w:t>UL PC parameters except for PL-RS</w:t>
      </w:r>
      <w:r w:rsidRPr="006E1372">
        <w:rPr>
          <w:rFonts w:eastAsia="Batang"/>
          <w:sz w:val="20"/>
          <w:lang w:val="en-GB" w:eastAsia="en-US"/>
        </w:rPr>
        <w:t xml:space="preserve"> (P0, alpha, closed loop index) is only associated with UL channel or UL RS (therefore the setting is channel- and signal-specific).</w:t>
      </w:r>
      <w:r>
        <w:rPr>
          <w:rFonts w:eastAsia="Batang"/>
          <w:sz w:val="20"/>
          <w:lang w:val="en-GB" w:eastAsia="en-US"/>
        </w:rPr>
        <w:t xml:space="preserve"> That is,</w:t>
      </w:r>
    </w:p>
    <w:p w14:paraId="728CEEFB" w14:textId="071244CE" w:rsidR="00BB5B5E" w:rsidRPr="00BB5B5E" w:rsidRDefault="00810BEA" w:rsidP="002E6C53">
      <w:pPr>
        <w:pStyle w:val="ListParagraph"/>
        <w:numPr>
          <w:ilvl w:val="0"/>
          <w:numId w:val="32"/>
        </w:numPr>
        <w:snapToGrid w:val="0"/>
        <w:spacing w:after="0" w:line="240" w:lineRule="auto"/>
        <w:contextualSpacing/>
        <w:jc w:val="both"/>
        <w:rPr>
          <w:sz w:val="20"/>
          <w:szCs w:val="20"/>
        </w:rPr>
      </w:pPr>
      <w:r w:rsidRPr="006E1372">
        <w:rPr>
          <w:sz w:val="20"/>
          <w:szCs w:val="20"/>
          <w:lang w:val="en-GB"/>
        </w:rPr>
        <w:t>F</w:t>
      </w:r>
      <w:r w:rsidRPr="006E1372">
        <w:rPr>
          <w:sz w:val="20"/>
          <w:szCs w:val="20"/>
        </w:rPr>
        <w:t xml:space="preserve">or each of the PUSCH, PUCCH, and SRS, </w:t>
      </w:r>
      <w:bookmarkStart w:id="2" w:name="_GoBack"/>
      <w:bookmarkEnd w:id="2"/>
      <w:r w:rsidR="00BB5B5E" w:rsidRPr="00BB5B5E">
        <w:rPr>
          <w:sz w:val="20"/>
          <w:szCs w:val="20"/>
        </w:rPr>
        <w:t>the configured setting(s) of (P0, alpha, closed loop index) per channel/signal are applied independent of the UL or (if applicable) joint TCI states</w:t>
      </w:r>
    </w:p>
    <w:sectPr w:rsidR="00BB5B5E" w:rsidRPr="00BB5B5E"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B5ABE" w14:textId="77777777" w:rsidR="000C7643" w:rsidRDefault="000C7643">
      <w:r>
        <w:separator/>
      </w:r>
    </w:p>
  </w:endnote>
  <w:endnote w:type="continuationSeparator" w:id="0">
    <w:p w14:paraId="57883A59" w14:textId="77777777" w:rsidR="000C7643" w:rsidRDefault="000C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68578" w14:textId="77777777" w:rsidR="000C7643" w:rsidRDefault="000C7643">
      <w:r>
        <w:rPr>
          <w:color w:val="000000"/>
        </w:rPr>
        <w:separator/>
      </w:r>
    </w:p>
  </w:footnote>
  <w:footnote w:type="continuationSeparator" w:id="0">
    <w:p w14:paraId="7B7FFD98" w14:textId="77777777" w:rsidR="000C7643" w:rsidRDefault="000C7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12B60"/>
    <w:multiLevelType w:val="hybridMultilevel"/>
    <w:tmpl w:val="7EA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2"/>
  </w:num>
  <w:num w:numId="4">
    <w:abstractNumId w:val="14"/>
  </w:num>
  <w:num w:numId="5">
    <w:abstractNumId w:val="21"/>
  </w:num>
  <w:num w:numId="6">
    <w:abstractNumId w:val="30"/>
  </w:num>
  <w:num w:numId="7">
    <w:abstractNumId w:val="5"/>
  </w:num>
  <w:num w:numId="8">
    <w:abstractNumId w:val="20"/>
  </w:num>
  <w:num w:numId="9">
    <w:abstractNumId w:val="23"/>
  </w:num>
  <w:num w:numId="10">
    <w:abstractNumId w:val="16"/>
  </w:num>
  <w:num w:numId="11">
    <w:abstractNumId w:val="29"/>
  </w:num>
  <w:num w:numId="12">
    <w:abstractNumId w:val="32"/>
  </w:num>
  <w:num w:numId="13">
    <w:abstractNumId w:val="15"/>
  </w:num>
  <w:num w:numId="14">
    <w:abstractNumId w:val="6"/>
  </w:num>
  <w:num w:numId="15">
    <w:abstractNumId w:val="1"/>
  </w:num>
  <w:num w:numId="16">
    <w:abstractNumId w:val="25"/>
  </w:num>
  <w:num w:numId="17">
    <w:abstractNumId w:val="28"/>
  </w:num>
  <w:num w:numId="18">
    <w:abstractNumId w:val="19"/>
  </w:num>
  <w:num w:numId="19">
    <w:abstractNumId w:val="8"/>
  </w:num>
  <w:num w:numId="20">
    <w:abstractNumId w:val="9"/>
  </w:num>
  <w:num w:numId="21">
    <w:abstractNumId w:val="18"/>
  </w:num>
  <w:num w:numId="22">
    <w:abstractNumId w:val="11"/>
  </w:num>
  <w:num w:numId="23">
    <w:abstractNumId w:val="13"/>
  </w:num>
  <w:num w:numId="24">
    <w:abstractNumId w:val="31"/>
  </w:num>
  <w:num w:numId="25">
    <w:abstractNumId w:val="24"/>
  </w:num>
  <w:num w:numId="26">
    <w:abstractNumId w:val="26"/>
  </w:num>
  <w:num w:numId="27">
    <w:abstractNumId w:val="22"/>
  </w:num>
  <w:num w:numId="28">
    <w:abstractNumId w:val="7"/>
  </w:num>
  <w:num w:numId="29">
    <w:abstractNumId w:val="10"/>
  </w:num>
  <w:num w:numId="30">
    <w:abstractNumId w:val="0"/>
  </w:num>
  <w:num w:numId="31">
    <w:abstractNumId w:val="23"/>
    <w:lvlOverride w:ilvl="0"/>
    <w:lvlOverride w:ilvl="1"/>
    <w:lvlOverride w:ilvl="2"/>
    <w:lvlOverride w:ilvl="3"/>
    <w:lvlOverride w:ilvl="4"/>
    <w:lvlOverride w:ilvl="5"/>
    <w:lvlOverride w:ilvl="6"/>
    <w:lvlOverride w:ilvl="7"/>
    <w:lvlOverride w:ilvl="8"/>
  </w:num>
  <w:num w:numId="32">
    <w:abstractNumId w:val="17"/>
  </w:num>
  <w:num w:numId="33">
    <w:abstractNumId w:val="12"/>
    <w:lvlOverride w:ilvl="0"/>
    <w:lvlOverride w:ilvl="1"/>
    <w:lvlOverride w:ilvl="2"/>
    <w:lvlOverride w:ilvl="3"/>
    <w:lvlOverride w:ilvl="4"/>
    <w:lvlOverride w:ilvl="5"/>
    <w:lvlOverride w:ilvl="6"/>
    <w:lvlOverride w:ilvl="7"/>
    <w:lvlOverride w:ilvl="8"/>
  </w:num>
  <w:num w:numId="34">
    <w:abstractNumId w:val="3"/>
    <w:lvlOverride w:ilvl="0"/>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7"/>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789"/>
    <w:rsid w:val="000C0989"/>
    <w:rsid w:val="000C0C22"/>
    <w:rsid w:val="000C1264"/>
    <w:rsid w:val="000C1708"/>
    <w:rsid w:val="000C2AE2"/>
    <w:rsid w:val="000C539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0FD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5F54"/>
    <w:rsid w:val="00766F75"/>
    <w:rsid w:val="007674D9"/>
    <w:rsid w:val="00767520"/>
    <w:rsid w:val="00767F5B"/>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2D2E"/>
    <w:rsid w:val="00783475"/>
    <w:rsid w:val="007835B0"/>
    <w:rsid w:val="007835F0"/>
    <w:rsid w:val="0078373D"/>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9F4"/>
    <w:rsid w:val="00956BFB"/>
    <w:rsid w:val="00956E0E"/>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BFB"/>
    <w:rsid w:val="009C7D8F"/>
    <w:rsid w:val="009D00B0"/>
    <w:rsid w:val="009D0949"/>
    <w:rsid w:val="009D0ABC"/>
    <w:rsid w:val="009D0ACC"/>
    <w:rsid w:val="009D215D"/>
    <w:rsid w:val="009D2A30"/>
    <w:rsid w:val="009D302A"/>
    <w:rsid w:val="009D4516"/>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8D1"/>
    <w:rsid w:val="00CD0B69"/>
    <w:rsid w:val="00CD1469"/>
    <w:rsid w:val="00CD34D7"/>
    <w:rsid w:val="00CD3A3A"/>
    <w:rsid w:val="00CD3B02"/>
    <w:rsid w:val="00CD3C76"/>
    <w:rsid w:val="00CD5653"/>
    <w:rsid w:val="00CD5EE6"/>
    <w:rsid w:val="00CD6788"/>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23EE"/>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出段落,목록 단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D79257D-9914-4649-ABD7-9F3547A4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1161</Words>
  <Characters>6618</Characters>
  <Application>Microsoft Office Word</Application>
  <DocSecurity>0</DocSecurity>
  <Lines>55</Lines>
  <Paragraphs>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44</cp:revision>
  <dcterms:created xsi:type="dcterms:W3CDTF">2021-05-23T22:35:00Z</dcterms:created>
  <dcterms:modified xsi:type="dcterms:W3CDTF">2021-05-24T19:53:00Z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