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70D0D820"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A3E00F3"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p>
          <w:p w14:paraId="5950B3AA" w14:textId="77777777" w:rsidR="002839B0" w:rsidRPr="00DC169E" w:rsidRDefault="002839B0" w:rsidP="002839B0">
            <w:pPr>
              <w:snapToGrid w:val="0"/>
              <w:rPr>
                <w:sz w:val="18"/>
                <w:szCs w:val="18"/>
              </w:rPr>
            </w:pPr>
          </w:p>
          <w:p w14:paraId="080953B5" w14:textId="77D4CAA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2D7FA0">
              <w:rPr>
                <w:sz w:val="18"/>
                <w:szCs w:val="18"/>
              </w:rPr>
              <w:t xml:space="preserve"> </w:t>
            </w:r>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7A094E26"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7F7F938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p>
          <w:p w14:paraId="20A561C5" w14:textId="1DD6536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32A65DCD"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p>
          <w:p w14:paraId="135237B3" w14:textId="14E9270A"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30DF45B1"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Huawei/HiSi</w:t>
            </w:r>
            <w:r w:rsidR="008038F4">
              <w:rPr>
                <w:sz w:val="18"/>
                <w:szCs w:val="18"/>
              </w:rPr>
              <w:t>, MTK</w:t>
            </w:r>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62124B3A"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p>
          <w:p w14:paraId="0F3E3A8D" w14:textId="5984FEDA"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B108833"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xml:space="preserve">, NTT Docomo </w:t>
            </w:r>
            <w:r w:rsidR="00F06BAF">
              <w:rPr>
                <w:sz w:val="18"/>
                <w:szCs w:val="20"/>
                <w:lang w:val="de-DE"/>
              </w:rPr>
              <w:t xml:space="preserve"> </w:t>
            </w:r>
          </w:p>
          <w:p w14:paraId="55354280" w14:textId="77777777" w:rsidR="009D4516" w:rsidRPr="00A54B16" w:rsidRDefault="009D4516" w:rsidP="009D4516">
            <w:pPr>
              <w:snapToGrid w:val="0"/>
              <w:rPr>
                <w:sz w:val="18"/>
                <w:szCs w:val="20"/>
                <w:lang w:val="de-DE"/>
              </w:rPr>
            </w:pPr>
          </w:p>
          <w:p w14:paraId="77451033" w14:textId="246D8A7A" w:rsidR="009D4516" w:rsidRPr="009E4BCA" w:rsidRDefault="009D4516" w:rsidP="009D4516">
            <w:pPr>
              <w:snapToGrid w:val="0"/>
              <w:rPr>
                <w:sz w:val="18"/>
                <w:szCs w:val="20"/>
                <w:lang w:val="de-D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Huawei/HiSi,</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8212836"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Huawei/HiSi</w:t>
            </w:r>
            <w:r w:rsidR="00FA734B">
              <w:rPr>
                <w:sz w:val="18"/>
                <w:szCs w:val="18"/>
              </w:rPr>
              <w:t>, OPPO</w:t>
            </w:r>
          </w:p>
          <w:p w14:paraId="59B8698C" w14:textId="77777777" w:rsidR="009D4516" w:rsidRPr="008E3462" w:rsidRDefault="009D4516" w:rsidP="009D4516">
            <w:pPr>
              <w:snapToGrid w:val="0"/>
              <w:rPr>
                <w:sz w:val="18"/>
                <w:szCs w:val="20"/>
              </w:rPr>
            </w:pPr>
          </w:p>
          <w:p w14:paraId="12B6101B" w14:textId="1D8526F0"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r w:rsidR="00840607" w:rsidRPr="006467B1">
              <w:rPr>
                <w:sz w:val="18"/>
                <w:szCs w:val="20"/>
              </w:rPr>
              <w:t>Spreadtrum</w:t>
            </w:r>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18337BAA"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p>
          <w:p w14:paraId="67FE92AB" w14:textId="7EAB39D5"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p>
          <w:p w14:paraId="2C4D9831" w14:textId="7C907734"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0A1BDE43"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p>
          <w:p w14:paraId="34AB276C" w14:textId="70BBF319"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p>
          <w:p w14:paraId="25143A38" w14:textId="6BD81182"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ListParagraph"/>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2DA58FA8"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p>
          <w:p w14:paraId="65F80150" w14:textId="7836188F"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3B06A6B9" w:rsidR="0078373D" w:rsidRPr="00E044AF" w:rsidRDefault="00C73B8A" w:rsidP="0078373D">
            <w:pPr>
              <w:snapToGrid w:val="0"/>
              <w:rPr>
                <w:sz w:val="18"/>
                <w:szCs w:val="18"/>
              </w:rPr>
            </w:pPr>
            <w:r>
              <w:rPr>
                <w:sz w:val="18"/>
                <w:szCs w:val="18"/>
              </w:rPr>
              <w:lastRenderedPageBreak/>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D80B" w14:textId="520B85F4" w:rsidR="0078373D" w:rsidRPr="00E044AF" w:rsidRDefault="0078373D" w:rsidP="0078373D">
            <w:pPr>
              <w:snapToGrid w:val="0"/>
              <w:rPr>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7DBAAA2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7B6F73CE" w:rsidR="003F0BFA" w:rsidRPr="004C3E1C" w:rsidRDefault="003F0BFA"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1E92CC8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D1EB857" w:rsidR="003F0BFA" w:rsidRPr="00E044AF" w:rsidRDefault="003F0BFA"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352C56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r w:rsidR="00A42EA8">
              <w:rPr>
                <w:sz w:val="18"/>
                <w:szCs w:val="18"/>
              </w:rPr>
              <w:t xml:space="preserve"> </w:t>
            </w:r>
          </w:p>
          <w:p w14:paraId="1518D820" w14:textId="6CE243EC"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429129F2"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p>
          <w:p w14:paraId="6FE41CE7" w14:textId="09A71BDA"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13FEBF"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5A8733D5"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 xml:space="preserve">Huawei/HiSi, </w:t>
            </w:r>
            <w:r w:rsidR="00F74815">
              <w:rPr>
                <w:sz w:val="18"/>
                <w:szCs w:val="18"/>
              </w:rPr>
              <w:t>Samsung</w:t>
            </w:r>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38B5711"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3DD4EFDC"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C1E5C"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Spreadtrum </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1F5612E8" w:rsidR="00BC35D4" w:rsidRDefault="00BC35D4" w:rsidP="00155887">
            <w:pPr>
              <w:pStyle w:val="ListParagraph"/>
              <w:numPr>
                <w:ilvl w:val="0"/>
                <w:numId w:val="34"/>
              </w:numPr>
              <w:snapToGrid w:val="0"/>
              <w:spacing w:after="0" w:line="240" w:lineRule="auto"/>
              <w:rPr>
                <w:sz w:val="18"/>
                <w:szCs w:val="20"/>
              </w:rPr>
            </w:pPr>
            <w:r w:rsidRPr="00BC35D4">
              <w:rPr>
                <w:b/>
                <w:sz w:val="18"/>
                <w:szCs w:val="20"/>
              </w:rPr>
              <w:lastRenderedPageBreak/>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 Samsung</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7E2829F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731B32C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28A109CC"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357AA66D"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A58C83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p>
          <w:p w14:paraId="67DA1FD6" w14:textId="02EC2939"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ListParagraph"/>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ListParagraph"/>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there is no consensus on supporting the following measurement RS types in RAN1#105-e:</w:t>
      </w:r>
    </w:p>
    <w:p w14:paraId="76E7CB11" w14:textId="33303874"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ListParagraph"/>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2921D86F"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67CE52DD" w:rsidR="0078373D" w:rsidRDefault="0078373D"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5E5BD4B"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383E49A" w:rsidR="006A6F99" w:rsidRPr="004C3E1C" w:rsidRDefault="006A6F9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0C14740"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6656A1C5"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 xml:space="preserve">Nokia/NSB,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5BB9D051"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521ED978"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p>
          <w:p w14:paraId="181F2755" w14:textId="77777777" w:rsidR="00D23DDD" w:rsidRPr="00DC169E" w:rsidRDefault="00D23DDD" w:rsidP="00D23DDD">
            <w:pPr>
              <w:snapToGrid w:val="0"/>
              <w:rPr>
                <w:sz w:val="18"/>
                <w:szCs w:val="18"/>
              </w:rPr>
            </w:pPr>
          </w:p>
          <w:p w14:paraId="7E34937C" w14:textId="289DD66A"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Huawei/HiSi</w:t>
            </w:r>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r w:rsidR="00664A8E">
              <w:rPr>
                <w:sz w:val="18"/>
                <w:szCs w:val="18"/>
                <w:lang w:val="de-DE"/>
              </w:rPr>
              <w:t xml:space="preserve"> </w:t>
            </w:r>
            <w:r w:rsidR="00957C64">
              <w:rPr>
                <w:sz w:val="18"/>
                <w:szCs w:val="18"/>
                <w:lang w:val="de-DE"/>
              </w:rPr>
              <w:t xml:space="preserve"> </w:t>
            </w:r>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FFF8914" w:rsidR="00D23DDD" w:rsidRPr="00B75297" w:rsidRDefault="00D23DDD" w:rsidP="00D23DDD">
            <w:pPr>
              <w:snapToGrid w:val="0"/>
              <w:rPr>
                <w:b/>
                <w:sz w:val="18"/>
                <w:szCs w:val="18"/>
              </w:rPr>
            </w:pPr>
            <w:r>
              <w:rPr>
                <w:b/>
                <w:sz w:val="18"/>
                <w:szCs w:val="18"/>
              </w:rPr>
              <w:t>No: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0653B7E"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p>
          <w:p w14:paraId="3C68C073" w14:textId="77777777" w:rsidR="00D23DDD" w:rsidRPr="003470EF" w:rsidRDefault="00D23DDD" w:rsidP="00D23DDD">
            <w:pPr>
              <w:snapToGrid w:val="0"/>
              <w:rPr>
                <w:sz w:val="18"/>
                <w:szCs w:val="18"/>
                <w:lang w:val="en-GB"/>
              </w:rPr>
            </w:pPr>
          </w:p>
          <w:p w14:paraId="03A256D7" w14:textId="59DD1749"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Huawei, HiSilicon</w:t>
            </w:r>
          </w:p>
          <w:p w14:paraId="7E310260" w14:textId="553C58FA" w:rsidR="002C70AA" w:rsidRPr="002C70AA" w:rsidRDefault="002C70AA" w:rsidP="00D23DDD">
            <w:pPr>
              <w:snapToGrid w:val="0"/>
              <w:rPr>
                <w:b/>
                <w:sz w:val="18"/>
                <w:szCs w:val="18"/>
              </w:rPr>
            </w:pPr>
            <w:r w:rsidRPr="002C70AA">
              <w:rPr>
                <w:b/>
                <w:sz w:val="18"/>
                <w:szCs w:val="18"/>
              </w:rPr>
              <w:t xml:space="preserve">No: </w:t>
            </w:r>
            <w:bookmarkStart w:id="2" w:name="_GoBack"/>
            <w:bookmarkEnd w:id="2"/>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ListParagraph"/>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066EB4A"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DengXian"/>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0A0E06CE"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555A7432"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17EAAEFB"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Huawei/HiSi (handshake)</w:t>
            </w:r>
            <w:r w:rsidR="0020657A">
              <w:rPr>
                <w:sz w:val="18"/>
                <w:szCs w:val="18"/>
              </w:rPr>
              <w:t>, Qualcomm (handshake)</w:t>
            </w:r>
            <w:r w:rsidR="005D27F9">
              <w:rPr>
                <w:sz w:val="18"/>
                <w:szCs w:val="18"/>
              </w:rPr>
              <w:t>, Fraunhofer IIS/HHI</w:t>
            </w:r>
          </w:p>
          <w:p w14:paraId="57EC89B9" w14:textId="77777777" w:rsidR="00AB3DD7" w:rsidRDefault="00AB3DD7" w:rsidP="00412929">
            <w:pPr>
              <w:snapToGrid w:val="0"/>
              <w:rPr>
                <w:sz w:val="18"/>
              </w:rPr>
            </w:pPr>
          </w:p>
          <w:p w14:paraId="58C980EE" w14:textId="6CF12B66"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CBB3832" w:rsidR="0078373D" w:rsidRDefault="00910DBA" w:rsidP="0078373D">
            <w:pPr>
              <w:snapToGrid w:val="0"/>
              <w:rPr>
                <w:rFonts w:eastAsia="SimSun"/>
                <w:sz w:val="18"/>
                <w:szCs w:val="18"/>
                <w:lang w:eastAsia="zh-CN"/>
              </w:rPr>
            </w:pPr>
            <w:r w:rsidRPr="00910DBA">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F646" w14:textId="7D42C16B" w:rsidR="004A0033" w:rsidRDefault="0025001B" w:rsidP="002F785D">
            <w:pPr>
              <w:snapToGrid w:val="0"/>
              <w:jc w:val="both"/>
              <w:rPr>
                <w:rFonts w:ascii="Times" w:eastAsia="Batang" w:hAnsi="Times" w:cs="Times"/>
                <w:sz w:val="18"/>
                <w:szCs w:val="18"/>
                <w:lang w:val="en-GB" w:eastAsia="x-none"/>
              </w:rPr>
            </w:pPr>
            <w:r>
              <w:rPr>
                <w:sz w:val="18"/>
                <w:szCs w:val="18"/>
                <w:lang w:eastAsia="zh-CN"/>
              </w:rPr>
              <w:t>P4.1: W</w:t>
            </w:r>
            <w:r w:rsidR="00910DBA">
              <w:rPr>
                <w:sz w:val="18"/>
                <w:szCs w:val="18"/>
                <w:lang w:eastAsia="zh-CN"/>
              </w:rPr>
              <w:t xml:space="preserve">e have concern on </w:t>
            </w:r>
            <w:r w:rsidR="00910DBA" w:rsidRPr="00CC1E3F">
              <w:rPr>
                <w:rFonts w:ascii="Times" w:eastAsia="Batang" w:hAnsi="Times" w:cs="Times"/>
                <w:sz w:val="18"/>
                <w:szCs w:val="18"/>
                <w:lang w:val="en-GB" w:eastAsia="x-none"/>
              </w:rPr>
              <w:t>Opt1-2</w:t>
            </w:r>
            <w:r>
              <w:rPr>
                <w:rFonts w:ascii="Times" w:eastAsia="Batang" w:hAnsi="Times" w:cs="Times"/>
                <w:sz w:val="18"/>
                <w:szCs w:val="18"/>
                <w:lang w:val="en-GB" w:eastAsia="x-none"/>
              </w:rPr>
              <w:t>. For</w:t>
            </w:r>
            <w:r w:rsidR="00910DBA">
              <w:rPr>
                <w:rFonts w:ascii="Times" w:eastAsia="Batang" w:hAnsi="Times" w:cs="Times"/>
                <w:sz w:val="18"/>
                <w:szCs w:val="18"/>
                <w:lang w:val="en-GB" w:eastAsia="x-none"/>
              </w:rPr>
              <w:t xml:space="preserve"> Opt1-2, if </w:t>
            </w:r>
            <w:r w:rsidR="00910DBA" w:rsidRPr="00CC1E3F">
              <w:rPr>
                <w:rFonts w:ascii="Times" w:eastAsia="Batang" w:hAnsi="Times" w:cs="Times"/>
                <w:sz w:val="18"/>
                <w:szCs w:val="18"/>
                <w:lang w:val="en-GB" w:eastAsia="x-none"/>
              </w:rPr>
              <w:t>a new panel ID</w:t>
            </w:r>
            <w:r w:rsidR="00910DBA">
              <w:rPr>
                <w:rFonts w:ascii="Times" w:eastAsia="Batang" w:hAnsi="Times" w:cs="Times"/>
                <w:sz w:val="18"/>
                <w:szCs w:val="18"/>
                <w:lang w:val="en-GB" w:eastAsia="x-none"/>
              </w:rPr>
              <w:t xml:space="preserve"> is associated with </w:t>
            </w:r>
            <w:r w:rsidR="00910DBA" w:rsidRPr="00910DBA">
              <w:rPr>
                <w:rFonts w:ascii="Times" w:eastAsia="Batang" w:hAnsi="Times" w:cs="Times" w:hint="eastAsia"/>
                <w:sz w:val="18"/>
                <w:szCs w:val="18"/>
                <w:lang w:val="en-GB" w:eastAsia="x-none"/>
              </w:rPr>
              <w:t xml:space="preserve">a beam </w:t>
            </w:r>
            <w:r w:rsidR="00910DBA">
              <w:rPr>
                <w:rFonts w:ascii="Times" w:eastAsia="Batang" w:hAnsi="Times" w:cs="Times"/>
                <w:sz w:val="18"/>
                <w:szCs w:val="18"/>
                <w:lang w:val="en-GB" w:eastAsia="x-none"/>
              </w:rPr>
              <w:t>reporting, which means UE can</w:t>
            </w:r>
            <w:r>
              <w:rPr>
                <w:rFonts w:ascii="Times" w:eastAsia="Batang" w:hAnsi="Times" w:cs="Times"/>
                <w:sz w:val="18"/>
                <w:szCs w:val="18"/>
                <w:lang w:val="en-GB" w:eastAsia="x-none"/>
              </w:rPr>
              <w:t xml:space="preserve"> only initiate one UE panel for that</w:t>
            </w:r>
            <w:r w:rsidR="00910DBA">
              <w:rPr>
                <w:rFonts w:ascii="Times" w:eastAsia="Batang" w:hAnsi="Times" w:cs="Times"/>
                <w:sz w:val="18"/>
                <w:szCs w:val="18"/>
                <w:lang w:val="en-GB" w:eastAsia="x-none"/>
              </w:rPr>
              <w:t xml:space="preserve"> beam reporting. If NW would like to check the link qualities</w:t>
            </w:r>
            <w:r>
              <w:rPr>
                <w:rFonts w:ascii="Times" w:eastAsia="Batang" w:hAnsi="Times" w:cs="Times"/>
                <w:sz w:val="18"/>
                <w:szCs w:val="18"/>
                <w:lang w:val="en-GB" w:eastAsia="x-none"/>
              </w:rPr>
              <w:t xml:space="preserve"> from multiple UE panels, multiple beam reports with different IDs have to be configured. We </w:t>
            </w:r>
            <w:r w:rsidR="005D09B0">
              <w:rPr>
                <w:rFonts w:ascii="Times" w:eastAsia="Batang" w:hAnsi="Times" w:cs="Times"/>
                <w:sz w:val="18"/>
                <w:szCs w:val="18"/>
                <w:lang w:val="en-GB" w:eastAsia="x-none"/>
              </w:rPr>
              <w:t xml:space="preserve">fail to </w:t>
            </w:r>
            <w:r>
              <w:rPr>
                <w:rFonts w:ascii="Times" w:eastAsia="Batang" w:hAnsi="Times" w:cs="Times"/>
                <w:sz w:val="18"/>
                <w:szCs w:val="18"/>
                <w:lang w:val="en-GB" w:eastAsia="x-none"/>
              </w:rPr>
              <w:t>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w:t>
            </w:r>
            <w:r w:rsidR="002F785D">
              <w:rPr>
                <w:rFonts w:ascii="Times" w:eastAsia="Batang" w:hAnsi="Times" w:cs="Times"/>
                <w:sz w:val="18"/>
                <w:szCs w:val="18"/>
                <w:lang w:val="en-GB" w:eastAsia="x-none"/>
              </w:rPr>
              <w:t>if multiple CSI/beam reports with different IDs are configured to UE, UE is required to initiate multiple UE panels, which is not aligned with</w:t>
            </w:r>
            <w:r w:rsidR="005D09B0">
              <w:rPr>
                <w:rFonts w:ascii="Times" w:eastAsia="Batang" w:hAnsi="Times" w:cs="Times"/>
                <w:sz w:val="18"/>
                <w:szCs w:val="18"/>
                <w:lang w:val="en-GB" w:eastAsia="x-none"/>
              </w:rPr>
              <w:t xml:space="preserve"> the spirit of</w:t>
            </w:r>
            <w:r w:rsidR="002F785D">
              <w:rPr>
                <w:rFonts w:ascii="Times" w:eastAsia="Batang" w:hAnsi="Times" w:cs="Times"/>
                <w:sz w:val="18"/>
                <w:szCs w:val="18"/>
                <w:lang w:val="en-GB" w:eastAsia="x-none"/>
              </w:rPr>
              <w:t xml:space="preserve"> “UE-initiated” panel activation and election. In our opinion, </w:t>
            </w:r>
            <w:r w:rsidR="002F785D"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 xml:space="preserve">or Opt1-1, only one beam report </w:t>
            </w:r>
            <w:r w:rsidR="002F785D">
              <w:rPr>
                <w:rFonts w:ascii="Times" w:eastAsia="Batang" w:hAnsi="Times" w:cs="Times"/>
                <w:sz w:val="18"/>
                <w:szCs w:val="18"/>
                <w:lang w:val="en-GB" w:eastAsia="x-none"/>
              </w:rPr>
              <w:t>is needed since SSBRSs/CRIs can correspo</w:t>
            </w:r>
            <w:r w:rsidR="004A0033">
              <w:rPr>
                <w:rFonts w:ascii="Times" w:eastAsia="Batang" w:hAnsi="Times" w:cs="Times"/>
                <w:sz w:val="18"/>
                <w:szCs w:val="18"/>
                <w:lang w:val="en-GB" w:eastAsia="x-none"/>
              </w:rPr>
              <w:t>nd to one or multiple UE panels, and UE can decide to activate how many UE panels.</w:t>
            </w:r>
          </w:p>
          <w:p w14:paraId="7889EDDB" w14:textId="77777777" w:rsidR="004749E0" w:rsidRDefault="004749E0" w:rsidP="002F785D">
            <w:pPr>
              <w:snapToGrid w:val="0"/>
              <w:jc w:val="both"/>
              <w:rPr>
                <w:rFonts w:ascii="Times" w:eastAsia="Batang" w:hAnsi="Times" w:cs="Times"/>
                <w:sz w:val="18"/>
                <w:szCs w:val="18"/>
                <w:lang w:val="en-GB" w:eastAsia="x-none"/>
              </w:rPr>
            </w:pPr>
          </w:p>
          <w:p w14:paraId="43F5DDA7" w14:textId="23EE931A" w:rsidR="004A0033" w:rsidRPr="004A0033" w:rsidRDefault="004A0033" w:rsidP="002F785D">
            <w:pPr>
              <w:snapToGrid w:val="0"/>
              <w:jc w:val="both"/>
              <w:rPr>
                <w:rFonts w:ascii="Times" w:eastAsia="Batang" w:hAnsi="Times" w:cs="Times"/>
                <w:sz w:val="18"/>
                <w:szCs w:val="18"/>
                <w:lang w:val="en-GB" w:eastAsia="x-none"/>
              </w:rPr>
            </w:pPr>
            <w:r>
              <w:rPr>
                <w:rFonts w:ascii="Times" w:eastAsia="Batang" w:hAnsi="Times" w:cs="Times"/>
                <w:sz w:val="18"/>
                <w:szCs w:val="18"/>
                <w:lang w:val="en-GB" w:eastAsia="x-none"/>
              </w:rPr>
              <w:t>P4.2: Support</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36B3BEB9"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05D38E0"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B3196A">
              <w:rPr>
                <w:sz w:val="18"/>
              </w:rPr>
              <w:t xml:space="preserve"> </w:t>
            </w:r>
          </w:p>
          <w:p w14:paraId="56DF0689" w14:textId="77777777" w:rsidR="00093D09" w:rsidRDefault="00093D09" w:rsidP="00B2192D">
            <w:pPr>
              <w:snapToGrid w:val="0"/>
              <w:rPr>
                <w:sz w:val="18"/>
                <w:szCs w:val="20"/>
              </w:rPr>
            </w:pPr>
          </w:p>
          <w:p w14:paraId="450A90BC" w14:textId="587310E4" w:rsidR="00093D09" w:rsidRPr="00A54B16" w:rsidRDefault="00093D09" w:rsidP="00D62D6D">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Huawei/HiSi</w:t>
            </w:r>
            <w:r w:rsidR="006538DD">
              <w:rPr>
                <w:sz w:val="18"/>
                <w:szCs w:val="18"/>
              </w:rPr>
              <w:t>, Xiaomi</w:t>
            </w:r>
            <w:r w:rsidR="00C52506">
              <w:rPr>
                <w:sz w:val="18"/>
                <w:szCs w:val="18"/>
              </w:rPr>
              <w:t xml:space="preserve">, Sony, NTT Docomo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12896FF4"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8683157"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310171F6" w:rsidR="00D11AD4" w:rsidRDefault="00D11AD4" w:rsidP="00D11AD4">
            <w:pPr>
              <w:snapToGrid w:val="0"/>
              <w:rPr>
                <w:rFonts w:eastAsia="SimSun"/>
                <w:sz w:val="18"/>
                <w:szCs w:val="18"/>
                <w:lang w:eastAsia="zh-CN"/>
              </w:rPr>
            </w:pP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FCDB7BA"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328A5438" w:rsidR="00D11AD4" w:rsidRDefault="00D11AD4" w:rsidP="00D11AD4">
            <w:pPr>
              <w:snapToGrid w:val="0"/>
              <w:rPr>
                <w:rFonts w:eastAsia="SimSun"/>
                <w:sz w:val="18"/>
                <w:szCs w:val="18"/>
                <w:lang w:eastAsia="zh-CN"/>
              </w:rPr>
            </w:pP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B710324"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120E58CA" w:rsidR="00314017" w:rsidRDefault="00314017" w:rsidP="00D11AD4">
            <w:pPr>
              <w:snapToGrid w:val="0"/>
              <w:rPr>
                <w:rFonts w:eastAsia="SimSun"/>
                <w:sz w:val="18"/>
                <w:szCs w:val="18"/>
                <w:lang w:eastAsia="zh-CN"/>
              </w:rPr>
            </w:pP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D11AD4" w:rsidRDefault="00D11AD4" w:rsidP="00D11AD4">
            <w:pPr>
              <w:snapToGrid w:val="0"/>
              <w:rPr>
                <w:rFonts w:eastAsia="SimSun"/>
                <w:sz w:val="18"/>
                <w:szCs w:val="18"/>
                <w:lang w:eastAsia="zh-CN"/>
              </w:rPr>
            </w:pP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lastRenderedPageBreak/>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r w:rsidRPr="00DF432D">
              <w:rPr>
                <w:b/>
                <w:sz w:val="18"/>
                <w:szCs w:val="18"/>
                <w:lang w:val="en-GB"/>
              </w:rPr>
              <w:t>Opt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4EEA9B5F" w:rsidR="00434ECF" w:rsidRDefault="005D09B0">
            <w:pPr>
              <w:snapToGrid w:val="0"/>
              <w:rPr>
                <w:rFonts w:eastAsia="SimSun"/>
                <w:sz w:val="18"/>
                <w:szCs w:val="18"/>
                <w:lang w:eastAsia="zh-CN"/>
              </w:rPr>
            </w:pPr>
            <w:r>
              <w:rPr>
                <w:rFonts w:eastAsia="SimSun"/>
                <w:sz w:val="18"/>
                <w:szCs w:val="18"/>
                <w:lang w:eastAsia="zh-CN"/>
              </w:rPr>
              <w:t>Support the proposal</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lastRenderedPageBreak/>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B79DA" w14:textId="77777777" w:rsidR="003070DB" w:rsidRDefault="003070DB">
      <w:r>
        <w:separator/>
      </w:r>
    </w:p>
  </w:endnote>
  <w:endnote w:type="continuationSeparator" w:id="0">
    <w:p w14:paraId="11DD75B4" w14:textId="77777777" w:rsidR="003070DB" w:rsidRDefault="0030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5A92E" w14:textId="77777777" w:rsidR="003070DB" w:rsidRDefault="003070DB">
      <w:r>
        <w:rPr>
          <w:color w:val="000000"/>
        </w:rPr>
        <w:separator/>
      </w:r>
    </w:p>
  </w:footnote>
  <w:footnote w:type="continuationSeparator" w:id="0">
    <w:p w14:paraId="0F6E129E" w14:textId="77777777" w:rsidR="003070DB" w:rsidRDefault="00307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36E38"/>
    <w:multiLevelType w:val="hybridMultilevel"/>
    <w:tmpl w:val="3BB4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434B60"/>
    <w:multiLevelType w:val="hybridMultilevel"/>
    <w:tmpl w:val="C472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5"/>
  </w:num>
  <w:num w:numId="2">
    <w:abstractNumId w:val="7"/>
  </w:num>
  <w:num w:numId="3">
    <w:abstractNumId w:val="3"/>
  </w:num>
  <w:num w:numId="4">
    <w:abstractNumId w:val="18"/>
  </w:num>
  <w:num w:numId="5">
    <w:abstractNumId w:val="38"/>
  </w:num>
  <w:num w:numId="6">
    <w:abstractNumId w:val="48"/>
  </w:num>
  <w:num w:numId="7">
    <w:abstractNumId w:val="8"/>
  </w:num>
  <w:num w:numId="8">
    <w:abstractNumId w:val="30"/>
  </w:num>
  <w:num w:numId="9">
    <w:abstractNumId w:val="13"/>
  </w:num>
  <w:num w:numId="10">
    <w:abstractNumId w:val="16"/>
  </w:num>
  <w:num w:numId="11">
    <w:abstractNumId w:val="6"/>
  </w:num>
  <w:num w:numId="12">
    <w:abstractNumId w:val="17"/>
  </w:num>
  <w:num w:numId="13">
    <w:abstractNumId w:val="26"/>
  </w:num>
  <w:num w:numId="14">
    <w:abstractNumId w:val="10"/>
  </w:num>
  <w:num w:numId="15">
    <w:abstractNumId w:val="28"/>
  </w:num>
  <w:num w:numId="16">
    <w:abstractNumId w:val="1"/>
  </w:num>
  <w:num w:numId="17">
    <w:abstractNumId w:val="24"/>
  </w:num>
  <w:num w:numId="18">
    <w:abstractNumId w:val="27"/>
  </w:num>
  <w:num w:numId="19">
    <w:abstractNumId w:val="15"/>
  </w:num>
  <w:num w:numId="20">
    <w:abstractNumId w:val="14"/>
  </w:num>
  <w:num w:numId="21">
    <w:abstractNumId w:val="0"/>
  </w:num>
  <w:num w:numId="22">
    <w:abstractNumId w:val="31"/>
  </w:num>
  <w:num w:numId="23">
    <w:abstractNumId w:val="25"/>
  </w:num>
  <w:num w:numId="24">
    <w:abstractNumId w:val="41"/>
  </w:num>
  <w:num w:numId="25">
    <w:abstractNumId w:val="23"/>
  </w:num>
  <w:num w:numId="26">
    <w:abstractNumId w:val="21"/>
  </w:num>
  <w:num w:numId="27">
    <w:abstractNumId w:val="34"/>
  </w:num>
  <w:num w:numId="28">
    <w:abstractNumId w:val="40"/>
  </w:num>
  <w:num w:numId="29">
    <w:abstractNumId w:val="46"/>
  </w:num>
  <w:num w:numId="30">
    <w:abstractNumId w:val="49"/>
  </w:num>
  <w:num w:numId="31">
    <w:abstractNumId w:val="35"/>
  </w:num>
  <w:num w:numId="32">
    <w:abstractNumId w:val="20"/>
  </w:num>
  <w:num w:numId="33">
    <w:abstractNumId w:val="42"/>
  </w:num>
  <w:num w:numId="34">
    <w:abstractNumId w:val="33"/>
  </w:num>
  <w:num w:numId="35">
    <w:abstractNumId w:val="51"/>
  </w:num>
  <w:num w:numId="36">
    <w:abstractNumId w:val="44"/>
  </w:num>
  <w:num w:numId="37">
    <w:abstractNumId w:val="2"/>
  </w:num>
  <w:num w:numId="38">
    <w:abstractNumId w:val="9"/>
  </w:num>
  <w:num w:numId="39">
    <w:abstractNumId w:val="36"/>
  </w:num>
  <w:num w:numId="40">
    <w:abstractNumId w:val="37"/>
  </w:num>
  <w:num w:numId="41">
    <w:abstractNumId w:val="39"/>
  </w:num>
  <w:num w:numId="42">
    <w:abstractNumId w:val="12"/>
  </w:num>
  <w:num w:numId="43">
    <w:abstractNumId w:val="43"/>
  </w:num>
  <w:num w:numId="44">
    <w:abstractNumId w:val="22"/>
  </w:num>
  <w:num w:numId="45">
    <w:abstractNumId w:val="47"/>
  </w:num>
  <w:num w:numId="46">
    <w:abstractNumId w:val="50"/>
  </w:num>
  <w:num w:numId="47">
    <w:abstractNumId w:val="4"/>
  </w:num>
  <w:num w:numId="48">
    <w:abstractNumId w:val="19"/>
  </w:num>
  <w:num w:numId="49">
    <w:abstractNumId w:val="11"/>
  </w:num>
  <w:num w:numId="50">
    <w:abstractNumId w:val="32"/>
  </w:num>
  <w:num w:numId="51">
    <w:abstractNumId w:val="29"/>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2654"/>
    <w:rsid w:val="00135D9D"/>
    <w:rsid w:val="00136FC9"/>
    <w:rsid w:val="00137A10"/>
    <w:rsid w:val="00137F82"/>
    <w:rsid w:val="00142195"/>
    <w:rsid w:val="00143365"/>
    <w:rsid w:val="001478BC"/>
    <w:rsid w:val="00150478"/>
    <w:rsid w:val="00150734"/>
    <w:rsid w:val="00155574"/>
    <w:rsid w:val="00155887"/>
    <w:rsid w:val="00155A46"/>
    <w:rsid w:val="00160423"/>
    <w:rsid w:val="00162DDE"/>
    <w:rsid w:val="00163160"/>
    <w:rsid w:val="0016334C"/>
    <w:rsid w:val="00164554"/>
    <w:rsid w:val="001658E2"/>
    <w:rsid w:val="00166AB5"/>
    <w:rsid w:val="00171C4E"/>
    <w:rsid w:val="001729EE"/>
    <w:rsid w:val="0017471A"/>
    <w:rsid w:val="00174F1F"/>
    <w:rsid w:val="0017541F"/>
    <w:rsid w:val="001803F5"/>
    <w:rsid w:val="00181229"/>
    <w:rsid w:val="001825C9"/>
    <w:rsid w:val="00184158"/>
    <w:rsid w:val="00186719"/>
    <w:rsid w:val="00190479"/>
    <w:rsid w:val="00191027"/>
    <w:rsid w:val="001910A9"/>
    <w:rsid w:val="00194772"/>
    <w:rsid w:val="00197660"/>
    <w:rsid w:val="00197FFB"/>
    <w:rsid w:val="001A271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1163"/>
    <w:rsid w:val="002B1927"/>
    <w:rsid w:val="002B59CC"/>
    <w:rsid w:val="002B5CC8"/>
    <w:rsid w:val="002B60DF"/>
    <w:rsid w:val="002B737C"/>
    <w:rsid w:val="002C19BB"/>
    <w:rsid w:val="002C1D31"/>
    <w:rsid w:val="002C2FC3"/>
    <w:rsid w:val="002C4988"/>
    <w:rsid w:val="002C70A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A1A56"/>
    <w:rsid w:val="003A33FE"/>
    <w:rsid w:val="003A4600"/>
    <w:rsid w:val="003A586C"/>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50C05"/>
    <w:rsid w:val="00551F2F"/>
    <w:rsid w:val="0055344D"/>
    <w:rsid w:val="00553C0F"/>
    <w:rsid w:val="00555487"/>
    <w:rsid w:val="00555681"/>
    <w:rsid w:val="005600C6"/>
    <w:rsid w:val="00562510"/>
    <w:rsid w:val="005625E2"/>
    <w:rsid w:val="00562E3F"/>
    <w:rsid w:val="00566190"/>
    <w:rsid w:val="005665C9"/>
    <w:rsid w:val="00567C2F"/>
    <w:rsid w:val="00570DEE"/>
    <w:rsid w:val="00573A26"/>
    <w:rsid w:val="00575981"/>
    <w:rsid w:val="00575989"/>
    <w:rsid w:val="00576F64"/>
    <w:rsid w:val="00580521"/>
    <w:rsid w:val="00580AE0"/>
    <w:rsid w:val="00583505"/>
    <w:rsid w:val="00584053"/>
    <w:rsid w:val="005841BF"/>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B0EB7"/>
    <w:rsid w:val="005B236A"/>
    <w:rsid w:val="005B33AA"/>
    <w:rsid w:val="005B3467"/>
    <w:rsid w:val="005B4F54"/>
    <w:rsid w:val="005B73C8"/>
    <w:rsid w:val="005C2E58"/>
    <w:rsid w:val="005C46A0"/>
    <w:rsid w:val="005C4742"/>
    <w:rsid w:val="005C4A4F"/>
    <w:rsid w:val="005D00AA"/>
    <w:rsid w:val="005D09B0"/>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3CFD"/>
    <w:rsid w:val="0071532A"/>
    <w:rsid w:val="00715A1A"/>
    <w:rsid w:val="00716881"/>
    <w:rsid w:val="00717E4F"/>
    <w:rsid w:val="007203CA"/>
    <w:rsid w:val="00720E67"/>
    <w:rsid w:val="00721706"/>
    <w:rsid w:val="007276E1"/>
    <w:rsid w:val="007322BF"/>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7D50"/>
    <w:rsid w:val="007C29C6"/>
    <w:rsid w:val="007C336C"/>
    <w:rsid w:val="007C6EDA"/>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5FBE"/>
    <w:rsid w:val="0089214C"/>
    <w:rsid w:val="0089273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901C15"/>
    <w:rsid w:val="00902026"/>
    <w:rsid w:val="00902AFD"/>
    <w:rsid w:val="009058E5"/>
    <w:rsid w:val="00905976"/>
    <w:rsid w:val="00907F8D"/>
    <w:rsid w:val="00910B4A"/>
    <w:rsid w:val="00910DBA"/>
    <w:rsid w:val="009131D0"/>
    <w:rsid w:val="0091384F"/>
    <w:rsid w:val="00914C94"/>
    <w:rsid w:val="009167B8"/>
    <w:rsid w:val="00916AE1"/>
    <w:rsid w:val="00916D28"/>
    <w:rsid w:val="00920D77"/>
    <w:rsid w:val="009214E4"/>
    <w:rsid w:val="009216DA"/>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40374"/>
    <w:rsid w:val="00D40DC3"/>
    <w:rsid w:val="00D41E3B"/>
    <w:rsid w:val="00D43949"/>
    <w:rsid w:val="00D4467F"/>
    <w:rsid w:val="00D44AD5"/>
    <w:rsid w:val="00D44FE3"/>
    <w:rsid w:val="00D455B9"/>
    <w:rsid w:val="00D467AF"/>
    <w:rsid w:val="00D46FD5"/>
    <w:rsid w:val="00D472F6"/>
    <w:rsid w:val="00D52F90"/>
    <w:rsid w:val="00D57B52"/>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AF93-0CB3-4234-BB24-FD84D61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14</Pages>
  <Words>5939</Words>
  <Characters>33853</Characters>
  <Application>Microsoft Office Word</Application>
  <DocSecurity>0</DocSecurity>
  <Lines>282</Lines>
  <Paragraphs>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115</cp:revision>
  <dcterms:created xsi:type="dcterms:W3CDTF">2021-05-12T07:12:00Z</dcterms:created>
  <dcterms:modified xsi:type="dcterms:W3CDTF">2021-05-12T13:12:00Z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