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SimSun" w:hAnsi="Calibri" w:cs="SimSun"/>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w:t>
            </w:r>
            <w:proofErr w:type="gramStart"/>
            <w:r w:rsidRPr="002852E7">
              <w:rPr>
                <w:rFonts w:cs="Arial"/>
                <w:color w:val="000000"/>
                <w:sz w:val="20"/>
                <w:szCs w:val="20"/>
              </w:rPr>
              <w:t>0,alpha</w:t>
            </w:r>
            <w:proofErr w:type="gramEnd"/>
            <w:r w:rsidRPr="002852E7">
              <w:rPr>
                <w:rFonts w:cs="Arial"/>
                <w:color w:val="000000"/>
                <w:sz w:val="20"/>
                <w:szCs w:val="20"/>
              </w:rPr>
              <w:t>,index1},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w:t>
            </w:r>
            <w:proofErr w:type="gramStart"/>
            <w:r w:rsidRPr="002852E7">
              <w:rPr>
                <w:rFonts w:cs="Arial"/>
                <w:color w:val="000000"/>
                <w:sz w:val="20"/>
                <w:szCs w:val="20"/>
              </w:rPr>
              <w:t>0,alpha</w:t>
            </w:r>
            <w:proofErr w:type="gramEnd"/>
            <w:r w:rsidRPr="002852E7">
              <w:rPr>
                <w:rFonts w:cs="Arial"/>
                <w:color w:val="000000"/>
                <w:sz w:val="20"/>
                <w:szCs w:val="20"/>
              </w:rPr>
              <w:t>,index1},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proofErr w:type="gramStart"/>
            <w:r>
              <w:rPr>
                <w:rFonts w:cs="Arial"/>
                <w:color w:val="000000"/>
                <w:sz w:val="20"/>
                <w:szCs w:val="20"/>
              </w:rPr>
              <w:t>So</w:t>
            </w:r>
            <w:proofErr w:type="gramEnd"/>
            <w:r>
              <w:rPr>
                <w:rFonts w:cs="Arial"/>
                <w:color w:val="000000"/>
                <w:sz w:val="20"/>
                <w:szCs w:val="20"/>
              </w:rPr>
              <w:t xml:space="preserve">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proofErr w:type="spellStart"/>
            <w:r w:rsidRPr="00A87F8B">
              <w:rPr>
                <w:rFonts w:cs="Arial"/>
                <w:color w:val="000000"/>
                <w:szCs w:val="20"/>
              </w:rPr>
              <w:t>msgA</w:t>
            </w:r>
            <w:proofErr w:type="spellEnd"/>
            <w:r w:rsidRPr="00A87F8B">
              <w:rPr>
                <w:rFonts w:cs="Arial"/>
                <w:color w:val="000000"/>
                <w:szCs w:val="20"/>
              </w:rPr>
              <w:t xml:space="preserve">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w:t>
            </w:r>
            <w:proofErr w:type="spellStart"/>
            <w:r>
              <w:rPr>
                <w:rFonts w:hint="eastAsia"/>
                <w:lang w:eastAsia="zh-CN"/>
              </w:rPr>
              <w:t>Po_nonimal</w:t>
            </w:r>
            <w:proofErr w:type="spellEnd"/>
            <w:r>
              <w:rPr>
                <w:rFonts w:hint="eastAsia"/>
                <w:lang w:eastAsia="zh-CN"/>
              </w:rPr>
              <w:t xml:space="preserve"> for both msg3 and </w:t>
            </w:r>
            <w:proofErr w:type="spellStart"/>
            <w:r>
              <w:rPr>
                <w:rFonts w:hint="eastAsia"/>
                <w:lang w:eastAsia="zh-CN"/>
              </w:rPr>
              <w:t>msgA</w:t>
            </w:r>
            <w:proofErr w:type="spellEnd"/>
            <w:r>
              <w:rPr>
                <w:rFonts w:hint="eastAsia"/>
                <w:lang w:eastAsia="zh-CN"/>
              </w:rPr>
              <w:t xml:space="preserve">; but 213 did not specify when the set is not configured, which one to use. This issue is solved by 331, then in this case, msg3 based </w:t>
            </w:r>
            <w:proofErr w:type="spellStart"/>
            <w:r>
              <w:rPr>
                <w:rFonts w:hint="eastAsia"/>
                <w:lang w:eastAsia="zh-CN"/>
              </w:rPr>
              <w:t>Po_nominal</w:t>
            </w:r>
            <w:proofErr w:type="spellEnd"/>
            <w:r>
              <w:rPr>
                <w:rFonts w:hint="eastAsia"/>
                <w:lang w:eastAsia="zh-CN"/>
              </w:rPr>
              <w:t xml:space="preserve">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38.213, it’s for </w:t>
            </w:r>
            <w:r w:rsidRPr="00BC2068">
              <w:rPr>
                <w:highlight w:val="yellow"/>
              </w:rPr>
              <w:t>p0-UE</w:t>
            </w:r>
            <w:r>
              <w:t>, which is why we have concerns on the related text 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r w:rsidR="00BD0C9B" w14:paraId="655442B8" w14:textId="77777777" w:rsidTr="004C503C">
        <w:tc>
          <w:tcPr>
            <w:tcW w:w="779" w:type="pct"/>
          </w:tcPr>
          <w:p w14:paraId="4C6F4CA3" w14:textId="77777777" w:rsidR="00BD0C9B" w:rsidRDefault="00BD0C9B" w:rsidP="004C503C">
            <w:r>
              <w:t>Nokia, Nokia Shanghai Bell</w:t>
            </w:r>
          </w:p>
        </w:tc>
        <w:tc>
          <w:tcPr>
            <w:tcW w:w="4221" w:type="pct"/>
          </w:tcPr>
          <w:p w14:paraId="64DBF509" w14:textId="77777777" w:rsidR="00BD0C9B" w:rsidRDefault="00BD0C9B" w:rsidP="004C503C">
            <w:r>
              <w:t>Agree with FL and Samsung comments.</w:t>
            </w:r>
          </w:p>
        </w:tc>
      </w:tr>
      <w:tr w:rsidR="00BD0C9B" w14:paraId="06AACBD6" w14:textId="77777777" w:rsidTr="00EE54CD">
        <w:tc>
          <w:tcPr>
            <w:tcW w:w="779" w:type="pct"/>
          </w:tcPr>
          <w:p w14:paraId="6CF7C7D2" w14:textId="77777777" w:rsidR="00BD0C9B" w:rsidRDefault="00BD0C9B" w:rsidP="00C6439A"/>
        </w:tc>
        <w:tc>
          <w:tcPr>
            <w:tcW w:w="4221" w:type="pct"/>
          </w:tcPr>
          <w:p w14:paraId="78B9B03B" w14:textId="77777777" w:rsidR="00BD0C9B" w:rsidRDefault="00BD0C9B" w:rsidP="00C6439A"/>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w:t>
      </w:r>
      <w:proofErr w:type="gramStart"/>
      <w:r>
        <w:rPr>
          <w:rFonts w:cs="Arial"/>
          <w:color w:val="000000"/>
        </w:rPr>
        <w:t>Therefore</w:t>
      </w:r>
      <w:proofErr w:type="gramEnd"/>
      <w:r>
        <w:rPr>
          <w:rFonts w:cs="Arial"/>
          <w:color w:val="000000"/>
        </w:rPr>
        <w:t xml:space="preserve"> there could be some problem on the determination of P0-nominal, alpha, and waveform for the PUSCH.</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w:t>
            </w:r>
            <w:proofErr w:type="gramStart"/>
            <w:r w:rsidRPr="002852E7">
              <w:rPr>
                <w:rFonts w:cs="Arial"/>
                <w:color w:val="000000"/>
                <w:sz w:val="20"/>
                <w:szCs w:val="20"/>
              </w:rPr>
              <w:t>0,alpha</w:t>
            </w:r>
            <w:proofErr w:type="gramEnd"/>
            <w:r w:rsidRPr="002852E7">
              <w:rPr>
                <w:rFonts w:cs="Arial"/>
                <w:color w:val="000000"/>
                <w:sz w:val="20"/>
                <w:szCs w:val="20"/>
              </w:rPr>
              <w:t xml:space="preserve">,index1},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lastRenderedPageBreak/>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proofErr w:type="gramStart"/>
            <w:r w:rsidR="00AF1135">
              <w:t>in order</w:t>
            </w:r>
            <w:r w:rsidR="00E40C75">
              <w:t xml:space="preserve"> </w:t>
            </w:r>
            <w:r w:rsidR="00462D29">
              <w:t>to</w:t>
            </w:r>
            <w:proofErr w:type="gramEnd"/>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w:t>
            </w:r>
            <w:proofErr w:type="gramStart"/>
            <w:r w:rsidR="00462D29">
              <w:t>as long as</w:t>
            </w:r>
            <w:proofErr w:type="gramEnd"/>
            <w:r w:rsidR="00462D29">
              <w:t xml:space="preserve">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w:t>
            </w:r>
            <w:proofErr w:type="gramStart"/>
            <w:r w:rsidR="00577593">
              <w:rPr>
                <w:rFonts w:hint="eastAsia"/>
                <w:lang w:eastAsia="zh-CN"/>
              </w:rPr>
              <w:t>mis-configuration</w:t>
            </w:r>
            <w:proofErr w:type="gramEnd"/>
            <w:r w:rsidR="00577593">
              <w:rPr>
                <w:rFonts w:hint="eastAsia"/>
                <w:lang w:eastAsia="zh-CN"/>
              </w:rPr>
              <w:t xml:space="preserve"> by </w:t>
            </w:r>
            <w:proofErr w:type="spellStart"/>
            <w:r w:rsidR="00577593">
              <w:rPr>
                <w:rFonts w:hint="eastAsia"/>
                <w:lang w:eastAsia="zh-CN"/>
              </w:rPr>
              <w:t>gNB</w:t>
            </w:r>
            <w:proofErr w:type="spellEnd"/>
            <w:r w:rsidR="00577593">
              <w:rPr>
                <w:rFonts w:hint="eastAsia"/>
                <w:lang w:eastAsia="zh-CN"/>
              </w:rPr>
              <w:t xml:space="preserve">. </w:t>
            </w:r>
          </w:p>
          <w:p w14:paraId="2268BBFB" w14:textId="704A146A" w:rsidR="000764BE" w:rsidRDefault="000764BE" w:rsidP="000764BE">
            <w:pPr>
              <w:rPr>
                <w:lang w:eastAsia="zh-CN"/>
              </w:rPr>
            </w:pPr>
            <w:proofErr w:type="gramStart"/>
            <w:r>
              <w:rPr>
                <w:lang w:eastAsia="zh-CN"/>
              </w:rPr>
              <w:t>S</w:t>
            </w:r>
            <w:r>
              <w:rPr>
                <w:rFonts w:hint="eastAsia"/>
                <w:lang w:eastAsia="zh-CN"/>
              </w:rPr>
              <w:t>o</w:t>
            </w:r>
            <w:proofErr w:type="gramEnd"/>
            <w:r>
              <w:rPr>
                <w:rFonts w:hint="eastAsia"/>
                <w:lang w:eastAsia="zh-CN"/>
              </w:rPr>
              <w:t xml:space="preserve">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 xml:space="preserve">This issue can also be decoupled from the issue raised for 2step RACH - without any change does the system has problem to operate 2step RACH especially for typical </w:t>
            </w:r>
            <w:proofErr w:type="spellStart"/>
            <w:r>
              <w:rPr>
                <w:lang w:eastAsia="zh-CN"/>
              </w:rPr>
              <w:t>gNB</w:t>
            </w:r>
            <w:proofErr w:type="spellEnd"/>
            <w:r>
              <w:rPr>
                <w:lang w:eastAsia="zh-CN"/>
              </w:rPr>
              <w:t xml:space="preserve"> configurations.</w:t>
            </w:r>
          </w:p>
        </w:tc>
      </w:tr>
      <w:tr w:rsidR="00BD0C9B" w14:paraId="6B8BFB08" w14:textId="77777777" w:rsidTr="004C503C">
        <w:tc>
          <w:tcPr>
            <w:tcW w:w="767" w:type="pct"/>
          </w:tcPr>
          <w:p w14:paraId="1D5C9301" w14:textId="77777777" w:rsidR="00BD0C9B" w:rsidRDefault="00BD0C9B" w:rsidP="004C503C">
            <w:pPr>
              <w:rPr>
                <w:lang w:eastAsia="zh-CN"/>
              </w:rPr>
            </w:pPr>
            <w:r>
              <w:rPr>
                <w:lang w:eastAsia="zh-CN"/>
              </w:rPr>
              <w:t>Nokia, Nokia Shanghai Bell</w:t>
            </w:r>
          </w:p>
        </w:tc>
        <w:tc>
          <w:tcPr>
            <w:tcW w:w="4233" w:type="pct"/>
          </w:tcPr>
          <w:p w14:paraId="03804963" w14:textId="77777777" w:rsidR="00BD0C9B" w:rsidRDefault="00BD0C9B" w:rsidP="004C503C">
            <w:pPr>
              <w:rPr>
                <w:lang w:eastAsia="zh-CN"/>
              </w:rPr>
            </w:pPr>
            <w:r>
              <w:rPr>
                <w:lang w:eastAsia="zh-CN"/>
              </w:rPr>
              <w:t>Agree with Huawei that this does not need any conclusion and we do not expect to see any specification impact. Configuring the system without 4-step RACH on the initial BWP would exclude both all Rel-15 UE as well as any Rel-16 UE not supporting 2-step RACH. Hence, this would not be a sensible configuration of the network in the first place.</w:t>
            </w:r>
          </w:p>
        </w:tc>
      </w:tr>
      <w:tr w:rsidR="00BD0C9B" w14:paraId="602FDFA6" w14:textId="77777777" w:rsidTr="00EA0C3D">
        <w:tc>
          <w:tcPr>
            <w:tcW w:w="767" w:type="pct"/>
          </w:tcPr>
          <w:p w14:paraId="2F84998E" w14:textId="77777777" w:rsidR="00BD0C9B" w:rsidRDefault="00BD0C9B" w:rsidP="00BD3558">
            <w:pPr>
              <w:rPr>
                <w:lang w:eastAsia="zh-CN"/>
              </w:rPr>
            </w:pPr>
          </w:p>
        </w:tc>
        <w:tc>
          <w:tcPr>
            <w:tcW w:w="4233" w:type="pct"/>
          </w:tcPr>
          <w:p w14:paraId="0D03A725" w14:textId="77777777" w:rsidR="00BD0C9B" w:rsidRDefault="00BD0C9B" w:rsidP="00F358EF">
            <w:pPr>
              <w:rPr>
                <w:lang w:eastAsia="zh-CN"/>
              </w:rPr>
            </w:pP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lastRenderedPageBreak/>
        <w:t>References</w:t>
      </w:r>
    </w:p>
    <w:p w14:paraId="08F0A2D2" w14:textId="4A7836D7" w:rsidR="004635B2" w:rsidRDefault="00BD0C9B" w:rsidP="004635B2">
      <w:pPr>
        <w:pStyle w:val="ListParagraph1"/>
        <w:numPr>
          <w:ilvl w:val="0"/>
          <w:numId w:val="12"/>
        </w:numPr>
        <w:overflowPunct/>
        <w:snapToGrid w:val="0"/>
        <w:spacing w:before="0" w:beforeAutospacing="0" w:after="120"/>
        <w:jc w:val="both"/>
        <w:textAlignment w:val="auto"/>
      </w:pPr>
      <w:hyperlink r:id="rId23" w:history="1">
        <w:r w:rsidR="00E40C75">
          <w:rPr>
            <w:rStyle w:val="Hyperlink"/>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F7007" w14:textId="77777777" w:rsidR="00354798" w:rsidRDefault="00354798" w:rsidP="000878A1">
      <w:pPr>
        <w:spacing w:after="0"/>
      </w:pPr>
      <w:r>
        <w:separator/>
      </w:r>
    </w:p>
  </w:endnote>
  <w:endnote w:type="continuationSeparator" w:id="0">
    <w:p w14:paraId="20612697" w14:textId="77777777" w:rsidR="00354798" w:rsidRDefault="0035479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BAC64" w14:textId="77777777" w:rsidR="00354798" w:rsidRDefault="00354798" w:rsidP="000878A1">
      <w:pPr>
        <w:spacing w:after="0"/>
      </w:pPr>
      <w:r>
        <w:separator/>
      </w:r>
    </w:p>
  </w:footnote>
  <w:footnote w:type="continuationSeparator" w:id="0">
    <w:p w14:paraId="132AE0B2" w14:textId="77777777" w:rsidR="00354798" w:rsidRDefault="00354798"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0C9B"/>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15:docId w15:val="{0735867C-8885-44F0-9420-E33BEB7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1">
    <w:name w:val="Unresolved Mention1"/>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www.3gpp.org/ftp/tsg_ran/WG1_RL1//TSGR1_105-e/Docs/R1-2105507.zip" TargetMode="Externa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326085-8F52-4FAA-964C-287ECF5A15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Frank Frederiksen</cp:lastModifiedBy>
  <cp:revision>3</cp:revision>
  <cp:lastPrinted>2007-06-18T05:08:00Z</cp:lastPrinted>
  <dcterms:created xsi:type="dcterms:W3CDTF">2021-05-19T10:23:00Z</dcterms:created>
  <dcterms:modified xsi:type="dcterms:W3CDTF">2021-05-19T10:37:00Z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